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Maksimālais attiecināmais ERAF finansējuma apmērs ir 85 % no projektam plānotā kopējā attiecināmā finansējuma. Nacionālais līdzfinansējums (pašvaldību un privātais finansējums) nav mazāks par 15 %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iespēju, kā sarežģītu un apjomīgu projektu izmaksas var būt lielākas, kā arī iepirkumu rezultātā var pieaugt sākotnēji plānotās projekta izmaksas, ierosinām mainīt MKN projekta 7. punkta redakciju, paredzot iespēju palielināt projekta attiecināmās izmaksas, finansējuma saņēmējam ieguldot lielāku līdzfinansējuma daļu un uzteikt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“7.Maksimālais attiecināmais ERAF finansējuma apmērs ir līdz 85 % no  projektam plānotā kopējā attiecināmā finansējuma. Nacionālais līdzfinansējums (pašvaldību un privātais finansējums) nav mazāks par 15 %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Maksimālais attiecināmais ERAF finansējuma apmērs ir līdz 85 % no projektam plānotā kopējā attiecināmā finansējuma. Nacionālais līdzfinansējums (pašvaldību un privātais finansējums) nav mazāks par 15 %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projektu iesnieguma apstiprināšanas ir finansējuma saņēmējs, ir pašvaldības un/vai pašvaldību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simbolu "/" aizstāt ar saikli "un" vai saikli "vai", jo no noteikumu projekta nav skaidrs, vai ar simbolu "/" tiek saprasts saiklis "un" vai saiklis "vai'. Pamatojoties uz juridiskās tehnikas prasībām, tiesību normai ir jābūt skaidrai, lai tās lietotājs un piemērotājs gūtu nepārprotamu priekšstatu par saviem pienākumiem un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kas pēc projektu iesnieguma apstiprināšanas ir finansējuma saņēmējs, ir pašvaldības vai pašvaldību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iesniedzējs, kas pēc projekta apstiprināšanas ir finansējuma saņēmējs (turpmāk - finansējuma saņēmējs), sagatavo projekta iesniegumu atbilstoši projektu iesniegumu atlases nolikumā noteiktajām prasībām un iesniedz to Centrālai finanšu un līgumu aģentūrai (turpmāk - sadarbības iestāde), izmantojot Kohēzijas politikas fondu vadības informācijas sistēmu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 sadarbības partneru iesaiste, kā arī paredzēta gan atbalsta sniegšana ar saimniecisku darbību saistītām, gan ar saimniecisku darbību nesaistītām darbībām, aicinām papildināt anotāciju ar izvērtējumu komercdarbības atbalsta kontekstā attiecībā uz sadarbības partneriem, norādot, vai un kādos gadījumos attiecīgā pasākuma ietvaros ir vai nav paredzēts komercdarbības atbalsts sadarbības partneriem, un kāpēc pasākuma ietvaros piešķirtais atbalsts nekvalificējas kā komercdarbības atbalsts vai atbalsts saimnieciskajai darbībai.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paredzēts komercdarbības atbalsts sadarbības partnerim, jo pēc projekta apstiprināšanas finansējuma saņēmējs ir pašvaldība vai pašvaldības kapitālsabiedrība. Sadarbības partneris projektā var iesaistīties tikai ar īpašumā vai valdījumā esošo nekustamo īpašumu, ja tas ir tieši nepieciešams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apliecinājumu, ka projekta iesniedzējs neatbilst kādai no </w:t>
            </w:r>
            <w:r w:rsidR="00000000" w:rsidRPr="00000000" w:rsidDel="00000000">
              <w:rPr>
                <w:rtl w:val="0"/>
              </w:rPr>
              <w:t xml:space="preserve">2014. gada 17. jūnija Komisijas Regulas Nr. 651/2014, ar ko noteiktas atbalsta kategorijas atzīst par saderīgām ar iekšējo tirgu, piemērojot Līguma 107. un 108. pantu (turpmāk - regula Nr. 651/2014)</w:t>
            </w:r>
            <w:r w:rsidR="00000000" w:rsidRPr="00000000" w:rsidDel="00000000">
              <w:rPr>
                <w:rtl w:val="0"/>
              </w:rPr>
              <w:t xml:space="preserve">  2. panta 18. punktā minētajām pazīmēm komercdarbības atbalsta gadījumā. Projekta iesniedzējs tiek vērtēts uzņēmuma grupas līmenī, ņemot vērā visus ar to saistītus uzņēmumus;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skaidrots, kas tiek saprasts ar projekta iesniedzēja vērtēšanu uzņēmuma grupas līmenī, kā arī nav precizēts, kas noteikumu projekta izpratnē ir "saistīts uzņēmums". Attiecīgi lūdzam papildināt noteikumu projektu ar terminu "uzņēmuma grupas līmenis" un "saistīts uzņēmums"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apliecinājumu, ka projekta iesniedzējs neatbilst kādai no 2014. gada 17. jūnija Komisijas Regulas Nr. 651/2014, ar ko noteiktas atbalsta kategorijas atzīst par saderīgām ar iekšējo tirgu, piemērojot Līguma 107. un 108. pantu (turpmāk - regula Nr. 651/2014)  2. panta 18. punktā minētajām pazīmēm komercdarbības atbalsta gadījumā. Projekta iesniedzējs tiek vērtēts viena vienota uzņēmuma līmenī, ņemot vērā arī visus ar to saistītus uzņēmumus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gadījumā, finansējuma saņēmējs tiek vērtēts viena vienota uzņēmuma līmenī, un tieši, tiek vērtēts finansējuma saņēmējs un ar to saistīti uzņēmumi. Saistīti uzņēmumi (regulas Nr. 651/2014 3.panta 3.punkts) un viens vienots uzņēmums (regulas Nr. 2023/2831 2.panta 2.punkts) ir uzņēmumi, kuru starpā pastāv kādas no šādām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ir akcionāru vai dalībnieku balsstiesību vairākums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ir tiesības iecelt vai atlaist pārvaldes, vadības vai uzraudzības struktūras dalībnieku vairākumu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uzņēmumam ir tiesības īstenot noteicošu ietekmi pār citu uzņēmumu saskaņā ar līgumu, kas noslēgts ar šo uzņēmumu, vai saskaņā ar tā dibināšanas līguma klauzulu vai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uzņēmums, kas ir cita uzņēmuma akcionārs vai dalībnieks, vienpersoniski kontrolē akcionāru vai dalībnieku vairākuma balsstiesības minētajā uzņēmumā saskaņā ar vienošanos, kas panākta ar pārējiem uzņēmuma akcionāriem vai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apliecinājumu par finansējuma saņēmēja atbilstību regulas </w:t>
            </w:r>
            <w:r w:rsidR="00000000" w:rsidRPr="00000000" w:rsidDel="00000000">
              <w:rPr>
                <w:rtl w:val="0"/>
              </w:rPr>
              <w:t xml:space="preserve">Nr. 651/2014</w:t>
            </w:r>
            <w:r w:rsidR="00000000" w:rsidRPr="00000000" w:rsidDel="00000000">
              <w:rPr>
                <w:rtl w:val="0"/>
              </w:rPr>
              <w:t xml:space="preserve"> 2. panta 18. punkta "c" apakšpunkta nosacījumiem komercdarbības atbalsta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23.5. apakšpunktā norādīts pienākums finansējuma saņēmējam, taču attiecīgajā nodaļā ir atrunāti nosacījumi projekta iesniedzējam. Ņemot vērā minēto, lūdzam atbilstoši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apliecinājumu par projekta iesniedzēja atbilstību regulas </w:t>
            </w:r>
            <w:r w:rsidR="00000000" w:rsidRPr="00000000" w:rsidDel="00000000">
              <w:rPr>
                <w:rtl w:val="0"/>
              </w:rPr>
              <w:t xml:space="preserve">Nr. 651/2014</w:t>
            </w:r>
            <w:r w:rsidR="00000000" w:rsidRPr="00000000" w:rsidDel="00000000">
              <w:rPr>
                <w:rtl w:val="0"/>
              </w:rPr>
              <w:t xml:space="preserve"> 2. panta 18. punkta "c" apakšpunkta nosacījumiem komercdarbības atbalsta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apliecinājumu par projekta iesniedzēja atbilstību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2. panta 18. punkta "c" apakšpunkta nosacījumiem komercdarbības atbalsta gadījumā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visu šo noteikumu </w:t>
            </w:r>
            <w:r w:rsidR="00000000" w:rsidRPr="00000000" w:rsidDel="00000000">
              <w:rPr>
                <w:rtl w:val="0"/>
              </w:rPr>
              <w:t xml:space="preserve">24.</w:t>
            </w:r>
            <w:r w:rsidR="00000000" w:rsidRPr="00000000" w:rsidDel="00000000">
              <w:rPr>
                <w:rtl w:val="0"/>
              </w:rPr>
              <w:t xml:space="preserve"> punktā minēto projektu komunikācijas aktivitāšu īstenošanu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23.punkts paredz informāciju par dokumentiem, kas jāiesniedz, piesakot projekta pieteikumu, 23.7.apakšpunkts ne pēc būtības, ne formulējuma nesaistās ar 23.punktu. Redzams, ka tas kļūdaini ierakstīts noteikumos divas reizes (šāds pats teikums norādīts MK noteikumu 25.2punktā).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23.7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apliecinājumu par to, ka projekta ietvaros izbūvētā infrastruktūra ir finansējuma saņēmēja īpašumā vai valdījumā vismaz piecus gadus pēc noslēguma maksājuma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plānota arī atbalsta piešķiršana ar saimniecisku darbību nesaistītiem projektiem, proti, publiskajai infrastruktūrai, un ka šādiem projektiem nav piemērojami komercdarbības atbalsta kontroles regulējuma nosacījumi, aicinām precizēt, ka projekta ietvaros izbūvētā infrastruktūra ir uzraugāma visā projekta amortizācijas periodā. Atbilstoši aicinām precizēt arī noteikumu projekta 36.punktu un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izbūvētās publiskās infrastruktūras uzraudzību nodrošina sadarbības iestāde visā projekta amortizācijas periodā, saskaņā ar atbildīgās iestādes izstrādāto papildinošās saimnieciskās darbības uzraudzības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šo noteikumu </w:t>
            </w:r>
            <w:r w:rsidR="00000000" w:rsidRPr="00000000" w:rsidDel="00000000">
              <w:rPr>
                <w:rtl w:val="0"/>
              </w:rPr>
              <w:t xml:space="preserve">24.</w:t>
            </w:r>
            <w:r w:rsidR="00000000" w:rsidRPr="00000000" w:rsidDel="00000000">
              <w:rPr>
                <w:rtl w:val="0"/>
              </w:rPr>
              <w:t xml:space="preserve"> punktā minētā projekta gadījumā ir jāievēro šādus komunikācijas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25. punkts attiecas uz nosacījumiem finansējuma saņēmējam, taču attiecīgajā nodaļā ir regulētas prasības projekta iesniedzējam. Ņemot vērā minēto, lūdzam punktu iekļaut citā attiecīgajā noteikumu projekta nodaļā vai precizēt, norādot, ka tas ir attiecināms uz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iesniedzējam šo noteikumu </w:t>
            </w:r>
            <w:r w:rsidR="00000000" w:rsidRPr="00000000" w:rsidDel="00000000">
              <w:rPr>
                <w:rtl w:val="0"/>
              </w:rPr>
              <w:t xml:space="preserve">24.</w:t>
            </w:r>
            <w:r w:rsidR="00000000" w:rsidRPr="00000000" w:rsidDel="00000000">
              <w:rPr>
                <w:rtl w:val="0"/>
              </w:rPr>
              <w:t xml:space="preserve"> punktā minētā projekta gadījumā ir jāievēro šādus komunikācijas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Mainīta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šo noteikumu 25. punktā minētā projekta gadījumā ir jāievēro šādus komunikācijas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nodrošināt visu šo noteikumu </w:t>
            </w:r>
            <w:r w:rsidR="00000000" w:rsidRPr="00000000" w:rsidDel="00000000">
              <w:rPr>
                <w:rtl w:val="0"/>
              </w:rPr>
              <w:t xml:space="preserve">24.</w:t>
            </w:r>
            <w:r w:rsidR="00000000" w:rsidRPr="00000000" w:rsidDel="00000000">
              <w:rPr>
                <w:rtl w:val="0"/>
              </w:rPr>
              <w:t xml:space="preserve"> punktā minēto projektu komunikācijas aktivitāšu īstenošanu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25.2. apakšpunkts dublē 23.7. apakšpunktu. Ministru kabineta 2009. gada 3. februāra noteikumu Nr. 108 "Normatīvo aktu projektu sagatavošanas noteikumi" (turpmāk - noteikumi Nr. 108) 3.2. apakšpunkts paredz, ka normatīvā akta projektā nedrīkst iekļaut normas, kas dublē augstāka vai tāda paša spēka normatīvo aktu tiesību normas. Ievērojot minēto, lūdzam svītrot noteikumu projekta 25.2.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ar sabiedriskā transporta pieejamību un savienojamību saistītās mikromobilitātes infrastruktūras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ar sabiedriskā transporta piekļūstamību un savienojamību saistītās mikromobilitātes infrastruktūras izveide;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sabiedriskā transporta savienojumu punktu publiskās lietošanas un sabiedriskā transporta infrastruktūras izbūve (tostarp, ar dzelzceļa platformām integrēto vai atsevišķi stāvošu autobusu platformu izbūve vai pārbūve), pārbūve un atjaunošana, tostarp ar to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 tostarp stāvparku un ar to saistītās infrastruktūras, kā arī gājēju celiņu un veloceliņu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iestāšanās riskus, lūdzam anotācijā skaidrot, vai, piemēram, atsevišķi stāvošu autobusu platformu izbūve vai pārbūve arī ir kvalificējama kā publiskā infrastruktūra, nevis tāda, kuras ietvaros tiek veikta saimnieciskā darbība.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savienojumu punktu izbūves izmaksas ietver arī nojumu izbūves, pārbūves vai atjaunošanas izmaksas. Atsevišķi stāvošu autobusu platformas ir  publiskā infrastruktūra, kur netiek veikta saimnieciskā darbība un tai netiek piemēroti komercdarbības atbalsta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sabiedriskā transporta savienojumu punktu publiskās lietošanas un sabiedriskā transporta infrastruktūras izbūve (tostarp, ar dzelzceļa platformām integrēto vai atsevišķi stāvošu autobusu platformu izbūve vai pārbūve), pārbūve un atjaunošana, tostarp ar to funkcionalitātes nodrošināšanu saistītās mikromobilitātes infrastruktūras, bezemisiju transportlīdzekļu koplietošanas vietu izbūves, pārbūves un atjaunošanas izmaksas (ja attiecināms), kā arī ar to piekļustamību un savienojamību saistītās infrastruktūras izbūves, pārbūves un atjaunošanas izmaksas, tostarp stāvparku un ar to saistītās infrastruktūras, kā arī gājēju celiņu un veloceliņu izbūve, pārbūve vai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kontakttīklu izbūves, pārbūves un atjaunošanas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sniegšanas risku, aicinām skaidrot anotācijā, kas tiek saprasts ar 27.9.apaķšpunktā punktā minētajām kontakttīklu izbūves, pārbūves un atjaunošanas izmaksām, kā arī 27.10.apakšpunktā minētajām elektroapgādes sistēmu izbūves, pārbūves izmaksām, un ar kādu mērķi šīs izmaksas konkrētā atbalsta pasākuma ietvaros ir plānotas.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citu atbalsta pasākumu ietvaros apakšstaciju izbūves, pārbūves un atjaunošanas izmaksas ir kvalificējamas kā komercdarbības atbalsts saskaņā ar Komisijas regulas Nr.651/2014 48.pantu.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27.10.apakšpunktā minētās jaudas palielināšanai veiktās investīcijas nerada priekšrocības šo inženiertīklu īpašniekam, kā arī, vai minētā punkta izmaksas ir attiecināmas arī gadījumos, ja ieguldījums tiek veikts šajā punktā minētajās elektroapgādes sistēmās, kas nav finansējuma saņēmēja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"27.9. kontakttīklu izbūves, pārbūves un atjaunošanas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27.9. apakšpunkts (27.9. elektroapgādes sistēmu – kabeļu trašu un apakšstaciju – izbūves, pārbūves un atjaunošanas izmaksas, tostarp jaudas palielināšana, lai nodrošinātu sabiedriskā transporta savienojuma punktu elektroapgādes sistēmu darbību, atbilstoši regulas Nr. 651/2014 48. panta nosacījumiem;), papildināts ar atsauci uz regulas Nr. 651/2014 48.pantu: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elektroapgādes sistēmu – kabeļu trašu un apakšstaciju – izbūves, pārbūves un atjaunošanas izmaksas, tostarp jaudas palielināšana, lai nodrošinātu sabiedriskā transporta savienojuma punktu elektroapgādes sistēmu darbību, atbilstoši regulas Nr. 651/2014 48.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27.10.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transporta būvju un ielu tīklam piegulošo inženiertīklu, inženiertīklu pievadu un kontakttīklu  pārbūves un atjaunošanas izmaksas atbilstoši būvprojekta risinājumam. Izmaksas attiecināmas tikai tādā gadījumā,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šis infrastruktūras īpašniekam, ievērojot, ka sabiedriskā transporta savienojuma punktu infrastruktūra ir bez maksas un diskriminācijas publiski pieejama un tai nav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skaidrots, kas ir paredzēts ar kontakttīklu pārbūves un atjaunošanas izmaksām, un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kontakttīklu pārbūves un atjaunošanas darbiem sabiedriskā transporta savienojumu punktā (projekta teritorijā) jau esošajiem kontakttīkliem (piemēram, tramvaja un trolejbusu līnijas kontakttīkliem), ja tas nepieciešams, lai nodrošinātu sabiedriskā transporta infrastruktūras, kas nodrošina nokļūšanu līdz sabiedriskā transporta savienojuma punktam, darbību. Finansējuma saņēmējs nodrošina, ka kontakttīklu pārbūve vai atjaunošana nerada priekšrocības elektroenerģijas infrastruktūras īpašniekiem. Jaunu kontakttīklu izbūvei atbalsts netiek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un anotācija papildināti arī ar VTNP.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(jauni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27.15. ūdensapgādes, sadzīves kanalizācijas un notekūdeņu savākšanas un novadīšanas infrastruktūras ierīkošanas sabiedriskā transporta savienoju punktā izmaksas, ievērojot šo noteikumu 23.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 pakalpojuma līgumu par ūdenssaimniecības sabiedrisko pakalpojumu sniegšanu (ja attiecināms) atbilstoši šo noteikumu 23.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apliecinājumu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vispārējas tautsaimnieciskas nozīmes pakalpojuma pilnvarojuma uzlicēja apliecinājumu, ka tas nodrošina atlīdzības (kompensācijas) maksājumu aprēķinu kontroli un pārskatīšanu, kā arī atlīdzības (kompensācijas) maksājumu pārmaksas novēršanu un atmaksāšanu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Vispārējas tautsaimnieciskas nozīmes pakalpojumi (VTNP)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sabiedriskā transporta savienojumu punktos atbalstāma publisko labierīcību ierīkošana, nodrošinot to pieejamību infrastruktūras lietotājiem bez diskriminācijas un maksas. Ūdensapgādes, sadzīves kanalizācijas un notekūdeņu savākšanas un novadīšanas infrastruktūras ierīkošanas izmaksām atbalstu sniegs kā Vispārējas tautsaimnieciskas nozīmes pakalpojumiem (VTNP). Komercdarbības atbalsts ūdensapgādes un kanalizācijas pieslēgumu izbūvei tiks sniegts projekta iesniedzējiem, kuriem ir noslēgti VTNP līgumi par pakalpojumu sniegšanu atbilstoši Eiropas Komisijas 2011. gada 20. decembra Lēmumam par Līguma par Eiropas Savienības darbību 106. panta 2. punkta piemērošanu valsts atbalstam attiecībā uz kompensāciju par sabiedriskajiem pakalpojumiem dažiem uzņēmumiem, kuriem uzticēts VTNP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sabiedrisko pakalpojumu sniedzējs ir tāds komersants, kurš ūdenssaimniecības nozarē sniedz sabiedriskos pakalpojumus noteiktā teritorijā un kura darbība sabiedrisko pakalpojumu sniegšanā tiek regulēta saskaņā ar 2001. gada 1. jūnija Likumu "Par sabiedrisko pakalpojumu regulatoriem". Lai sniegtu ūdenssaimniecības pakalpojumus, sabiedrisko pakalpojumu sniedzējam ir jābūt reģistrētam ūdenssaimniecības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gadījumā projekta iesniedzējs projekta iesniegumam pievieno šādus apliecinājumus: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apliecinājumu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VTNP pilnvarojuma uzlicēja apliecinājumu, ka tas nodrošina atlīdzības (kompensācijas) maksājumu aprēķinu kontroli un pārskatīšanu, kā arī atlīdzības (kompensācijas) maksājumu pārmaksas novēršanu un atmaksāšanu (ja attiecināms) saskaņā ar sadarbības iestādes izstrādāto veidni vai brīvā formā, ja iesniegtā informācija satur vismaz tās pašas ziņas, kas norādītas minētajā veidnē.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sabiedriskā transporta savienojumu punktu elektroapgādes sistēmu – kabeļu trašu un apakšstaciju – izbūvei, pārbūvei un atjaunošanai, tostarp jaudas palielināšanai, lai nodrošinātu sabiedriskā transporta savienojuma punktu elektroapgādes sistēmu darbību, atbalstu sniegs saskaņā ar regulas Nr. 651/2014 48. panta nosacījumiem. Minētas izmaksas ir attiecināmas finansējuma saņēmēja īpašumā esošajā infrastruktūrā, līdz ar to jaudas palielināšanai veiktās investīcijas nerada priekšrocības attiecīgo inženiertīklu īpašniekam.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iesniegumu, kurā ir paredzēta komercdarbības atbalsta summēšana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w:t>
            </w:r>
            <w:r w:rsidR="00000000" w:rsidRPr="00000000" w:rsidDel="00000000">
              <w:rPr>
                <w:rtl w:val="0"/>
              </w:rPr>
              <w:t xml:space="preserve">Nr. 651/2014 </w:t>
            </w:r>
            <w:r w:rsidR="00000000" w:rsidRPr="00000000" w:rsidDel="00000000">
              <w:rPr>
                <w:rtl w:val="0"/>
              </w:rPr>
              <w:t xml:space="preserve"> 36.a panta nosacījumiem,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28.1.</w:t>
            </w:r>
            <w:r w:rsidR="00000000" w:rsidRPr="00000000" w:rsidDel="00000000">
              <w:rPr>
                <w:rtl w:val="0"/>
              </w:rPr>
              <w:t xml:space="preserve"> apakšpunktā minētajām izmaksām, slēdz un ar ieguldījumiem saistītos būvdarbus uzsāk pēc projekta iesnieguma iesniegšanas pēdējā no komercdarbības atbalsta piešķīrējinstitūcijām.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redakcijas nav nepārprotami izsecināms, kuras tieši projekta ietvaros ir iesaistītās komercdarbības atbalsta piešķīrējinstitūcijas. Attiecīgi lūdzam noteikumu projektā vai tā anotācijā precizēt, kuras tieši institūcijas būs iesaistītas komercdarbības atbalsta piešķiršanā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 punkts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63. punkts, mainīta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27.1.1., 27.1.2., 27.1.3., 27.1.4. un 27.12. apakšpunktā minētās izmaksas ir attiecināmas, piemērojot de minimis atbalsta nosacījumus, ja tās radušās pirms projekta iesnieguma iesniegšanas vadības informācijas sistēmā šo noteikumu 27.13. un 27.15. apakšpunktā minēto darbību īstenošanas nodrošināšanai un ir uzsāktas ne ātrāk par šo noteikumu 30.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izpilda nepieciešamās prasības un nodrošina, ka projekts atbilst principam “Nenodari būtisku kaitējumu” un </w:t>
            </w:r>
            <w:r w:rsidR="00000000" w:rsidRPr="00000000" w:rsidDel="00000000">
              <w:rPr>
                <w:rtl w:val="0"/>
              </w:rPr>
              <w:t xml:space="preserve">Eiropas Savienības kohēzijas politikas programmas 2021.–2027. gadam</w:t>
            </w:r>
            <w:r w:rsidR="00000000" w:rsidRPr="00000000" w:rsidDel="00000000">
              <w:rPr>
                <w:rtl w:val="0"/>
              </w:rPr>
              <w:t xml:space="preserve"> noteiktajiem Eiropas Savienības un nacionālajiem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33.punktu vai anotāciju ar detalizētu informāciju par to, kādas darbības jāveic, lai nodrošinātu, ka tiek novērsta vai mazināta 2.3.1.2.pasākuma ietvaros atbalstāmo darbību ietekme uz vidi (atbilstoši pasākumiem/aktivitātēm, kas minētas horizontālā principa “Nenodarīt būtisku kaitējumu”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vai pasākumam ir tieša vai netieša ietekme uz horizontālo principu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“Horizontālie principi (HP)” papildināti 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Horizontālie principi (HP)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 netieša ietekme uz horizontālo principu "Klimatdrošināšana" un netieša ietekme uz horizontālo principu "Nenodarīt būtisku kaitējumu". Plānotajām investīcijām būs ietekme uz horizontālo principu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100 % atbalsta klimata pārmaiņu mērķi (81 – tīra pilsētvides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40 %  atbalsta klimata pārmaiņu mērķus (108 “Multimodālais transports (TEN-T)” un 109 “Multimodālais transports (ārpus pilsētvides”).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veikti videi draudzīgi uzlabojumi sabiedriskā transporta sistēmā, t.i., tiks nodrošināta tīra sabiedriskā transporta infrastruktūra (sabiedriskā transporta savienojumu punktu izveide multimodālai mobilitātei, nodrošinot dažādu pārvietošanās veidu savienojamību).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īstenotais projekts un atbalstāmās darbības tiek īstenotas ievērojot principa “Nenodarīt būtisku kaitējumu” novērtējumā minēto, proti, jau projektēšanas stadijā ņem vērā ar klimata pārmaiņām saistītos riskus, tostarp riskus, kas varētu rasties būvniecības, uzturēšanas un ekspluatācijas laikā. Horizontālā principa "Nenodarīt būtisku kaitējumu" vērtēšanas apjoms ir iekļauts projekta iesnieguma vērtēšanas kritēriju piemērošanas metodikā. Balstoties uz Uzraudzības komitejas apstiprinātajiem projektu iesniegumu vērtēšanas kritērijiem un kritēriju piemērošanas metodiku, tiks vērtēta iepirkumu atbilstība zaļā publiskā iepirkuma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saņēmējam jānodrošina zemāk norādīto nosacījumu ievērošanu (identificēti horizontālā principa “Nenodarīt būtisku kaitējumu” (Do no significant harm – DNSH) novērtējumā), lai nodrošinātu, ka tiek novērsta vai mazināta projekta ietvaros īstenoto darbību ietekme uz vidi,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rašanās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projektēšanas stadijā tiks ņemti vērā ar klimata pārmaiņām saistītie riski un tiks noteikti arī ar būvniecību, uzturēšanu un ekspluatāciju saistītie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izpilda nepieciešamās prasības un nodrošina, ka projekts atbilst principam “Nenodari būtisku kaitējumu” un </w:t>
            </w:r>
            <w:r w:rsidR="00000000" w:rsidRPr="00000000" w:rsidDel="00000000">
              <w:rPr>
                <w:rtl w:val="0"/>
              </w:rPr>
              <w:t xml:space="preserve">Eiropas Savienības kohēzijas politikas programmas 2021.–2027. gadam</w:t>
            </w:r>
            <w:r w:rsidR="00000000" w:rsidRPr="00000000" w:rsidDel="00000000">
              <w:rPr>
                <w:rtl w:val="0"/>
              </w:rPr>
              <w:t xml:space="preserve"> noteiktajiem Eiropas Savienības un nacionālajiem normatīvajiem aktiem vides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projektu īsteno saskaņā ar noslēgto vienošanos vai līgumu par projekta īstenošanu, nepārsniedzot šādus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projekta īstenošanai saistīto risku izvērtējumu — vai pirmajai un pārējām projekta īstenošanas kārtām noteiktais termiņš ir atbilstošs projektā minēto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būtiska ietekme uz Eiropas Savienības kohēzijas politikas programmas 2021. – 2027. gadam investīciju plūsmas intensificēšanu Eiropas Komisijai pieprasāmo izdevumu (n+3) minimālā mērķa izpildei, lai nezaudētu ES fondu finansējumu. Ņemot vērā pirmās atlases kārtas ietvaros apstiprināto projektu iesniegumu maksimāli atļautu īstenošanas termiņu (līdz 2026. gada 30. jūnijam), pasākuma pirmās atlases kārtas projektu iesniegumu vērtēšanas termiņš ir divi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projektu īsteno saskaņā ar noslēgto vienošanos vai līgumu par projekta īstenošanu, nepārsniedzot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no projekta iesnieguma iesniegšanas vadības informācijas sistēmā vai šo no noteikumu </w:t>
            </w:r>
            <w:r w:rsidR="00000000" w:rsidRPr="00000000" w:rsidDel="00000000">
              <w:rPr>
                <w:rtl w:val="0"/>
              </w:rPr>
              <w:t xml:space="preserve">30.</w:t>
            </w:r>
            <w:r w:rsidR="00000000" w:rsidRPr="00000000" w:rsidDel="00000000">
              <w:rPr>
                <w:rtl w:val="0"/>
              </w:rPr>
              <w:t xml:space="preserve"> punktā minētā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35.punktā noteikts, ka Sadarbības iestāde lēmumu par projekta iesnieguma apstiprināšanu, apstiprināšanu ar nosacījumu vai noraidīšanu pieņem divu mēnešu laikā, lūdzam anotācijā iekļaut atbilstošu pamatojumu šāda nosacījuma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2. kārtas ietvaros neradītu risku kvalitatīvai vismaz 15 projektu izvērtēšanu, ņemot vērā, ka nav paredzēta iespēja pagarināt vērtēšanas termiņu, lūdzam precizēt, ka šī prasība ir attiecināma tikai uz 1.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projekta iesnieguma apstiprināšanu, apstiprināšanu ar nosacījumu vai noraidīšanu pieņem: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divu mēnešu laikā par pirmās atlases kārtas ietvaros iesniegtajiem projektu iesniegumiem no to iesniegšanas Kohēzijas politikas fondu vadības informācijas sistēmā (turpmāk – vadības informācijas sistēma) brīža;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mēnešu laikā otrās un trešās atlases kārtas ietvaros no projektu iesniegumu iesniegšanas vadības informācijas sistēmā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būtiska ietekme uz Eiropas Savienības kohēzijas politikas programmas 2021. – 2027. gadam investīciju plūsmas intensificēšanu Eiropas Komisijai pieprasāmo izdevumu (n+3) minimālā mērķa izpildei, lai nezaudētu ES fondu finansējumu. Ņemot vērā pirmās atlases kārtas ietvaros apstiprināto projektu iesniegumu maksimāli atļautu īstenošanas termiņu (līdz 2026. gada 30. jūnijam), pasākuma pirmās atlases kārtas projektu iesniegumu vērtēšanas termiņš ir divi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un trešās atlases kārtas ietvaros pēc projektu iesniegumu iesniegšanas beigu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41.2.1.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HP VINPI) ieviešanas uzraudzību, atbilstoši HP vadlīnijās [1] noteiktajam, lūdzam papildināt MK noteikumu projektu ar obligāto HP  VINPI rādītāju, par kuru jāuzkrāj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un uzkrāj datus par šādu rādītāju: </w:t>
            </w:r>
            <w:r w:rsidR="00000000" w:rsidRPr="00000000" w:rsidDel="00000000">
              <w:rPr>
                <w:b w:val="1"/>
                <w:rtl w:val="0"/>
              </w:rPr>
              <w:t xml:space="preserve">objektu skaits, kuros Eiropas Reģionālās attīstības fonda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datus par šādu rādītāju: objektu skaits, kuros ERAF ieguldījumu rezultātā ir nodrošināta vides un informācijas piekļūstamība;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nodrošina komunikācijas un vizuālās identitātes prasību nosacījumu ievērošanu atbilstoši </w:t>
            </w:r>
            <w:r w:rsidR="00000000" w:rsidRPr="00000000" w:rsidDel="00000000">
              <w:rPr>
                <w:rtl w:val="0"/>
              </w:rPr>
              <w:t xml:space="preserve">regulas Nr. 2021/1060</w:t>
            </w:r>
            <w:r w:rsidR="00000000" w:rsidRPr="00000000" w:rsidDel="00000000">
              <w:rPr>
                <w:rtl w:val="0"/>
              </w:rPr>
              <w:t xml:space="preserve"> 47. un 50. pantu un normatīvajiem aktiem par </w:t>
            </w:r>
            <w:r w:rsidR="00000000" w:rsidRPr="00000000" w:rsidDel="00000000">
              <w:rPr>
                <w:rtl w:val="0"/>
              </w:rPr>
              <w:t xml:space="preserve">kārtību, kādā Eiropas Savienības fondu vadībā iesaistītās institūcijas nodrošina šo fondu ieviešanu 2021.–2027. gada plānošanas periodā</w:t>
            </w:r>
            <w:r w:rsidR="00000000" w:rsidRPr="00000000" w:rsidDel="00000000">
              <w:rPr>
                <w:rtl w:val="0"/>
              </w:rPr>
              <w:t xml:space="preserve">, kā arī Eiropas Savienības fondu 2021.–2027. gada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41.4.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nodrošina komunikācijas un vizuālās identitātes prasību nosacījumu ievērošanu atbilstoši </w:t>
            </w:r>
            <w:r w:rsidR="00000000" w:rsidRPr="00000000" w:rsidDel="00000000">
              <w:rPr>
                <w:rtl w:val="0"/>
              </w:rPr>
              <w:t xml:space="preserve">regulas Nr. 2021/1060</w:t>
            </w:r>
            <w:r w:rsidR="00000000" w:rsidRPr="00000000" w:rsidDel="00000000">
              <w:rPr>
                <w:rtl w:val="0"/>
              </w:rPr>
              <w:t xml:space="preserve"> 47. un 50. pantam un normatīvajiem aktiem par </w:t>
            </w:r>
            <w:r w:rsidR="00000000" w:rsidRPr="00000000" w:rsidDel="00000000">
              <w:rPr>
                <w:rtl w:val="0"/>
              </w:rPr>
              <w:t xml:space="preserve">kārtību, kādā Eiropas Savienības fondu vadībā iesaistītās institūcijas nodrošina šo fondu ieviešanu 2021.–2027. gada plānošanas periodā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nodrošina komunikācijas un vizuālās identitātes prasību nosacījumu ievērošanu atbilstoši </w:t>
            </w:r>
            <w:r w:rsidR="00000000" w:rsidRPr="00000000" w:rsidDel="00000000">
              <w:rPr>
                <w:rtl w:val="0"/>
              </w:rPr>
              <w:t xml:space="preserve">regulas Nr. 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Pasākuma īstenošanā atbalstāmas to nevalstisko organizāciju ekspertu konsultācijas, kas pārstāv personas ar invaliditāti. Minētās izmaksas iekļauj projektēšanas vai būvniecības līgumu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izmantot pilnu ekspertu nosaukumu "vides un informācijas piekļūstamības eskperti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informācijas piekļūstamības ekspertu saraksts atrodas te: https://www.apeirons.lv/vides-pieklustamibas-eksperti-2023/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īstenošanā atbalstāmas vides un informācijas piekļūstamības ekspertu vai nevalstisko organizāciju, kas pārstāv personu ar invaliditāti intereses konsultācijas. Minētās izmaksas iekļauj projektēšanas vai būvniecības līgumu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Pasākuma īstenošanā atbalstāmas vides un informācijas piekļūstamības ekspertu vai nevalstisko organizāciju, kas pārstāv personu ar invaliditāti intereses konsultācijas. Minētās izmaksas iekļauj projektēšanas vai būvniecības līgumu izmaksās.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minēto nosacījumu uzraudzību nodrošina sadarbības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53.punkta redakciju, piedāvātajā redakcijā. Vienlaikus, lai projekta iesniedzējam būtu skaidri projekta īstenošanas nosacījumi jau uz projekta iesnieguma iesniegšanas brīdi, lūdzam noteikumu projektā vai anotācijā norādīt, ka atbildīgā iestāde izstrādā papildinošas saimnieciskas darbības (PSD) uzraudzības metodiku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PSD uzraudzība notiks atbilstoši atbildīgās iestādes izstrādātai metodikai, lūdzam izvērtēt 50.punkta nepieciešamību. Lai mazinātu administratīvo slogu, papildus lūdzam ieviest PSD/PP pašdeklarācijas principu, t.i. paredzot, ka finansējuma saņēmējs visā projekta dzīves ciklā sagatavo ikgadējus pārskatus par PSD un PP apjomu un nodrošina šajā punktā minēto pārskatu un aprēķinus pamatojošo dokumentu pieejamību PSD un PP uzraudzībai. Ja finansējuma saņēmējs konstatē, ka ir pārsniegts šo noteikumu 47. punktā minētais 20 procentu apjoms no infrastruktūras kopējās gada jaudas vai ka minētā infrastruktūra tiek izmantotas citai saimnieciskai darbībai, kas nav uzskatāma par papildinošu saimniecisku darbību, tas civiltiesiskajā līgumā vai vienošanās par projekta īstenošanu noteiktajā termiņā iesniedz sadarbības iestādei ziņojumu par konstatēto šo noteikumu 47. punktā minēto nosacījumu pārkāpumu. Sadarbības iestādei ir tiesības finansējuma saņēmējam pieprasīt iesniegt PSD un PP pārskatus projekta dzīves cikla laikā, tai skaitā gadījumos, kad saņemta informācija par PSD un PP nosacījumu pārkāpumu no finansējuma saņēmēja, kompetentām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attiecīgus precizējumus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47., 48. un 50. punktā minēto nosacījumu uzraudzību nodrošina sadarbības iestāde atbilstoši atbildīgās iestādes izstrādātajai papildinošās saimnieciskās darbības uzraudzības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iestāde saskaņā ar atbildīgās iestādes līdz projektu iesniegumu atlases uzsākšanas izstrādāto papildinošas saimnieciskās darbības uzraudzības metodiku nodrošina veikto investīciju atbilstības uzraudzību atbilstoši šo noteikumu 48., 49. un 50. punktā minētajiem nosacījumiem visā projekta amortizācijas periodā.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50.1. apakšpunktā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49. un 50. punktā minēto nosacījumu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finansējuma saņēmējam pieprasīt iesniegt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kompetentām iestādēm vai no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finansējuma saņēmējam pieprasīt iesniegt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komercdarbības atbalsts šo noteikumu </w:t>
            </w:r>
            <w:r w:rsidR="00000000" w:rsidRPr="00000000" w:rsidDel="00000000">
              <w:rPr>
                <w:rtl w:val="0"/>
              </w:rPr>
              <w:t xml:space="preserve">27.14.</w:t>
            </w:r>
            <w:r w:rsidR="00000000" w:rsidRPr="00000000" w:rsidDel="00000000">
              <w:rPr>
                <w:rtl w:val="0"/>
              </w:rPr>
              <w:t xml:space="preserve"> apakšpunktā minēto darbību īstenošanai tiek piemērots saskaņā ar regulas </w:t>
            </w:r>
            <w:r w:rsidR="00000000" w:rsidRPr="00000000" w:rsidDel="00000000">
              <w:rPr>
                <w:rtl w:val="0"/>
              </w:rPr>
              <w:t xml:space="preserve">Nr. 651/2014</w:t>
            </w:r>
            <w:r w:rsidR="00000000" w:rsidRPr="00000000" w:rsidDel="00000000">
              <w:rPr>
                <w:rtl w:val="0"/>
              </w:rPr>
              <w:t xml:space="preserve"> 36.a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54. punkta apakšpunktos ir daļēji pārrakstīts Eiropas Komisijas 2014. gada 17. jūnija Regulas (ES) Nr. 651/2014, ar ko noteiktas atbalsta kategorijas atzīst par saderīgām ar iekšējo tirgu, piemērojot Līguma 107. un 108. pantu 36.a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54. punktu un tā apakšpunktus (lūdzam apakšpunktus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MK noteikumus AF 1.1.1.2.i.2. un 1.1.1.2.i.3.pasākumam (22-TA-1939), saskaņošanas procesā vairākkārt saskārāamies ar situāciju, kad TM un FM (KAKD) viedoklis par komercdarbības atbalsta regulējuma atspoguļošanu atšķīrās, kas ļoti paildzināja noteikumu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noteikumu projektu saskaņošanas praksi, t.sk. ar Tieslietu ministriju jau saskaņotu 22-TA-1939 noteikumu projektu, aicinām Tieslietu ministriju rast iespēju saskaņot šādā veida projektus ievērojot “samērīguma principu”, tādējādi novēršot būtiskus riskus, kuri saistīti ar projektu īstenošanu ierobežotā laika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ņemt vērā 04.01.2018. Finanšu ministrijas vēstuli Nr.18-04/28 “Par grozījumiem Komisijas Regulā Nr. 651/2014” (turpmāk – vēstule), kas tika nosūtīta Zemkopības ministrijai un Lauku atbalsta dienestam un informācijai Tieslietu ministrijai, kur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skaidrojam, ka prasības, kas izriet no VGAR, nav tieši piemērojamas, ja tās nav ieviestas attiecīgajā valsts izstrādātajā atbalsta programmā un, lai nodrošinātu to izpildi, VGAR prasības ir nepieciešams ieviest attiecīgajā komercdarbības atbalsta programmā. Atbilstoši Eiropas Komisijas 12.02.2007. vēstulē ietvertajam skaidrojumam (skat. šīs vēstules pielikumā), lai sniegtu turpmākus norādījumus un izvairītos no interpretācijas problēmām Latvijas tiesību sistēmā, attiecīgo atsauču iekļaušana komercdarbības atbalsta programmā ir pieļaujama un pamatota. Par vienotu izprati jautājumā par komercdarbības atbalsta regulējuma prasību piemērošanu tika panākta vienošanās arī ar Tieslietu ministriju. Papildus vēršam uzmanību, ka Eiropas Komisija savās ex-post pārbaudēs veic detalizētu izvērtējumu par dalībvalsts izstrādātās atbalsta programmas atbilstību komercdarbības atbalsta regulējumam un neatbilstību attiecīgā regulējuma normām konstatēšanas gadījumā var ierosināt pārkāpuma lietu par nelikumīga komercdarbības piešķiršanu saskaņā ar atbalsta programmu, kas neatbilst komercdarbības atbalsta regulējumam. Papildus Eiropas Komisija 05.11.2015., atbildot uz dalībvalsts jautājumu, izmantojot eWIKI elektronisko platformu dalībvalstu jautājumu uzdošanai Eiropas Komisijai, uzsvēra, ka, veicot atbalsta pasākumu uzraudzību, ir konstatējusi, ka efektīva atbilstība komercdarbības atbalsta regulējumam tiek labāk nodrošināta, ja visi VGAR nosacījumi ir ietverti nacionālā līmeņa normatīvajā aktā, proti, attiecīgajā atbalsta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vēstules pielikumā tika pievienota Eiropas Komisijas 05.11.2015. atbilde, atbildot uz dalībvalsts jautājumu, izmantojot e-WIKI elektronisko platformu dalībvalstu jautājumu uzdošanai, kur Eiropas Komisijai, uzsvēra, ka, veicot atbalsta pasākumu uzraudzību, ir konstatēts, ka efektīva atbilstība komercdarbības atbalsta regulējumam tiek labāk nodrošināta, ja visi VGAR nosacījumi ir ietverti nacionālā līmeņa normatīvajā aktā, proti, attiecīgajā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saskaņā ar Finanšu ministrijas sniegto informāciju, Tieslietu ministrija 2007. gadā uz Eiropas Komisijas 12.02.2027. vēstuli Nr.12/02/07*D/50580 “Par Komisijas regulu par valsts atbalstu tiešu piemērošanu valsts tiesību sistēmā” ir sniegusi viedokli, ka, lai novērstu turpmākās problēmas normatīvo aktu projektu valsts atbalsta jomā saskaņošanā un izvairītos no pārkāpumu procedūrām valsts atbalsta piešķiršanas jomā (kur šobrīd izriet, ka valstij pārkāpumu gadījumā var būt lielākas un reālākas finansiālās sankcijas, nekā regulu pārrakstīšanas gadījumā), lai nodrošinātu Eiropas Savienības regulu prasību izpildi, ministrijas var iekļaut attiecīgās regulu normas normatīvo aktu projektu valsts atbalsta jomā tekstos, ja tas nepieciešams šo normatīvo aktu projektu skaidrai un nepārprotamai uztverei, vienlaikus strikti ievērojot regulu normu saturisko ietvaru un aizliegumu tās interpretēt un aizpildot normatīvā akta projekta anotācijas V sadaļu par attiecīgo regulu normu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2.3.1.2.pasākuma pirmās atlases kārtas ietvaros projektu īstenošanu ir jāpabeidz līdz 30.06.2026. un, lai  ātrāk saskaņotu noteikumu projektu, ņemot vērā arī ar noteikumu projekta 22-TA-1939 saskaņošanu gūto pieredzi, lūdzam saskaņot uz komercdarbības atbalstu attiecināmās normas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Komercdarbības atbalsts šo noteikumu </w:t>
            </w:r>
            <w:r w:rsidR="00000000" w:rsidRPr="00000000" w:rsidDel="00000000">
              <w:rPr>
                <w:rtl w:val="0"/>
              </w:rPr>
              <w:t xml:space="preserve">27.13.</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36.a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komercdarbības atbalsts netiek sniegts finansējuma saņēmējam, uz kuru attiecas līdzekļu atgūšanas rīkojums saskaņā ar regulas </w:t>
            </w:r>
            <w:r w:rsidR="00000000" w:rsidRPr="00000000" w:rsidDel="00000000">
              <w:rPr>
                <w:rtl w:val="0"/>
              </w:rPr>
              <w:t xml:space="preserve">Nr. 651/2014</w:t>
            </w:r>
            <w:r w:rsidR="00000000" w:rsidRPr="00000000" w:rsidDel="00000000">
              <w:rPr>
                <w:rtl w:val="0"/>
              </w:rPr>
              <w:t xml:space="preserve"> 1.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nosacījumi ir jāvērtē/jāpiemēro uzņēmuma grupas līmenī (Komisijas regulas Nr.651/2014 angliskajā versijā nosacījumi, kas ir attiecināmi uz ‘undertaking’, ir jāpārbauda/jāpiemēro uzņēmuma grupas līmenī), lūdzam noteikumu 55.2. un 55.3.apakšpunktus precizēt, lai nodrošinātu, ka ar terminu "finansējuma saņēmējs" tiek saprasts, ka finansējuma saņēmējs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gadījumā, finansējuma saņēmējs tiek vērtēts viena vienota uzņēmuma līmenī, un tieši, tiek vērtēts finansējuma saņēmējs un ar to saistīti uzņēmumi. Saistīti uzņēmumi (regulas Nr. 651/2014 3.panta 3.punkts) un viens vienots uzņēmums (regulas Nr. 2023/2831 2.panta 2.punkts) ir uzņēmumi, kuru starpā pastāv kādas no šādām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uzņēmumam ir akcionāru vai dalībnieku balsstiesību vairākums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ir tiesības iecelt vai atlaist pārvaldes, vadības vai uzraudzības struktūras dalībnieku vairākumu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uzņēmumam ir tiesības īstenot noteicošu ietekmi pār citu uzņēmumu saskaņā ar līgumu, kas noslēgts ar šo uzņēmumu, vai saskaņā ar tā dibināšanas līguma klauzulu vai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uzņēmums, kas ir cita uzņēmuma akcionārs vai dalībnieks, vienpersoniski kontrolē akcionāru vai dalībnieku vairākuma balsstiesības minētajā uzņēmumā saskaņā ar vienošanos, kas panākta ar pārējiem uzņēmuma akcionāriem vai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1. panta 4. punktu, izvērtējot finansējuma saņēmēju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intensitāte šo noteikumu </w:t>
            </w:r>
            <w:r w:rsidR="00000000" w:rsidRPr="00000000" w:rsidDel="00000000">
              <w:rPr>
                <w:rtl w:val="0"/>
              </w:rPr>
              <w:t xml:space="preserve">27.14.</w:t>
            </w:r>
            <w:r w:rsidR="00000000" w:rsidRPr="00000000" w:rsidDel="00000000">
              <w:rPr>
                <w:rtl w:val="0"/>
              </w:rPr>
              <w:t xml:space="preserve"> apakšpunktā minētai attiecināmo izmaksu pozīcijai nepārsniedz 85 % no kopējām projekta attiecināmajām izmaksām darbībām saskaņā ar </w:t>
            </w:r>
            <w:r w:rsidR="00000000" w:rsidRPr="00000000" w:rsidDel="00000000">
              <w:rPr>
                <w:rtl w:val="0"/>
              </w:rPr>
              <w:t xml:space="preserve">regulas Nr. 651/2014</w:t>
            </w:r>
            <w:r w:rsidR="00000000" w:rsidRPr="00000000" w:rsidDel="00000000">
              <w:rPr>
                <w:rtl w:val="0"/>
              </w:rPr>
              <w:t xml:space="preserve"> 36.a panta 5. un 7. punkta nosacījumiem, nepārsniedzot 40 % vienam projekta iesniedzējam no projekta kopējām izmaksām, ņemot vērā arī šo noteikumu </w:t>
            </w:r>
            <w:r w:rsidR="00000000" w:rsidRPr="00000000" w:rsidDel="00000000">
              <w:rPr>
                <w:rtl w:val="0"/>
              </w:rPr>
              <w:t xml:space="preserve">59.</w:t>
            </w:r>
            <w:r w:rsidR="00000000" w:rsidRPr="00000000" w:rsidDel="00000000">
              <w:rPr>
                <w:rtl w:val="0"/>
              </w:rPr>
              <w:t xml:space="preserve"> punkta un </w:t>
            </w:r>
            <w:r w:rsidR="00000000" w:rsidRPr="00000000" w:rsidDel="00000000">
              <w:rPr>
                <w:rtl w:val="0"/>
              </w:rPr>
              <w:t xml:space="preserve">73.9.</w:t>
            </w:r>
            <w:r w:rsidR="00000000" w:rsidRPr="00000000" w:rsidDel="00000000">
              <w:rPr>
                <w:rtl w:val="0"/>
              </w:rPr>
              <w:t xml:space="preserve"> apakšpunkta nosacījumus. Atbalsta intensitāte atbilst regulas </w:t>
            </w:r>
            <w:r w:rsidR="00000000" w:rsidRPr="00000000" w:rsidDel="00000000">
              <w:rPr>
                <w:rtl w:val="0"/>
              </w:rPr>
              <w:t xml:space="preserve">Nr. 651/2014</w:t>
            </w:r>
            <w:r w:rsidR="00000000" w:rsidRPr="00000000" w:rsidDel="00000000">
              <w:rPr>
                <w:rtl w:val="0"/>
              </w:rPr>
              <w:t xml:space="preserve"> 2. panta 26.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27.14.apakšpunktā ir uzskaitītas vairākas attiecināmās izmaksas, aicinām precizēt 56.punktā noteikto "</w:t>
            </w:r>
            <w:r w:rsidR="00000000" w:rsidRPr="00000000" w:rsidDel="00000000">
              <w:rPr>
                <w:i w:val="1"/>
                <w:rtl w:val="0"/>
              </w:rPr>
              <w:t xml:space="preserve">27.14. apakšpunktā minētai attiecināmo izmaksu pozīcijai</w:t>
            </w:r>
            <w:r w:rsidR="00000000" w:rsidRPr="00000000" w:rsidDel="00000000">
              <w:rPr>
                <w:rtl w:val="0"/>
              </w:rPr>
              <w:t xml:space="preserve">", aizstājot to šādi: " 27.14. apakšpunktā minētajām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Nr.651/2014 36.a panta 5.punktam maksimālā atbalsta intensitāte ir 100%, attiecīgi aicinām precizēt 56.punktā noteikto vai arī sniegt skaidrojumu anotācijas 5.sadaļas 1.tabulas atbilstības izvērtējumā, kādēļ tiesību akta izstrādātajs ir noteicis stingrākus prasījumus, nekā to noteic Komisijas regula Nr.651/2014. Savukārt 56.punktā iekļauto nosacījumu "</w:t>
            </w:r>
            <w:r w:rsidR="00000000" w:rsidRPr="00000000" w:rsidDel="00000000">
              <w:rPr>
                <w:i w:val="1"/>
                <w:rtl w:val="0"/>
              </w:rPr>
              <w:t xml:space="preserve">nepārsniedzot 40 % vienam projekta iesniedzējam no projekta kopējām izmaksām</w:t>
            </w:r>
            <w:r w:rsidR="00000000" w:rsidRPr="00000000" w:rsidDel="00000000">
              <w:rPr>
                <w:rtl w:val="0"/>
              </w:rPr>
              <w:t xml:space="preserve">", aicinām precizēt atbilstoši tam, kā tas ir noteikts Komisijas regulas Nr.651/2014 36.a panta 7.punktā, proti, ka vienam uzņēmumam piešķirtais atbalsts nepārsniedz 40 % no attiecīgās shēmas kopējā budžeta. Vienlaikus lūdzam no Komisijas regulas Nr.651/2014 36.a panta 7.punkta izrietošo nosacījumu izdalīt atsevišķā punktā, jo tas attiecas uz atbalsta 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56.punkta pirmā teikuma beigu daļu "</w:t>
            </w:r>
            <w:r w:rsidR="00000000" w:rsidRPr="00000000" w:rsidDel="00000000">
              <w:rPr>
                <w:i w:val="1"/>
                <w:rtl w:val="0"/>
              </w:rPr>
              <w:t xml:space="preserve">ņemot vērā arī šo noteikumu 59. punkta un 73.9. apakšpunkta nosacījumus</w:t>
            </w:r>
            <w:r w:rsidR="00000000" w:rsidRPr="00000000" w:rsidDel="00000000">
              <w:rPr>
                <w:rtl w:val="0"/>
              </w:rPr>
              <w:t xml:space="preserve">", jo minētie nosacījumi neattiecas uz atbalsta intensitāšu noteikšanu.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Atbalsta intensitāte šo noteikumu 27.13. apakšpunktā minētajām attiecināmajām izmaksām nepārsniedz 100 % no kopējām projekta attiecināmajām izmaksām darbībām saskaņā ar regulas Nr. 651/2014 36.a panta 5.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Vienam uzņēmumam piešķirtais atbalsts nepārsniedz 40 % no attiecīgās shēmas kopējā budžeta saskaņā ar regulas Nr. 651/2014 36.a panta 7. punkta nosacījumiem. Atbalsta intensitāte atbilst regulas Nr. 651/2014 2. panta 26.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Atbalsta intensitāte šo noteikumu 27.15 apakšpunktā minētajām attiecināmajām izmaksām nepārsniedz  100 % no finansējuma deficīta saskaņā ar regulas Nr. 651/2014 48. panta 6. punkta nosacījumiem. Atbalstu ierobežo līdz minimumam, kas nepieciešams atbalstāmā projekta vai darbības veikšanai, ņemot vērā regulas Nr. 651/2014  2. panta 118. punktā definētajam finansējuma deficītam.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Atbalsta intensitāte šo noteikumu </w:t>
            </w:r>
            <w:r w:rsidR="00000000" w:rsidRPr="00000000" w:rsidDel="00000000">
              <w:rPr>
                <w:rtl w:val="0"/>
              </w:rPr>
              <w:t xml:space="preserve">27.13.</w:t>
            </w:r>
            <w:r w:rsidR="00000000" w:rsidRPr="00000000" w:rsidDel="00000000">
              <w:rPr>
                <w:rtl w:val="0"/>
              </w:rPr>
              <w:t xml:space="preserve"> apakšpunktā minētajām attiecināmajām izmaksām nepārsniedz 100 % no kopējām projekta attiecināmajām izmaksām darbībām saskaņā ar </w:t>
            </w:r>
            <w:r w:rsidR="00000000" w:rsidRPr="00000000" w:rsidDel="00000000">
              <w:rPr>
                <w:rtl w:val="0"/>
              </w:rPr>
              <w:t xml:space="preserve">regulas Nr. 651/2014</w:t>
            </w:r>
            <w:r w:rsidR="00000000" w:rsidRPr="00000000" w:rsidDel="00000000">
              <w:rPr>
                <w:rtl w:val="0"/>
              </w:rPr>
              <w:t xml:space="preserve"> 36.a panta 5.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regulas </w:t>
            </w:r>
            <w:r w:rsidR="00000000" w:rsidRPr="00000000" w:rsidDel="00000000">
              <w:rPr>
                <w:rtl w:val="0"/>
              </w:rPr>
              <w:t xml:space="preserve">Nr. 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85 %;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Komisijas regulas Nr.2023/2831 5.panta 2.punktā noteikto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 lūdzam anotācijas 5.sadaļas 1.tabulā atbilstības izvērtējumā skaidrot, kādēļ Satiksmes ministrija kā tiesību akta projekta izstrādātāja noteikumos ir paredzējusi stingrākas prasības, nekā to paredz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Atbalstu, ko piešķir šo noteikumu ietvaros, var summēt (kumulēt) ar citu komercdarbības atbalstu un </w:t>
            </w:r>
            <w:r w:rsidR="00000000" w:rsidRPr="00000000" w:rsidDel="00000000">
              <w:rPr>
                <w:i w:val="1"/>
                <w:rtl w:val="0"/>
              </w:rPr>
              <w:t xml:space="preserve">de minimis</w:t>
            </w:r>
            <w:r w:rsidR="00000000" w:rsidRPr="00000000" w:rsidDel="00000000">
              <w:rPr>
                <w:rtl w:val="0"/>
              </w:rPr>
              <w:t xml:space="preserve"> atbalstu atbilstoši regulas </w:t>
            </w:r>
            <w:r w:rsidR="00000000" w:rsidRPr="00000000" w:rsidDel="00000000">
              <w:rPr>
                <w:rtl w:val="0"/>
              </w:rPr>
              <w:t xml:space="preserve">Nr. 2023/2831</w:t>
            </w:r>
            <w:r w:rsidR="00000000" w:rsidRPr="00000000" w:rsidDel="00000000">
              <w:rPr>
                <w:rtl w:val="0"/>
              </w:rPr>
              <w:t xml:space="preserve"> 5.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noteikumu projekta 61.punkta būtības izriet, ka šī punkta ietvaros runa joprojām ir par </w:t>
            </w:r>
            <w:r w:rsidR="00000000" w:rsidRPr="00000000" w:rsidDel="00000000">
              <w:rPr>
                <w:i w:val="1"/>
                <w:rtl w:val="0"/>
              </w:rPr>
              <w:t xml:space="preserve">de minimis</w:t>
            </w:r>
            <w:r w:rsidR="00000000" w:rsidRPr="00000000" w:rsidDel="00000000">
              <w:rPr>
                <w:rtl w:val="0"/>
              </w:rPr>
              <w:t xml:space="preserve"> atbalsta kumulēšanu ar citu komercdarbības atbalstu un/vai </w:t>
            </w:r>
            <w:r w:rsidR="00000000" w:rsidRPr="00000000" w:rsidDel="00000000">
              <w:rPr>
                <w:i w:val="1"/>
                <w:rtl w:val="0"/>
              </w:rPr>
              <w:t xml:space="preserve">de minimis</w:t>
            </w:r>
            <w:r w:rsidR="00000000" w:rsidRPr="00000000" w:rsidDel="00000000">
              <w:rPr>
                <w:rtl w:val="0"/>
              </w:rPr>
              <w:t xml:space="preserve"> atbalstu, tad aicinām izvērtēt noteikumu projekta 60.3.apakšpunkta nepieciešamību, jo tas būtībā atkārto to pašu, kas noteikts noteikumu projekta 61.punktā, kā arī izmantot standartizēto kumulācijas redakciju, kas aptver gan gadījumus, kad </w:t>
            </w:r>
            <w:r w:rsidR="00000000" w:rsidRPr="00000000" w:rsidDel="00000000">
              <w:rPr>
                <w:i w:val="1"/>
                <w:rtl w:val="0"/>
              </w:rPr>
              <w:t xml:space="preserve">de minimis</w:t>
            </w:r>
            <w:r w:rsidR="00000000" w:rsidRPr="00000000" w:rsidDel="00000000">
              <w:rPr>
                <w:rtl w:val="0"/>
              </w:rPr>
              <w:t xml:space="preserve"> atbalsts tiek kumulēts ar citu </w:t>
            </w:r>
            <w:r w:rsidR="00000000" w:rsidRPr="00000000" w:rsidDel="00000000">
              <w:rPr>
                <w:i w:val="1"/>
                <w:rtl w:val="0"/>
              </w:rPr>
              <w:t xml:space="preserve">de minimis</w:t>
            </w:r>
            <w:r w:rsidR="00000000" w:rsidRPr="00000000" w:rsidDel="00000000">
              <w:rPr>
                <w:rtl w:val="0"/>
              </w:rPr>
              <w:t xml:space="preserve"> atbalstu, gan gadījumus, kad </w:t>
            </w:r>
            <w:r w:rsidR="00000000" w:rsidRPr="00000000" w:rsidDel="00000000">
              <w:rPr>
                <w:i w:val="1"/>
                <w:rtl w:val="0"/>
              </w:rPr>
              <w:t xml:space="preserve">de minimis</w:t>
            </w:r>
            <w:r w:rsidR="00000000" w:rsidRPr="00000000" w:rsidDel="00000000">
              <w:rPr>
                <w:rtl w:val="0"/>
              </w:rPr>
              <w:t xml:space="preserve"> atbalsts tiek kumulēts ar citu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atbalsta pasākuma ietvaros ir pieļaujama piešķirto atbalstu kumulācija, aicinām papildināt noteikumu projektu ar nosacījumu, kas paredz finansējuma saņēmēja pienākumu iesniegt sadarbības iestādē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iesniedzot projekta pieteikumu, pievieno šo noteikumu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minētus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69. punkts ir izteikts neatbilstoši noteikumu Nr. 108 3.2. un 3.3. apakšpunktam, jo dublē noteikumu projekta 23.4. un 23.5. apakšpunktos ietverto regulējumu. Ņemot vērā minēto, lūdzam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Citi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nodaļā ietvertie jautājumi neapvieno noteikumu projekta punktus, kas attiecas uz vienu regulējamo jautājumu, bet ietver citās nodaļās minēto regulējumu. Tas neatbilst noteikumu Nr. 108 103. punktam, kas paredz, ka noteikumu projektam var būt nodaļas un apakšnodaļas, ja tas uzlabo projekta teksta uztveramību un skaidrību. Nodaļās (apakšnodaļās) ir jāapvieno tie noteikumu projekta punkti, kas attiecas uz vienu regulējamo jautājumu. Ņemot vērā minēto, lūdzam attiecīgo nodaļu svītrot un punktus ietvert citās atbilstošajās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finansējumu un veic uzraudzību atbilstoši </w:t>
            </w:r>
            <w:r w:rsidR="00000000" w:rsidRPr="00000000" w:rsidDel="00000000">
              <w:rPr>
                <w:rtl w:val="0"/>
              </w:rPr>
              <w:t xml:space="preserve">MK noteikumiem Nr. 408</w:t>
            </w:r>
            <w:r w:rsidR="00000000" w:rsidRPr="00000000" w:rsidDel="00000000">
              <w:rPr>
                <w:rtl w:val="0"/>
              </w:rPr>
              <w:t xml:space="preserve">, veic maksājumus finansējuma saņēmējam vienošanās vai līgumā noteiktajā kārtībā atbilstoši </w:t>
            </w:r>
            <w:r w:rsidR="00000000" w:rsidRPr="00000000" w:rsidDel="00000000">
              <w:rPr>
                <w:rtl w:val="0"/>
              </w:rPr>
              <w:t xml:space="preserve">Ministru kabineta 2023. gada 25. aprīļa noteikumiem Nr. 205 “Valsts budžeta līdzekļu plānošanas kārtība Eiropas Savienības fondu projektu īstenošanai un maksājumu veikšanai 2021.–2027. gada plānošanas periodā”</w:t>
            </w:r>
            <w:r w:rsidR="00000000" w:rsidRPr="00000000" w:rsidDel="00000000">
              <w:rPr>
                <w:rtl w:val="0"/>
              </w:rPr>
              <w:t xml:space="preserve">, papildus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 punktā iekļautais regulējums ir ārpus minēto noteikumu deleģējuma, kā arī dublē tāda paša spēka normatīvā akta tiesību normās ietverto normatīvo regulējumu. Skaidrojam, ka Ministru kabineta noteikumos nevar būt iekļautas tādas materiālās tiesību normas, kas veidotu no pilnvarojošā likuma būtiski atšķirīgas tiesiskās attiecības. Līdz ar to lūdzam noteikumu projekta 72. 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noteikumu projekta 1. punktu (tostarp lūdzam svītrot noteikumu projekta 1.6. un 1.7. apakšpunktu), ievērojot noteikumu Nr. 108 100.2. apakšpunktu, no kura izriet, ka noteikumu projekta 1. punktā raksta (pārraksta)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72. punkts ar apakšpunktiem. Svītroti noteikumu 1. punkta 1.6. un 1.7.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73. punkts daļēji dublē paša normatīvā akta projektā ietverto regulējumu (V nodaļā). Nav skaidrs, kāpēc finansējuma saņēmēja pienākumi ir atrunāti šajā nodaļā, ņemot vērā, ka lielākā daļa regulējuma, kas saistīta ar finansējuma saņēmēju, jau ir iekļauta noteikumu projekta 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un 73. punkta regulējumu iekļaut noteikumu projekta V nodaļā, izņemot normas, kas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73. punkts pārcelts uz V nodaļu (MKN 41.punkts).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w:t>
            </w:r>
            <w:r w:rsidR="00000000" w:rsidRPr="00000000" w:rsidDel="00000000">
              <w:rPr>
                <w:i w:val="1"/>
                <w:rtl w:val="0"/>
              </w:rPr>
              <w:t xml:space="preserve">De minimis</w:t>
            </w:r>
            <w:r w:rsidR="00000000" w:rsidRPr="00000000" w:rsidDel="00000000">
              <w:rPr>
                <w:rtl w:val="0"/>
              </w:rPr>
              <w:t xml:space="preserve"> atbalstu šo noteikumu ietvaros piešķir līdz regulas </w:t>
            </w:r>
            <w:r w:rsidR="00000000" w:rsidRPr="00000000" w:rsidDel="00000000">
              <w:rPr>
                <w:rtl w:val="0"/>
              </w:rPr>
              <w:t xml:space="preserve">Nr. 2023/2831</w:t>
            </w:r>
            <w:r w:rsidR="00000000" w:rsidRPr="00000000" w:rsidDel="00000000">
              <w:rPr>
                <w:rtl w:val="0"/>
              </w:rPr>
              <w:t xml:space="preserve"> 7. panta 3. punktā un 8. 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74. punkts attiecas uz noteikumu projekta VI nodaļas regulējumu, kas saistīts ar komercdarbības atbalsta saņemšanas nosacījumiem. Noteikumu Nr. 108 2.4. punkts nosaka, ka normatīvā akta projekta teksts jāizklāsta loģiskā secībā. Ņemot vērā minēto, lūdzam noteikumu projekta 74. punkta regulējumu iekļaut VI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74. punkts pārcelts uz VI nodaļu, mainīta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w:t>
            </w:r>
            <w:r w:rsidR="00000000" w:rsidRPr="00000000" w:rsidDel="00000000">
              <w:rPr>
                <w:i w:val="1"/>
                <w:rtl w:val="0"/>
              </w:rPr>
              <w:t xml:space="preserve">De minimis</w:t>
            </w:r>
            <w:r w:rsidR="00000000" w:rsidRPr="00000000" w:rsidDel="00000000">
              <w:rPr>
                <w:rtl w:val="0"/>
              </w:rPr>
              <w:t xml:space="preserve"> atbalstu šo noteikumu ietvaros piešķir līdz regulas </w:t>
            </w:r>
            <w:r w:rsidR="00000000" w:rsidRPr="00000000" w:rsidDel="00000000">
              <w:rPr>
                <w:rtl w:val="0"/>
              </w:rPr>
              <w:t xml:space="preserve">Nr. 2023/2831</w:t>
            </w:r>
            <w:r w:rsidR="00000000" w:rsidRPr="00000000" w:rsidDel="00000000">
              <w:rPr>
                <w:rtl w:val="0"/>
              </w:rPr>
              <w:t xml:space="preserve"> 7. panta 3. punktā un 8. 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63.un 64.punktā jau ir noteikti termiņi, saskaņā ar kuriem šī atbalsta pasākuma ietvaros iespējams piešķirt atbalstu gan saskaņā ar Komisijas regulu Nr.2023/2831, gan saskaņā ar Komisijas regulu Nr.651/2014, aicinām izvērtēt, kuru no nosacījumiem atstāt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nosakot konkrētu termiņu, līdz kuram iespējams pieņemt lēmumu, kā tas ir paredzēts noteikumu projekta 63.un 64.punktā, tiesību akta izstrādātājs ir paredzējis stingrākus nosacījumus, nekā to paredz Komisijas regula Nr.2023/2831 un Komisijas regula Nr.651/2014, jo abiem regulējumiem vēl ir piemērojams pārejas periods, kurās tie ir piemērojami. Ja tiesību akta izstrādātājs izvēlas noteikumu projektā atstāt nosacījumus, kas ietverti tā 63.un 64.punktā, aicinām papildināt arī anotācijas 5.sadaļas 1.tabulā ietverto atbilstības izvērtējumu, skaidrojot, kādēļ noteikumi paredz stingrākas prasības, nekā Komisijas regula Nr.2023/2831 un Komisijas regula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63.punkts, 64.punkts svītrots. 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Lēmumu par komercdarbības atbalsta piešķiršanu saskaņā ar regulas Nr. 651/2014 36.a un 48. pantu pieņem līdz 2027.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MKN projekta anotācijā precizēt , kādus sadarbības partnerus ir iespējams iesaistīt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īstenošanā var iesaistīt sadarbības partnerus (juridiskās un fiziskās personas),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norādītajā simetrijas mezglu staciju un pārsēšanās punktu sarakstā Jūrmalas valstspilsētas teritorijā kā projektā atbalstāmie pārsēšanās punkti norādītas stacijas – Lielupe, Asari, Bulduri, Majori, Sloka.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Pārsēšanās stacija “Asari” ir ar nozīmi pārsēšanās organizēšanai starp reģionālās nozīmes maršrutiem pa dzelzceļu un reģionālās nozīmes autobusu maršrutiem. Atlikušās pārsēšanās stacijas valstspilsētu teritorijās ir galvenokārt paredzētas pārsēšanās organizēšanai starp reģionālās nozīmes maršrutiem pa dzelzceļu un valstspilsētas sabiedriskā transporta maršrutiem, kuru potenciālu ATD noteikusi no vilcienu satiksmes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Stacija Sloka ir dzelzceļa stacija, kas atrodas reģionālas nozīmes maršrutu tīklā, ar vislielāko pasažieru (tajā skaitā, iedzīvotāju) apgrozījumu Jūrmalas valstspilsētā (pēc Jūrmalas valstspilsētas administrācijas rīcībā esošajiem datiem 2024. gada pirmajos 6 mēnešos  Jūrmalas valstspilsētā deklarēto iedzīvotāju (dati uz 2024. gada 01.janvāri) apgrozījums vien ir sasniedzis 200 000 ). Lūdzam izvērtēt Slokas staciju kā potenciālo simetrijas mezgla staciju un precizēt sarakstu, lai staciju Sloka iekļautu simetrijas mezglu staciju un pārsēšanās punktu sarakstā kā simetrijas mezglu staciju. Tā kā vilcieni kursē vidēji reizi pusstundā, tad jau šobrīd ir iespēja organizēt saskaņotu pārsēšanos starp gandrīz visiem vilcienu un autobusu maršrutiem.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iekļaut staciju Dubulti pārsēšanās punktu sarakstā, ņemot vērā to, ka pie stacijas pietur vairāki reģionālo un starppilsētas autobusu maršruti, kā arī pasažieru, kas Jūrmalas valstspilsētā deklarēti (dati uz 2024. gada 01.janvāri) apgrozījums 2024.gadā plānots virs 100 000.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simetrijas mezglu un pārsēšanās staciju saraksts ir izstrādāts, pamatojoties uz ATD veikto transporta infrastruktūras attīstības vajadzību analīzi, tādējādi nosakot prioritārās atbalstāmās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anotācijā ievietotajai definīcijai, simetrijas mezgla stacija ir ATD noteikta dzelzceļa stacija – nozīmīgs multimodāla sabiedriskā transporta mezgla punkts reģionālās nozīmes maršrutu tīklā, kurā atbilstoši simetriskā regulāra intervāla grafika principiem plānots vienlaicīgi organizēt saskaņotu pārsēšanos starp visiem vai gandrīz visiem apkalpotajiem vilcienu un autobusu maršrutiem un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sniegtajai definīcijai Slokas dzelzceļa stacija nav simetrijas mezgla stacija,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Slokas dzelzceļa stacija nav nozīmīgs multimodāla sabiedriskā transporta mezgla punkts reģionālās nozīmēs maršrutu tīklā, jo galvenokārt visi esošie reģionālās nozīmes autobusu maršruti, kuri apkalpo Slokas dzelzceļa staciju, ir dzelzceļam paralēli autobusu maršruti – un tādējādi ir bez būtiskas nozīmes pārsēšanās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Slokas dzelzceļa stacijā vilcienu satiksmei neveidojas simetrija atbilstoši simetriskā regulāra intervāla grafika principiem – paredzot vilcienu pienākšanu/atiešanu no Rīgas mezgla ap vienu simetrijas minūti atbilstoši simetriskam regulāram intervāla grafikam, Slokas stacijā pretējo virzienu vilcieni izmainās ar gandrīz 20 minūšu starpību, kas neatbilst simetrijas mezgla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Dubultu staciju, skaidrojam, ka Majoru stacija iekļauta kā pārsēšanās stacija potenciāla dēļ pārsēšanās veikšanai starp vilcienu un pilsētas nozīmes autobusu maršrutiem. Atbilstoši ATD veiktās analīzes rezultātiem secināts, ka Majori un Dubulti savstarpēji dublē šo funkciju, ņemot vērā to, ka Majoros sabiedriskā transporta pieturas atrodas vistuvāk stacijas peroniem, savukārt Dubultu stacijā sabiedriskā transporta pieturas ir salīdzinoši nesen tikušas pārbūvētas un atrodas tālāk no stacijas peroniem.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sniegšanas riskus, aicinām anotācijā plašāk skaidrot to, kas tiek saprasts ar digitālajiem informācijas displejiem, sasaistot tos ar noteiktu noteikumu projekta punktu. Vienlaikus lūdzam noteikumu projekta 27.punkta kontekstā skaidrot, ar kādu mērķi digitālie informācijas displeji tiek uzstādīti un kas ir to sniegtās informācijas patiesie labuma guvēji.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Digitālie informācijas displeji ir paredzēti sabiedriskā transporta savienojumu punkta informācijas, saistītas ar funkcionalitāti, atspoguļošanai. Šo noteikumu ietvaros, digitālie displeji ir publiskās infrastruktūras elements, kas paredzēts sabiedriskā transporta kustības saraksta atspoguļošanai vai citai, ar sabiedriskā transporta kustību vai savienojuma punkta funkcionalitāti saistītās informācijas izvietošanai. Patiesie labuma guvēji ir sabiedriskā transporta savienojumu punkta infrastruktūras lietotāji (iedzīvotāji, tūristi). Digitālo displeju iegādes un uzstādīšanas izmaksas ir attiecināmas, saskaņā ar 27.6. apakšpunktu un tiem nav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anotācijā konkretizēt – kādi tieši dati / kādā griezumā būs jāapkopo? 41.2. punkta apakšpunktā norādītās jomas ir ļoti vispārīgas un nav skaidrs, kādi dati būs jāapkopo, lai norādītu, ka tiek ievēroti šādi principi: vienlīdzība, iekļaušana, nediskriminācija un pamattiesību ievērošana; klimatdrošināšana;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precīzi norādit, kādi dati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darbības, kas veicina personu ar invaliditāti vienlīdzīgās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digitāli pakalpojumi vai programmas,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uz tīmekļvietnes un uz mobilajām ierīcēm balstīti pakalpojumi, tostarp mobilās lietotnes, kas ir piekļūstamas, atbilst personu ar invaliditāti īpašajām vajadzībām un uzlabo piekļuvi transporta infrastruktūrai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Investīcijām ir netieša ietekme un horizontālo principu (HP) "Vienlīdzība, iekļaušana, nediskriminācija, un pamattiesību ievērošana" un netieša ietekme uz horizontālo principu "Klimatnodrošināšana", kā arī tiešā ietekme uz "Energoefektivitāte pirmajā vietā, nodrošinot energoefektīvā apgaismojuma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horizontālo principu "Vienlīdzība, iekļaušana, nediskriminācija un pamattiesību ievērošana" un uzkrāj datus par projekta ietekmi uz horizontālā principa rādītāju - objektu skaitu, kuros ir nodrošināta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kritēriji apstiprināti Eiropas Savienības fondu 2021.–2027.gada plānošanas perioda Uzraudzības komitejas rakstiskajā procedūrā ar 2024. gada 18. septembra lēmumu Nr. 5.2-3/16/35, kur kā viens no specifiskajiem atbilstības kritērijiem ir horizontālā principa "Vienlīdzība, iekļaušana, nediskriminācija un pamattiesību ievērošana"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ir paredzētas darbības, kas veicina horizontālā principa "Vienlīdzība, iekļaušana, nediskriminācija un pamattiesību ievērošanu"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iesniedzējam ir obligāti jāsniedz informācija par objektu skaitu, kuros ir nodrošināta vides un informācijas pieejamība (VINTI_18), citi izvēles rādītāji uzskaitīti minētajā kritēriju piemērošanas metodikā.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Horizontālie principi (HP)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 netieša ietekme uz horizontālo principu "Klimatdrošināšana" un netieša ietekme uz horizontālo principu "Nenodarīt būtisku kaitējumu". Plānotajām investīcijām būs ietekme uz horizontālo principu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SEG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100 % atbalsta klimata pārmaiņu mērķi (81 "Tīra pilsētvides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pasākums 40 %  atbalsta klimata pārmaiņu mērķus (108 "Multimodālais transports (TEN-T)" un 109 "Multimodālais transports (ārpus pilsētvides)").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veikti videi draudzīgi uzlabojumi sabiedriskā transporta sistēmā, t.i., tiks nodrošināta tīra sabiedriskā transporta infrastruktūra (sabiedriskā transporta savienojumu punktu izveide multimodālai mobilitātei, nodrošinot dažādu pārvietošanās veidu savienojamību).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Multimodālā sabiedriskā transporta tīkla izveide neizraisīs negatīvu ietekmi uz pašreizējā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īstenotais projekts un atbalstāmās darbības tiek īstenotas ievērojot principa "Nenodarīt būtisku kaitējumu" novērtējumā minēto, proti, jau projektēšanas stadijā ņem vērā ar klimata pārmaiņām saistītos riskus, tostarp riskus, kas varētu rasties būvniecības, uzturēšanas un ekspluatācijas laikā. Horizontālā principa "Nenodarīt būtisku kaitējumu" vērtēšanas apjoms ir iekļauts projekta iesnieguma vērtēšanas kritēriju piemērošanas metodikā. Balstoties uz Uzraudzības komitejas apstiprinātajiem projektu iesniegumu vērtēšanas kritērijiem un kritēriju piemērošanas metodiku, tiks vērtēta iepirkumu atbilstība zaļā publiskā iepirkuma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saņēmējam jānodrošina zemāk norādīto nosacījumu ievērošanu (identificēti horizontālā principa "Nenodarīt būtisku kaitējumu" (Do no significant harm – DNSH) novērtējumā), lai nodrošinātu, ka tiek novērsta vai mazināta projekta ietvaros īstenoto darbību ietekme uz vidi,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rašanās būvniecības laikā tiks ierobežota saskaņā ar ES būvniecības un nojaukšanas atkritumu apsaimniekošanas protokolu un tiks veicināta atkārtota materiālu izmantošana un augstas kvalitātes pārstrāde, piemērojot materiālu atlasi, izmantojot labākās pieejamās būvgružiem paredzētās šķirošanas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projektēšanas stadijā tiks ņemti vērā ar klimata pārmaiņām saistītie riski un tiks noteikti arī ar būvniecību, uzturēšanu un ekspluatāciju saistītie riski.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Izmaksu ierobežojumu 1.4. punktā, ka arī visā anotācijas tekstā lietot pilnu ekspertu nosaukumu - vides un informācijas piekļūstamības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19.punktam, projekta iesniedzējs/finansējuma saņēmējs ir pašvaldības un/vai pašvaldību kapitālsabiedrības, savukārt noteikumu projekta 11.punkts nosaka, ka  pasākuma ietvaros nacionālais finansējums ir pašvaldību un privātais finansējums. Attiecīgi lūdzam precizēt anotācijas 3.sadaļas 2.1., 2.3., 3.1., 3.3. un 5.3. apakšpunktos norādīto informāciju (valsts budžeta izdevumi nevar būt lielāki kā izdevumi no ERAF finansējuma, attiecīgi līdzfinansējuma daļa, kas attiecas uz pašvaldībām, jānorāda kā pašvaldību budžeta izdevumi; 2.1.apakšpunktā nepieciešams norādīt tikai ERAF finansējuma apmēru, savukārt 2.3.apakšpunktā jānorāda nacionālā līdzfinansējuma apmērs, vienlaikus, ja ir zināms provizoriskais nacionālā līdzfinansējuma sadalījuma apmērs starp pašvaldību un privāto sektoru, tad 2.3.apakšpunktā būtu norādāms tikai pašvaldību līdzfinansējuma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kā kārtējo gadu norādot 2024.gadu, kā arī precizēt norādīto informāciju 6.punktā tabulā, kurā norādīts attiecināmais finansējums sadalījumā pa finansējuma avotiem un gadiem, lai sadalījums pa gadiem kopsummā būtu atbilstošs norādītajam finansējumam kopā, kā arī salāgot, lai informācija 6.punkta tabulā sakrīt ar anotācijas 3.sadaļas 1. – 5.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finansējuma apmērs 2028.gadam 1. un 2.punktā norādīts kā finansējums 2028. un 2029.gadam kopā (atbilstoši anotācijas 3.sadaļas 6.punktā esošajai tabulai), līdz ar to 2028.gada ailē lūdzam precizēt finansējuma apmēru, norādot finansējumu tikai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39.punktā izteikto iebildumu, tabula sākās ar 2024.gadu un pēdējais tabulā iekļautais gads ir 2027. Līdz ar to kolonnā 2027 norādīts finansējums tikai par 2027.gadu.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2.3.1.2.pasākuma “Multimodāls sabiedriskā transporta tīkls” (turpmāk – 2.3.1.2.pasākums)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1 995 781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2.3.1.2.pasākuma īstenošanas uzsākšanu un priekšfinansēšanu 2025.gada pirmajā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paredzēto, ka pasākuma ietvaros, kurā projekta iesniedzējs/finansējuma saņēmējs ir pašvaldības un/vai pašvaldību kapitālsabiedrības, sadarbības iestāde (CFLA) piešķir finansējumu, veic uzraudzību un veic maksājumus finansējuma saņēmējam vienošanās vai līgumā noteiktajā kārtībā, nav atbalstāms protokollēmuma projekta 3.punktā paredzētais par to, ka Satiksmes ministrija pieprasīs finansējumu pasākuma īstenošanas uzsākšanai un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Ministru kabineta 2018.gada 17.jūlija noteikumu  Nr. 421 “Kārtība, kādā veic gadskārtējā valsts budžeta likumā noteiktās apropriācijas izmaiņas” 24.2. apakšpunktu Ministru kabinets lēmumu par līdzekļu piešķiršanu izņēmuma kārtā pirms Eiropas Savienības fondu projektu iesnieguma apstiprināšanas sadarbības iestādē pieņem, pamatojoties uz iesniegto argumentāciju un risku analīzi, bet šobrīd anotācijā nav sniegta informāciju ne par argumentāciju, ne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vienkāršoto izmaksu piemērošanu, lūdzam svītrot noteikumu projekta izdošanas pamatā atsauci uz Eiropas Savienības fondu 2021.–2027. gada plānošanas perioda vadības likuma 19. panta </w:t>
            </w:r>
            <w:r w:rsidR="00000000" w:rsidRPr="00000000" w:rsidDel="00000000">
              <w:rPr>
                <w:u w:val="single"/>
                <w:rtl w:val="0"/>
              </w:rPr>
              <w:t xml:space="preserve">6. punktu</w:t>
            </w:r>
            <w:r w:rsidR="00000000" w:rsidRPr="00000000" w:rsidDel="00000000">
              <w:rPr>
                <w:rtl w:val="0"/>
              </w:rPr>
              <w:t xml:space="preserve">, minēto norādi svītrojot arī anotācijas 1.1. sadaļas apakšsadaļā "Apraksts".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2.3.1. specifiskā atbalsta mērķa "Veicināt ilgtspējīgu daudzveidu mobilitāti pilsētās" 2.3.1.2. pasākuma "Multimodāls sabiedriskā transporta tīkls" īstenošanas noteikumi” (turpmāk – noteikumu projekts) izstrādāts, pamatojoties uz Eiropas Savienības (turpmāk – ES)  fondu 2021.-2027.gada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19. panta 13.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fondu 2021.—2027. gada plānošanas perioda vadības likuma (turpmāk - Likums) 19.panta 13.punkta izriet, ka Ministru kabineta noteikumos par specifisko atbalsta mērķi ir jābūt noteiktam - specifiskā atbalsta mērķa mērķim, pieejamam finansējumam, nacionālai līdzfinansējuma likmei, prasības projekta iesniedzējam, prasības projekta sadarbības partneriem (ja tos pieaicina), atbalstāmo darbību un izmaksu attiecināmības nosacījumiem, tostarp komercdarbības atbalsta piešķiršanas nosacījumiem (ja attiecināms), un kārtībai, kādā īsteno programmā norādīto Eiropas Savienības fonda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2009.gada 3.februāra noteikumu Nr.108 "Normatīvo aktu projektu sagatavošanas noteikumi" 100.punkts nosaka, ka noteikumu projekta pirmajā punktā secīgi raksta: vārdus “noteikumi nosaka" un tad likumā noteikto pilnvarojumu Ministru kabinetam. Ņemot vērā iepriekšminēto lūdzam pārskatīt un precizēt noteikumu projekta 1.punkā iekļautos punktus, nodrošinot atbilstību Likuma 19.panta 13.punktā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Eiropas Savienības fondu 2021.—2027. gada plānošanas perioda vadības likuma 19. panta 13. punkta izriet, ka noteikumu projektā ietveramas prasības arī </w:t>
            </w:r>
            <w:r w:rsidR="00000000" w:rsidRPr="00000000" w:rsidDel="00000000">
              <w:rPr>
                <w:u w:val="single"/>
                <w:rtl w:val="0"/>
              </w:rPr>
              <w:t xml:space="preserve">sadarbības partneriem</w:t>
            </w:r>
            <w:r w:rsidR="00000000" w:rsidRPr="00000000" w:rsidDel="00000000">
              <w:rPr>
                <w:rtl w:val="0"/>
              </w:rPr>
              <w:t xml:space="preserve">, ja tos pieaicina.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noteikumu projekta 20. punkts paredz sadarbības partneru piesaisti,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1.4. apakšpunktu aiz vārda "iesniedzējiem" ar vārdiem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papildināt III nodaļu ar prasībām sadarbības partnerim, piemēram, norādot, kādā jomā potenciālajam sadarbības partnerim jādarbojas, kāds ir tā juridiskais statuss u.tml., lai finansējuma saņēmējs to piesaistītu, un atbilstoši papildināt noteikumu projekta III nodaļas nosaukumu aiz vārda "iesniedzējiem" ar vārdiem "un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var būt jebkāda juridiskā vai fiziskā persona, kurai īpašumā ir NĪ, kas ir tieši nepieciešams sabiedriskā transporta savienojumu punkta funkcionalitātei. Sadarbības partnerim netiek piešķirts nekāds finansējums, pēc projekta iesnieguma apstiprināšanas finansējuma saņēmējs ir pašvaldības vai pašvaldību kapitālsabiedrības. Noteikumu 20. punktā norādīts pienākums projekta iesniedzējam noslēgt sadarbības līgumu ar sadarbības partneri (piedalās TIKAI ar NĪ, faktiski nodot lietošanā, nevis pats īsteno darbības projekta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pirmās atlases kārtas ietvaros līdz 2026. gada 30. jūnijam ir īstenoti vismaz 5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1.kārtas ietvaros plānots atbalstīt ļoti augstas gatavības projektus, tomēr norādām, ka jebkura projekta īstenošana saistīta ar dažādiem ārējiem faktiem un neparedzētiem šķēršļiem būvniecībā. Lai kvalitatīvi plānotu projekta virzību, minimizētu riskus dažādos procesa posmos un nodrošinātu visiem nepieciešamos gala rezultātus, ieteikums 1.kārtas ietvaros plānoto darbu pabeigšanu gadu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punktu izteikt šādā redakcijā “pirmās atlases kārtas ietvaros līdz 2027. gada 30. jūnijam ir īstenoti vismaz 5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2.3.1.2. atlases ir paredzētas atklāta konkursa veidā, kur visu pašvaldību un pašvaldību kapitālsabiedrību projekti konkurēs savā starpā, tādejādi nodrošinot vienlīdzīgu sacensību par projekta iesnieguma apstiprināšanu un ES fonda finansējuma piešķiršanu, atbalstot efektīvākos projektus,  vienlaikus veicinot investīciju ātrāku nonākšanu tautsaimniecībā (1.atlases kārtas īstenošanai paredzētais termiņš ir līdz 2026.gada 30.jūnijam, jo pēc Eiropas Komisijas lēmuma par vidusposma pārskatu Satiksmes ministrija var rosināt no 2026.gada 1.janvāra palielināt pasākumam pieejamo finansējumu līdz MK noteikumos norādītam kopēja finansējuma apmēram, paredzot elastības finansējuma izmantošanu 3.atlases kārtai) un ES fondu apguvi, tādēļ prioritāte tiks piešķirta augstas gatavības projektiem. Kritērijs izvēlēts, ņemot vērā augstas gatavības projektu esamību pašvaldībās un lai sekmētu N+2 un N+3  finanšu mērķu izpildi un nezaudētu transporta nozarei piešķirto ES fondu finansējumu. Savukārt otrajā un turpmākajās kārtās varēs piedalīties pārējie projekti ar īstenošanas termiņu līdz 2029.gada 31.dcembrim.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sabiedriskā transporta savienojumu punkti var nebūt izbūvēti no “nullēs”, atbalstāmi arī tādi punkti, kuriem līdz pilnvērtīgai funkcionalitātei trūkst kāda sastāvdaļa, piemēram, autostāvvieta, uzlādes punkti, labiekārtošana u.tml. un to ir iespējams paveikt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1.atlases ietvaros projektu īstenošanas termiņš ir līdz 2026.gada 30.jūnijam, papildus punktu piešķiršana par īstenošanu līdz 2026.gada 30.jūnijam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pirmās atlases kārtas ietvaros līdz 2026. gada 30. jūnijam ir īstenoti vismaz 5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Minimālā attiecināmo izmaksu kopsumma vienam projektam ir 200 000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Nr. 2021/1060 53. panta 2. punktā minētajam "Ja darbības kopējās izmaksas nepārsniedz 200 000 EUR, iemaksas no ERAF, ESF+, TPF, AMIF, IDF un BMVI saņēmējam sniedz vienības izmaksu, fiksētas summas maksājumu vai vienotas likmes finansējuma veidā, izņemot darbības, kurām sniegtais atbalsts ir uzskatāms par valsts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plānots izstrādāt vienkāršoto izmaksu metodiku, un vispār pasākuma ietvaros vienkāršoto izmaksu piemērošana nav plānota, tās nav iespējams piemērot un/vai tas ir nelietderīgi no samērīguma viedokļa šajā pasākumā, lūdzam sniegt argumentētu pamatojumu anotācijā un precizēt noteikumu projekta 14.punkta redakciju, ņemot vērā, ka vienkāršotās izmaksas drīkst nepiemērot projektiem, kuru kopējo izmaksu minimālais apjoms ir virs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minimālais kopējo attiecināmo izmaksu apmērs nav mazāks par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sabiedriskā transporta savienojumu punktu izbūve ar dzelzceļu kā sabiedriskā transporta sistēmas mugurkaulu, nodrošinot savienojamību ar kopējo sabiedriskā transporta tīklu. Ņemot vērā ierobežotu finansējumu, noteikumos noteiktus projektu īstenošanas termiņus, kā arī lai nodrošinātu pasākuma mērķa sasniegšanu un pieejama finansējuma novirzīšanu tādiem projektiem, kuru īstenošanas rezultāti maksimāli nodrošina pasākuma mērķa sasniegšanu, primāri novirzot finansējumu funkcionāli efektīvāko punktu izbūvei, piemēram, punktu izbūvei ar lielāku pasažieru plūsmu (plānoto vai esošo), nevis projektiem zem 200 000 euro, kur, piemēram,  paredzēta tikai labiekārtošanas elementu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iesnieguma minimālais kopējo attiecināmo izmaksu apmērs nav mazāks par 200 000 euro (ieskaitot).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finansējuma saņēmējiem ir skaidri atlases īstenošanas nosacījumi un novērstu risku, ka projekts netiks īstenots līdz 2026. gada 30. jūnijam, lūdzam iekļaut prasību, ka  pasākuma 1.kārtas ietvaros jāiesniedz augstas gatavības projekti, t.i., nosakot prasību,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projektā plānotajām darbībām, kuras nav kvalificējamas kā komercdarbības atbalsts, ir noslēgts būvniecības līgums, kurā ir noteikts, ka būvdarbi jāpabeidz līdz 2026.gada 30.jūnijam, t.sk. izbūvētā/pārbūvētā infrastruktūra tiks nodota ekspluatācijā, ko apliecinās pieņemšanas-nodošanas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projektā plānotajām darbībām, kuras kvalificējamas kā komercdarbības atbalsts atbilstoši 12.09.2023. Regulas Nr. 651/2014 36.a panta 3.punkta nosacījumiem (ja attiecināms), ir noslēgusies būvdarbu iepirkuma procedūra, ir publicēts paziņojums par līguma slēgšanas tiesību piešķiršanu un no iepirkuma dokumentācijas (nolikums, būvdarbu līguma paraugs) var izsecināt, ka plānotais būvdarbu pabeigšanas termiņš ir līdz 2026.gada 30.jūnijam, kā arī ir sniegts detalizēts plānoto darbību apraksts, to uzraudzības apraksts, risku un to preventīvo pasākumu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pirmās atlases kārtas ietvaros tiek vērtēti augstas gatavības projekti,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par projektā plānotajām darbībām, kuras nav kvalificējamas kā komercdarbības atbalsts, ir noslēgts būvniecības līgums, kurā ir noteikts, ka būvdarbi jāpabeidz līdz 2026. gada 30. jūnijam, tai skaitā izbūvētā/pārbūvētā infrastruktūra tiks nodota ekspluatācijā, ko apliecinās pieņemšanas-nodošanas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par projektā plānotajām darbībām, kuras kvalificējamas kā komercdarbības atbalsts atbilstoši 2014. gada 17. jūnija Komisijas Regulas Nr. 651/2014, ar ko noteiktas atbalsta kategorijas atzīst par saderīgām ar iekšējo tirgu, piemērojot Līguma 107. un 108. pantu (turpmāk - regula Nr. 651/2014) 36.a panta 3. punkta un regulas Nr. 651/2014 48. panta nosacījumiem, ir noslēgusies būvdarbu iepirkuma procedūra, ir publicēts paziņojums par līguma slēgšanas tiesību piešķiršanu un no iepirkuma dokumentācijas (nolikums, būvdarbu līguma paraugs) var izsecināt, ka plānotais būvdarbu pabeigšanas termiņš ir līdz 2026. gada 30. jūnijam, kā arī ir sniegts detalizēts plānoto darbību apraksts, to uzraudzības apraksts, risku un to preventīvo pasākumu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atbilstoši sadarbības iestādes izstrādātajiem metodiskajiem norādījumiem veic izmaksu un ieguvumu analīzi (finanšu analīzi un ekonomisko analīzi), ņemot vērā šo noteikumu </w:t>
            </w:r>
            <w:r w:rsidR="00000000" w:rsidRPr="00000000" w:rsidDel="00000000">
              <w:rPr>
                <w:rtl w:val="0"/>
              </w:rPr>
              <w:t xml:space="preserve">24.2.</w:t>
            </w:r>
            <w:r w:rsidR="00000000" w:rsidRPr="00000000" w:rsidDel="00000000">
              <w:rPr>
                <w:rtl w:val="0"/>
              </w:rPr>
              <w:t xml:space="preserve">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plānota atklāta projektu atlase, izmaksu un ieguvumu analīze nav obligāti veicama. Vienlaikus Komisijas regulas Nr.651/2014 48.pants paredz deficīta likmes (finanšu iztrūkuma) aprēķinu, bet deficīta likmes noteikšanai nav nepieciešams sociālekonomisko ieguvumu aprēķins, tāpēc ierosinām pilnās izmaksu un ieguvumu analīzes vietā veikt tikai finanšu analīzi deficīta likmes noteikšanai, kas ļaus ietaupīt projekta iesniedzēja un CFLA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atbilstoši sadarbības iestādes izstrādātajiem metodiskajiem norādījumiem veic izmaksu un ieguvumu analīzi (finanšu analīzi), ņemot vērā šo noteikumu 24.2.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šādi nosacījumi jau ir apstiprināti projektu iesniegumu vērtēšanas kritēriju piemērošanas metodikā.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atbilstoši sadarbības iestādes izstrādātajiem metodiskajiem norādījumiem veic izmaksu un ieguvumu analīzi (finanšu analīzi un ekonomisko analīzi), ņemot vērā šo noteikumu </w:t>
            </w:r>
            <w:r w:rsidR="00000000" w:rsidRPr="00000000" w:rsidDel="00000000">
              <w:rPr>
                <w:rtl w:val="0"/>
              </w:rPr>
              <w:t xml:space="preserve">23.1.</w:t>
            </w:r>
            <w:r w:rsidR="00000000" w:rsidRPr="00000000" w:rsidDel="00000000">
              <w:rPr>
                <w:rtl w:val="0"/>
              </w:rPr>
              <w:t xml:space="preserve"> apakšpunktā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aizpildītu sadarbības iestādes tīmekļvietnē pieejamo publisko iepirkumu dokumentācijas atbilstības pārbaudes lapu un iepirkuma norises atbilstības pārbaudes lapu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ņemot vērā, ka 1.kārtas projektiem ir noteikta augstas gatavības pakāpe, lūdzam papildināt iekavās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aizpildītu sadarbības iestādes tīmekļvietnē pieejamo publisko iepirkumu dokumentācijas atbilstības pārbaudes lapu un iepirkuma norises atbilstības pārbaudes lapu (attiecināms uz 1.kārtas projektiem un 2. un 3.kārtas projektiem,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aizpildītu sadarbības iestādes tīmekļvietnē pieejamo publisko iepirkumu dokumentācijas atbilstības pārbaudes lapu un iepirkuma norises atbilstības pārbaudes lapu (attiecināms uz  pirmās kārtas projektiem un otrās un trešās kārtas projektiem,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apliecinājumu, ka uz projekta iesniedzēju neattiecas </w:t>
            </w:r>
            <w:r w:rsidR="00000000" w:rsidRPr="00000000" w:rsidDel="00000000">
              <w:rPr>
                <w:rtl w:val="0"/>
              </w:rPr>
              <w:t xml:space="preserve">2018. gada 18. jūlija Eiropas Parlamenta un Padomes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regulas Nr. 2018/1046</w:t>
            </w:r>
            <w:r w:rsidR="00000000" w:rsidRPr="00000000" w:rsidDel="00000000">
              <w:rPr>
                <w:rtl w:val="0"/>
              </w:rPr>
              <w:t xml:space="preserve"> 136. pantā minētie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23.3. apakšpunktu, jo projekta iesniedzēja izslēgšanas nosacījumi ir noteikti Eiropas Savienības fondu 2021.—2027. gada plānošanas perioda vadības likuma 22.pantā un tie nav jānosaka Ministru kabineta noteikumos par specifisko atbalsta mērķi. Vienlaikus informējam, ka atsauci uz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regulas Nr. 2018/1046 136. pantā minētajiem izslēgšanas nosacījumiem ietver tikai  gadījumā, ja finansējuma saņēmējam projekta īstenošanā deleģēts uzdevums sniegt atbalstu gala labuma guvējam vai īstenojot Atveseļošanas un noturības mehānismu, to nosakot attiecīgajos investīciju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apliecinājumu, ka projekta iesniedzējs neatbilst kādai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viena vienota uzņēmuma līmenī, ņemot vērā arī visus ar to saistītus uzņēmumus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apliecinājumu, ka projekta iesniedzējs neatbilst kādai no </w:t>
            </w:r>
            <w:r w:rsidR="00000000" w:rsidRPr="00000000" w:rsidDel="00000000">
              <w:rPr>
                <w:rtl w:val="0"/>
              </w:rPr>
              <w:t xml:space="preserve">2014. gada 17. jūnija Komisijas Regulas Nr. 651/2014, ar ko noteiktas atbalsta kategorijas atzīst par saderīgām ar iekšējo tirgu, piemērojot Līguma 107. un 108. pantu (turpmāk - regula Nr. 651/2014)</w:t>
            </w:r>
            <w:r w:rsidR="00000000" w:rsidRPr="00000000" w:rsidDel="00000000">
              <w:rPr>
                <w:rtl w:val="0"/>
              </w:rPr>
              <w:t xml:space="preserve">  2. panta 18. punktā minētajām pazīmēm komercdarbības atbalsta gadījumā. Projekta iesniedzējs tiek vērtēts uzņēmuma grupas līmenī, ņemot vērā visus ar to saistītus uzņēmumus;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noteikumu projekta 23.4. līdz 23.8. apakšpunktos papildus norādīt, kādos gadījumos šis apliecinājums tiek pievienots projekta iesniegumam, ņemot vērā varbūtību, ka projektā var netikt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apliecinājumu, ka projekta iesniedzējs neatbilst kādai no regulas Nr. 651/2014  2. panta 18. punktā minētajām pazīmēm komercdarbības atbalsta gadījumā. Projekta iesniedzējs tiek vērtēts viena vienota uzņēmuma līmenī, ņemot vērā arī visus ar to saistītus uzņēmumus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apliecinājumu par projekta iesniedzēja atbilstību regulas Nr. 651/2014 2. panta 18. punkta "c" apakšpunkta nosacījumiem komercdarbības atbalsta gadījumā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apliecinājumu par šo noteikumu 27.13. apakšpunktā minēto darbību īstenošanai nepieciešamo regulas Nr. 651/2014 36.a panta 10. un 11. punktā minēto nosacījumu izpildi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De minimis atbalsta uzskaites sistēmā (turpmāk – Sistēma) sagatavotās veidlapas par sniedzamo informāciju de minimis atbalsta uzskaitei un piešķiršanai izdruku vai projekta iesniegumā norāda Sistēmā aizpildītās veidlapas identifikācijas numuru komercdarbības atbalsta gadījumā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apliecinājumu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vispārējas tautsaimnieciskas nozīmes pakalpojuma pilnvarojuma uzlicēja apliecinājumu, ka tas nodrošina atlīdzības (kompensācijas) maksājumu aprēķinu kontroli un pārskatīšanu, kā arī atlīdzības (kompensācijas) maksājumu pārmaksas novēršanu un atmaksāšanu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visu šo noteikumu </w:t>
            </w:r>
            <w:r w:rsidR="00000000" w:rsidRPr="00000000" w:rsidDel="00000000">
              <w:rPr>
                <w:rtl w:val="0"/>
              </w:rPr>
              <w:t xml:space="preserve">24.</w:t>
            </w:r>
            <w:r w:rsidR="00000000" w:rsidRPr="00000000" w:rsidDel="00000000">
              <w:rPr>
                <w:rtl w:val="0"/>
              </w:rPr>
              <w:t xml:space="preserve"> punktā minēto projektu komunikācijas aktivitāšu īstenošanu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23.7. apakšpunktā norādīta neprecīza atsauce uz noteikumu projekta vienību, tādēļ lūdzam precizēt atsauci, norādot korektu noteikumu projekta vienību. Kā arī līdzīgi lūdzam tehniski precizēt noteikumu projekta 73.4.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visu šo noteikumu </w:t>
            </w:r>
            <w:r w:rsidR="00000000" w:rsidRPr="00000000" w:rsidDel="00000000">
              <w:rPr>
                <w:rtl w:val="0"/>
              </w:rPr>
              <w:t xml:space="preserve">25.</w:t>
            </w:r>
            <w:r w:rsidR="00000000" w:rsidRPr="00000000" w:rsidDel="00000000">
              <w:rPr>
                <w:rtl w:val="0"/>
              </w:rPr>
              <w:t xml:space="preserve"> punktā minēto projektu komunikācijas aktivitāšu īstenošanu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saņēmējam šo noteikumu 25. punktā minētā projekta gadījumā ir jāievēro šādus komunikācijas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nodrošināt visu minēto projektu komunikācijas aktivitāšu īstenošanu ciešā sadarbībā ar atbildīgo iestādi un Eiropas Komisijas pārstāvniecību Latvijā.nodrošināt visu minēto projektu komunikācijas aktivitāšu īstenošanu ciešā sadarbībā ar atbildīgo iestādi un Eiropas Komisijas pārstāvniecību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valsts sabiedrības ar ierobežotu atbildību “Autotransporta direkcija” izziņu par ar dzelzceļu pārvadāto pasažieru skaitu (apgrozījumu) 2023. gadā plānotajā projekta īstenošanas vietā, ja projekta ietvaros paredzēta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sabiedriskā transporta savienojuma punktu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ministru kabineta noteikumi attiecas uz vairākām projektu atlases kārtām, lūdzam precizēt 23.10. punktu tā, lai to var piemērot arī nākamajām atlases kārtām, neiekļaujot konkrētu gada skaitli.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valsts sabiedrības ar ierobežotu atbildību “Autotransporta direkcija” izziņu par ar dzelzceļu pārvadāto pasažieru skaitu (apgrozījumu) plānotajā projekta īstenošanas vietā par pēdējo pieejamo kalendāro gadu pirms projektu atlases izsludināšanas, ja projekta ietvaros paredzēta šo noteikumu 17.1. un 17.2. apakšpunktā minēto sabiedriskā transporta savienojuma punktu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Skaidrojām, ka 2023. gads ir noteikts projektu iesniegumu vērtēšanas kritēriju piemērošanas metodikā.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valsts sabiedrības ar ierobežotu atbildību “Autotransporta direkcija” izziņu par ar dzelzceļu pārvadāto pasažieru skaitu (apgrozījumu) 2023. gadā plānotajā projekta īstenošanas vietā,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savienojuma punktu izbūve;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 valsts sabiedrības ar ierobežotu atbildību “Autotransporta direkcija” izziņu par ar dzelzceļu pārvadāto pasažieru skaitu (apgrozījumu) 2023. gadā plānotajā projekta īstenošanas vietā, ja projekta ietvaros paredzēta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17.2.</w:t>
            </w:r>
            <w:r w:rsidR="00000000" w:rsidRPr="00000000" w:rsidDel="00000000">
              <w:rPr>
                <w:rtl w:val="0"/>
              </w:rPr>
              <w:t xml:space="preserve"> apakšpunktā minēto sabiedriskā transporta savienojuma punktu izbūve;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jaunu dzelzceļa pieturu iekļaušanu pilsētas sabiedriskā transporta tīklā, būtiski piesaistīt finansējumu sabiedriskā transporta savienojuma punktu attīstībai. Lūdzam precizēt, vai VSIA “Autotransporta direkcija” izziņu nepieciešams iesniegt arī gadījumos, kad paredzēta sabiedriskā transporta savienojuma punktu izveide pie VAS “Latvijas dzelzceļš” jaunattīstāmajām dzelzceļa pieturām, kurās 2023.gadā nav fiksēts pārvadāto sabiedriskā transporta pasažieru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dzelzceļa pietura vai esošas dzelzceļa pieturas pārbūve jaunā vietā ar indikatīvu darba nosaukumu, kuru atbilstoši šobrīd ATD rīcībā esošajai informācijai VAS “Latvijas dzelzceļš” paredz realizēt 2021.– 2027.gada Eiropas fondu plānošanas periodā. Sabiedriskā transporta savienojuma punkta realizācija atbalstāma tikai tad, ja saņemts apstiprinājums no VAS “Latvijas dzelzceļš” par dzelzceļa pieturas realizāciju un ja sabiedriskā transporta savienojuma punkta projekta risinājumi tiek pielāgoti plānotajam dzelzceļa pasažieru infrastruktūras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valsts sabiedrības ar ierobežotu atbildību “Autotransporta direkcija” izziņu par ar dzelzceļu pārvadāto pasažieru skaitu (apgrozījumu) 2023. gadā plānotajā projekta īstenošanas vietā, ja projekta ietvaros paredzēta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sabiedriskā transporta savienojuma punktu izbūve;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apliecinājumu par to, ka projekta ietvaros izbūvētā infrastruktūra ir finansējuma saņēmēja īpašumā vai valdījumā vismaz piecus gadus pēc noslēguma maksājuma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redakcijas nav skaidri saprotams atskaites brīdis, no kura finansējuma saņēmējam jānodrošina īpašuma vai valdījuma tiesības uz projekta ietvaros izbūvēto infrastruktūru. Ņemot vērā minēto, lūdzam precizēt, kuras dalībvalsts (vai ir domāta Latvija) noslēguma maksājuma brīdis tiek noteikts par laika atskaites sākumpunktu.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vieta ir Latvijas Republikas teritorija (noteikumu 9.punkts), līdz ar to kā dalībvalsts noteikumu ietvaros ir Latvijas Republika. Precizējums nepieciešams, jo noslēguma maksājums ir arī finansējuma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brīdis, no kura finansējuma saņēmējam jānodrošina īpašuma vai valdījuma tiesības uz projekta ietvaros izbūvēto infrastruktūru - nav stingri noteikts no kura brīža, var būt arī pēc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izmaksu un ieguvumu analīzi, ja projektā paredzētas darbības, kurām piemērojami komercdarbības atbalsta nosacījumi un projektiem, kuriem kopējās izmaksas pārsniedz 1 000 000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esamība projektā nenozīmē, ka obligāti ir veicama izmaksu un ieguvumu analīze. Projektā obligāti jāveic finanšu analīze (nevis pilnā izmaksu un ieguvumu analīze), ja komercdarbības atbalsta nosacījumi paredz kompensēt finansējuma deficītu (finanšu iztrūkumu).“Finansējuma deficīts” ir neto papildu izmaksas, kuras nosaka, aprēķinot starpību starp atbalstāmā projekta ekonomiskajiem ieņēmumiem un izmaksām (ieskaitot ieguldījumu un darbības izmaksas) un tāda alternatīva projekta ekonomiskajiem ieņēmumiem un izmaksām, kādu atbalsta saņēmējs, visticamāk, īstenotu, ja nebūtu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resursu taupības nolūkos aicinām izmaksu un ieguvumu analīzes vietā veikt tikai finanšu analīzi, un tikai tiem projektiem, kuros paredzētas darbības, kurām piemērojams Komisijas regulas Nr.651/2014 48. panta nosacījums par finansējuma deficīta noteikšanu. Finansējuma deficīts jānosaka neatkarīgi no projekta finansējuma apjoma, tāpēc aicinām svītrot nosacījumu par projektiem, kuriem kopējās izmaksas 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Nr.651/2014 36.a panta ietvaros sniegtajam atbalstam finansējuma deficīts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24.2.apakšpunktu piedāvātajā redakcijā, kā arī noteikumu projekta anotāciju, ja priekšlikums 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Komisijas regulas Nr.651/2014 48. pantā noteikto, ka "šo neto papildu izmaksu detalizēts novērtējums nav vajadzīgs, ja atbalsta summas tiek noteiktas konkurenci veicinošā konkursa procedūrā, jo tā nodrošina ticamu aplēsi par atbalsta minimumu, kas vajadzīgs iespējamiem atbalsta saņēmējiem". Ņemot to vērā, kā arī to, ka paredzēta atklāta projektu atlase un atlases kritērijos ir paredzēts projekta iesniedzēja līdzfinansējuma kritērijs, aicinām apsvērt iespēju pasākumā neveikt ne izmaksu un ieguvumu analīzi, ne finanšu analīzi. Vienlaikus tādā gadījumā jāņem vērā tas, ka no atlases kritēriju kopas jāsvītro kritērijs par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izmaksu un ieguvumu analīzi (finanšu analīzi), ja projektā paredzētas darbības, kurām piemērojams Komisijas regulas Nr.651/2014 48. panta nosacījums par finansējuma deficīta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š.g. 18. septembrī ar lēmumu Nr. 5.2-3/16/35 Eiropas Savienības fondu 2021.–2027.gada plānošanas perioda uzraudzības komitejas rakstiskajā procedūrā apstiprināti projektu iesniegumu vērtēšanas kritēriji un to piemērošanas metodika, kur kritērijs Nr. 2.2.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ir obligāts pielikums šādiem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paredzētas darbības, kurām piemērojami valsts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kuriem kopējās izmaksas pārsniedz 1 miljn.euro.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Vērtējums ir “Jā”,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izmaksu un ieguvumu analīze sagatavota atbilstoši normatīvajā aktā, kas nosaka kārtību, kādā Eiropas Savienības fondu vadībā iesaistītās institūcijas nodrošina šo fondu ieviešanu 2021.–2027.gada plānošanas periodā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izmaksu un ieguvumu analīzēs aprēķini ir aritmētiski korekti un izsekojami;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aprēķinātā projekta ekonomiskā ienesīguma norma ir lielāka par sociālo diskonta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izmaksu un ieguvumu analīzē aprēķinātā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analīzē ir izmantoti uz projektu iesniegumu atlases izsludināšanas/ uzaicinājumu izsūtīšanas brīdi aktuālie makroekonomiskie pieņēmumi un prognozes, ja nolikumā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Nr. 2.2. tika precizēts, pamatojoties uz CFLA priekšlikumu, un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jūlija sēdes protokollēmumam (prot. Nr. 36 85. § 3. punkts) šajā pasākumā, kur ir atklāta projektu iesniegumu atlase un kur nav jāaprēķina finanšu iztrūkums, izmaksu un ieguvumu analīze nav obligāta. Ņemot to vērā, administratīvo resursu taupības nolūkos, lūdzam izvērtēt izmaksu un ieguvumu analīzes nepieciešamību kopumā, vai arī iespēju veikt izmaksu un ieguvumu analīzi tikai tiem projektiem, kuru kopējās izmaksas pārsniedz vienu miljonu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izvērtējamam, lūdzam nepieciešamības gadījumā svītrot vai precizēt 2.2. kritēriju “Projekta izmaksu lietderīgums ir pamatots ar projekta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izmaksu un ieguvumu analīzi, ja projektā paredzētas darbības, kurām piemērojami komercdarbības atbalsta nosacījumi un projektiem, kuriem kopējās izmaksas pārsniedz 1 000 000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apliecinājumu par to, ka projekta ietvaros izbūvētā infrastruktūra ir finansējuma saņēmēja īpašumā vai valdījumā vismaz piecus gadus pēc noslēguma maksājuma dalībvalstij. Projekta ietvaros izbūvētās publiskās infrastruktūras uzraudzība tiek veikta visā projekta amortizācijas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Rīgas valstspilsētas pašvaldība projektā īsteno infrastruktūras objektu un nekustamais īpašums pieder AS “Latvijas dzelzceļš”, ar kuru uz investīciju projekta realizācijas periodu ir noslēgts nekustamā īpašuma lietošanas tiesību līgums, aicinām noteikumu 24.9 punktu papildināt ar atsauci uz lietojuma tiesībām , kuras  atbilstoši normatīvajam regulējumam arī ir  nostiprināmas zemesgrāmatā, tādējādi nepasliktinot finansējuma saņēmēja tiesības uz attiecīgo zemes gabalu. Lietojuma tiesības, kas nostiprinātas zemesgrāmatā nekādā veidā nerada risku finansējuma saņēmējam, jo līdzīgi kā, piemēram, apbūves tiesību līguma vai zems nomas līguma, kas ir pielīdzināmi valdījuma tiesībām un visbiežāk piemēroti/noslēgti, nostiprināšana zemesgrāmatā, nerada būtisku risku investīciju projekta īstenošanai un mērķa sasniegšanai. Lietošanas tiesību līgums nebūtu pretrunā arī ar noteikumu 21. un 42.2. punktu kur, noteikumu 21.punkts nosaka, ka Projekta iesniedzēja tiesības veikt ieguldījumus zemes īpašumā nostiprina zemesgrāmatā līdz projekta noslēguma maksājuma veikšanai (izņemot gadījumu, ja pašvaldības īpašums uz normatīvā akta, līguma vai pašvaldības lēmuma pamata ir nodots pašvaldības iestādes – projekta iesniedzēja – pārvaldīšanā), un noteikumu 42.2. punkts nosaka, ka finansējuma saņēmējs 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noteikumi pieļauj īstenot investīciju projektu, arī uz nekustamā īpašuma lietojuma tiesību pamata, kas ir reģistrētas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apliecinājumu par to, ka projekta ietvaros izbūvētā infrastruktūra ir finansējuma saņēmēja īpašumā, valdījumā vai lietošanā vismaz piecus gadus pēc noslēguma maksājuma dalībvalstij. Projekta ietvaros izbūvētās publiskās infrastruktūras uzraudzība tiek veikta visā projekta amortizācijas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27.8.1. satiksmes pārvadu, ielu, ceļu (tai skaitā ar grants segumu, ja būvē jaunu ceļu, caurteku) infrastruktūras attīstība un ar to saistītās infrastruktūras (piemēram, stāvlaukumi, pieturvietas) būvniecība,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ilgtspējīgu daudzveidu mobilitāti un nodrošinātu multimodālu sabiedriskā transporta tīklu nepieciešams paplašināt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“27.8.1. satiksmes pārvadu, ielu, ceļu (tai skaitā ar grants segumu, ja būvē jaunu ceļu, caurteku), </w:t>
            </w:r>
            <w:r w:rsidR="00000000" w:rsidRPr="00000000" w:rsidDel="00000000">
              <w:rPr>
                <w:b w:val="1"/>
                <w:i w:val="1"/>
                <w:rtl w:val="0"/>
              </w:rPr>
              <w:t xml:space="preserve">tuneļu </w:t>
            </w:r>
            <w:r w:rsidR="00000000" w:rsidRPr="00000000" w:rsidDel="00000000">
              <w:rPr>
                <w:i w:val="1"/>
                <w:rtl w:val="0"/>
              </w:rPr>
              <w:t xml:space="preserve">infrastruktūras attīstība un ar to saistītās infrastruktūras (piemēram, stāvlaukumi, pieturvietas) būvniecība, pārbūve vai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precizēts noteikumu 27.8.1. apakšpunkts, svītrojot “satiksmes pārvadu”, ņemot vērā anotācijas precizējumu ar ielu un ceļu terminu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jaunu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Ceļš – saskaņā ar 1997. gada 1. oktobra likuma “Ceļu satiksmes likums” 1. panta 3. punktu, ceļš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Iela - saskaņā ar 1992. gada 11. marta likuma “Par autoceļiem” 2. pantā 4. punktā noteikto, un tieši, iela ir transportlīdzekļu satiksmei paredzēta inženierbūve pilsētas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27.8.1. ielu un ceļu (tai skaitā ar grants segumu, ja būvē jaunu ceļu, caurteku) infrastruktūras attīstība un ar to saistītās infrastruktūras (piemēram, stāvlaukumi, pieturvietas) būvniecība, pārbūve vai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27.8.3. satiksmes infrastruktūras "zaļie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un finansējuma saņēmējam, īstenojot projektu, nerastos izmaksu attiecināšanas problēmas projekta paredzamajos izdevumos, lūdzam papildināt anotāciju ar skaidrojumu/definīciju, kādas darbības būtu attiecināmas zem izmaksu kategorijas "... satiksmes infrastruktūras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27.8.3. apakšpunkts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elektroapgādes sistēmu – kabeļu trašu un apakšstaciju – izbūves, pārbūves un atjaunošanas izmaksas, tostarp jaudas palielināšana, lai nodrošinātu sabiedriskā transporta savienojuma punktu elektroapgādes sistēmu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iedzīvotāju paradumu maiņu, izvēloties sabiedrisko transportu,  ir jānodrošina videi draudzīga sabiedriskā transporta droša, nepārtraukta kustība nokļūšanai līdz dažādiem sabiedriskā transporta savienojuma punktiem, tādējādi ierosinām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elektroapgādes sistēmu – kabeļu trašu un apakšstaciju – izbūves, pārbūves un atjaunošanas izmaksas, tostarp jaudas palielināšana, lai nodrošinātu sabiedriskā transporta savienojuma punktu vai sabiedriskā transporta infrastruktūras, kas nodrošina nokļūšanu līdz sabiedriskā transporta savienojuma punktam,  elektroapgādes sistēmu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atbalsts tiek sniegts tikai sabiedriskā transporta savienojumu punktam. Sabiedriskais transports, kas apkalpo vai apkalpos minēto punktu ir ārpus projekta īstenošanas teritorijas. Papildus lūdzam skatīt izziņas 12. punktu par veiktajiem precizējumiem attiecināmajās izmaksās.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elektroapgādes sistēmu – kabeļu trašu un apakšstaciju – izbūves, pārbūves un atjaunošanas izmaksas, tostarp jaudas palielināšana, lai nodrošinātu sabiedriskā transporta savienojuma punktu elektroapgādes sistēmu darbību, atbilstoši </w:t>
            </w:r>
            <w:r w:rsidR="00000000" w:rsidRPr="00000000" w:rsidDel="00000000">
              <w:rPr>
                <w:rtl w:val="0"/>
              </w:rPr>
              <w:t xml:space="preserve">regulas Nr. 651/2014</w:t>
            </w:r>
            <w:r w:rsidR="00000000" w:rsidRPr="00000000" w:rsidDel="00000000">
              <w:rPr>
                <w:rtl w:val="0"/>
              </w:rPr>
              <w:t xml:space="preserve"> 48.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transporta būvju un ielu tīklam piegulošo inženiertīklu un inženiertīklu pievadu izbūves, pārbūves un atjaunošanas izmaksas atbilstoši būvprojekta risinājumam.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bet vienlaikus tiek nodrošināts, ka netiek mainīti inženiertīklu un inženiertīklu pievadu tehniskie parametri un investīcijas nerada priekšrocības šo inženiertīklu īpašniekam, ievērojot, ka sabiedriskā transporta savienojuma punktu infrastruktūra ir bez maksas un diskriminācijas publiski pieejama un tai nav piemērojami komercdarbības atbalsta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nelietot terminu "ekspertīzes atzinums". Būvekspertīze ir reglamentēta sfēra, kas tiek regulēta Ministru kabineta 2014.gada 19.augusta noteikumos Nr. 500 "Vispārīgie būvnoteikumi". Būvekspertīzes tvērumā neietilpst 27.11. punktā paredzētā atzinuma tvērums.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“ekspertīzes”, mainīta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 transporta būvju un ielu tīklam piegulošo inženiertīklu, inženiertīklu pievadu un kontakttīklu pārbūves un atjaunošanas izmaksas atbilstoši būvprojekta risinājumam. Izmaksas attiecināmas tikai tādā gadījumā, ja ir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savienojuma punktu infrastruktūra ir bez maksas un diskriminācijas publiski pieejama un tai nav piemērojami komercdarbības atbalsta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zemes iegādes izmaksas, nepārsniedzot 10 % no projekta kopējām attiecināmajām izmaksām, ja zemes iegāde ir tieši nepieciešama projektā paredzēto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27.12.punktā kā vienas no attiecināmajām izmaksām tiek plānotas zemes iegādes izmaksas, lūdzam anotācijā skaidrot un iekļaut pamatojumu šādu izmaksu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27.11.apakšpunktā (mainīta numerācija) jau ir ietverts “ja zemes iegāde ir tieši nepieciešama projektā paredzēto darbību īstenošanai”. Zemes iegādes izmaksas ir iekļautas, pamatojoties uz “VADLĪNIJAS ATTIECINĀMO IZMAKSU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 PLĀNOŠANAS PERIODĀ” 15.2.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Saskaņā ar Kopīgo noteikumu regulas 64.panta 1.punkta b)apakšpunktu ERAF, KF un TPF ietvaros nav attiecināmas zemes iegādes izmaksas, ja summa pārsniedz 10% no attiecīgās darbības kopējiem attiecināmajiem izdevumiem. Attiecībā uz pamestām teritorijām un bijušajām rūpniecības teritorijām, kurās ir ēkas, minēto ierobežojumu palielina līdz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*Procentuālie ierobežojumi neattiecas uz darbībām, kas saistītas ar vides aizsardzību, ja AI sniedz argumentētu pamatojumu MK sākotnējās ietekmes izvērtējumā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nodrošinātu projektā ietvaros izbūvētās infrastruktūras ilgtspējības nodrošināšanas risku mazināšanu, viens no risku mazinošajiem pasākumiem var būt zemes iegāde. Līdz ar to papildināt anotāciju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zemes iegādes izmaksas, nepārsniedzot 10 % no projekta kopējām attiecināmajām izmaksām, ja zemes iegāde ir tieši nepieciešama projektā paredzēto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 parastās jaudas uzlādes punktu izbūves, uzstādīšanas, modernizēšanas vai paplašināšanas izmaksas mobilitātes punktos atbilstoši regulas </w:t>
            </w:r>
            <w:r w:rsidR="00000000" w:rsidRPr="00000000" w:rsidDel="00000000">
              <w:rPr>
                <w:rtl w:val="0"/>
              </w:rPr>
              <w:t xml:space="preserve">Nr. 651/2014</w:t>
            </w:r>
            <w:r w:rsidR="00000000" w:rsidRPr="00000000" w:rsidDel="00000000">
              <w:rPr>
                <w:rtl w:val="0"/>
              </w:rPr>
              <w:t xml:space="preserve"> 36.a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atsaucē uz regulu nav šāda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atbalstāmo darbību izmaksu loku, paredzot arī sabiedriskā transporta uzlādes punktu izbūvi, kuru jauda nepārsniedz 120 kW, tādējādi izsakot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parastās jaudas uzlādes punktu un sabiedriskā transporta uzlādes punktu izbūves, uzstādīšanas, modernizēšanas vai paplašināšanas izmaksas mobilitātes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36.a pants regulā Nr.651/2014 ir. Iesakām ar to iepazīties un iepazīties arī ar regulas Nr.651/2014 36.a panta atbalstāmajām darbībām. Atsauces noteikumos tiek pievienotas uz pamata tiesību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27.13. 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36.a panta 3.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27.14.3. inženiertehniskie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un finansējuma saņēmējam, īstenojot projektu, nerastos izmaksu attiecināšanas problēmas projekta paredzamajos izdevumos, lūdzam papildināt anotāciju ar skaidrojumu, kādas darbības ir attiecināmas zem izmaksu pozīcijas "inženiertehniskie 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ir saskaņā ar regulas Nr. 651/2014 36.a panta 3.punktā noteikto. Angliskajā versijā “civil engineering works”.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27.13.3. inženiertehniskie darbi;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27.15. projekta komunikācijas un vizuālās identitātes pasākumu izmaksas atbilstoši normatīvajiem aktiem un </w:t>
            </w:r>
            <w:r w:rsidR="00000000" w:rsidRPr="00000000" w:rsidDel="00000000">
              <w:rPr>
                <w:rtl w:val="0"/>
              </w:rPr>
              <w:t xml:space="preserve">2023. gada 13. jūlija Ministru kabineta noteikumiem Nr. 408 "Kārtība, kādā Eiropas Savienības fondu vadībā iesaistītās institūcijas nodrošina šo fondu ieviešanu 2021.–2027. gada plānošanas periodā"</w:t>
            </w:r>
            <w:r w:rsidR="00000000" w:rsidRPr="00000000" w:rsidDel="00000000">
              <w:rPr>
                <w:rtl w:val="0"/>
              </w:rPr>
              <w:t xml:space="preserve"> (turpmāk - MK noteikumi Nr. 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27.15. apakšpunktu un ietvert tajā korektu atsauci uz normatīvajiem aktiem noteiktā jomā, ievērojot noteikumu Nr. 108 137.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 projekta komunikācijas un vizuālās identitātes pasākumu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ir attiecināmas no </w:t>
            </w:r>
            <w:r w:rsidR="00000000" w:rsidRPr="00000000" w:rsidDel="00000000">
              <w:rPr>
                <w:rtl w:val="0"/>
              </w:rPr>
              <w:t xml:space="preserve">Eiropas Savienības kohēzijas politikas programmas 2021.–2027. gadam</w:t>
            </w:r>
            <w:r w:rsidR="00000000" w:rsidRPr="00000000" w:rsidDel="00000000">
              <w:rPr>
                <w:rtl w:val="0"/>
              </w:rPr>
              <w:t xml:space="preserve"> apstiprināšanas brīža, izņemot komercdarbības atbalsta gadījumā, ņemot vērā šo noteikumu </w:t>
            </w:r>
            <w:r w:rsidR="00000000" w:rsidRPr="00000000" w:rsidDel="00000000">
              <w:rPr>
                <w:rtl w:val="0"/>
              </w:rPr>
              <w:t xml:space="preserve">31.</w:t>
            </w:r>
            <w:r w:rsidR="00000000" w:rsidRPr="00000000" w:rsidDel="00000000">
              <w:rPr>
                <w:rtl w:val="0"/>
              </w:rPr>
              <w:t xml:space="preserve">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29.punktu, norādot precīzu datumu, no kura izmaksas tiek attiecinātas, t.i., 2022. gada 25. novembri.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Izmaksas ir attiecināmas, ja tās nav radušās agrāk par 2022. gada 25. novembri, izņemot komercdarbības atbalsta gadījumā, ņemot vērā šo noteikumu </w:t>
            </w:r>
            <w:r w:rsidR="00000000" w:rsidRPr="00000000" w:rsidDel="00000000">
              <w:rPr>
                <w:rtl w:val="0"/>
              </w:rPr>
              <w:t xml:space="preserve">31.</w:t>
            </w:r>
            <w:r w:rsidR="00000000" w:rsidRPr="00000000" w:rsidDel="00000000">
              <w:rPr>
                <w:rtl w:val="0"/>
              </w:rPr>
              <w:t xml:space="preserve">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59.</w:t>
            </w:r>
            <w:r w:rsidR="00000000" w:rsidRPr="00000000" w:rsidDel="00000000">
              <w:rPr>
                <w:rtl w:val="0"/>
              </w:rPr>
              <w:t xml:space="preserve"> punktā paredzēto</w:t>
            </w:r>
            <w:r w:rsidR="00000000" w:rsidRPr="00000000" w:rsidDel="00000000">
              <w:rPr>
                <w:rtl w:val="0"/>
              </w:rPr>
              <w:t xml:space="preserve"> 2023. gada 13. decembra Komisijas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w:t>
            </w:r>
            <w:r w:rsidR="00000000" w:rsidRPr="00000000" w:rsidDel="00000000">
              <w:rPr>
                <w:i w:val="1"/>
                <w:rtl w:val="0"/>
              </w:rPr>
              <w:t xml:space="preserve">de minimis</w:t>
            </w:r>
            <w:r w:rsidR="00000000" w:rsidRPr="00000000" w:rsidDel="00000000">
              <w:rPr>
                <w:rtl w:val="0"/>
              </w:rPr>
              <w:t xml:space="preserve">) atbalstu, tai skaitā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32.punktu papildināt ar informāciju, norādot, no kāda avota tiks finansētas izmaksas, kas nav iekļaujamas projektā kā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 iekļaut tikai attiecināmās izmaksas. Atbalsts tiks sniegts, ievērojot noteikumos noteikto atbalsta intensitāti. Noteikumu 7.punkts skaidro attiecināmo izmaksu finansēšanas modeli – 85% ERAF, 15% nacionālais finansējums (pašvaldību un privātais). Izmaksas, kas nav projekta attiecināmās izmaksas un ir ārpus projekta, bet, projekta iesniedzēja ieskatā, ir nepieciešamas pilnvērtīgākai sabiedriskā transporta savienojumu punkta funkcionēšanai, projekta iesniedzējs var finansēt no saviem līdzekļiem vai citādi, tiktāl to pieļauj normatīvie akti, norādot attiecīgo informāciju projekta iesniegumā.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64.</w:t>
            </w:r>
            <w:r w:rsidR="00000000" w:rsidRPr="00000000" w:rsidDel="00000000">
              <w:rPr>
                <w:rtl w:val="0"/>
              </w:rPr>
              <w:t xml:space="preserve"> punktā paredzēto </w:t>
            </w:r>
            <w:r w:rsidR="00000000" w:rsidRPr="00000000" w:rsidDel="00000000">
              <w:rPr>
                <w:rtl w:val="0"/>
              </w:rPr>
              <w:t xml:space="preserve">2023. gada 13. decembra Komisijas Regulas Nr. 2023/2831 par Līguma par Eiropas Savienības darbību 107. un 108. panta piemērošanu de minimis atbalstam</w:t>
            </w:r>
            <w:r w:rsidR="00000000" w:rsidRPr="00000000" w:rsidDel="00000000">
              <w:rPr>
                <w:rtl w:val="0"/>
              </w:rPr>
              <w:t xml:space="preserve"> (turpmāk – </w:t>
            </w:r>
            <w:r w:rsidR="00000000" w:rsidRPr="00000000" w:rsidDel="00000000">
              <w:rPr>
                <w:i w:val="1"/>
                <w:rtl w:val="0"/>
              </w:rPr>
              <w:t xml:space="preserve">de minimis</w:t>
            </w:r>
            <w:r w:rsidR="00000000" w:rsidRPr="00000000" w:rsidDel="00000000">
              <w:rPr>
                <w:rtl w:val="0"/>
              </w:rPr>
              <w:t xml:space="preserve">) atbalstu, tai skaitā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pirmās atlases kārtas ietvaros – ne ilgāk kā līdz 2026.gada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projekta īstenošana saistīta ar dažādiem ārējiem faktiem un neparedzētiem šķēršļiem būvniecībā. Lai kvalitatīvi plānotu projekta virzību, minimizētu riskus dažādos procesa posmos un nodrošinātu visiem nepieciešamos gala rezultātus, ieteikums 1.kārtas ietvaros plānoto darbu pabeigšanu gadu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34.1. punktu izteikt šādā redakcijā “pirmās atlases kārtas ietvaros – ne ilgāk kā līdz 2027.gada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43.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pirmās atlases kārtas ietvaros – ne ilgāk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un trešās atlases kārtas ietvaros no projekta iesnieguma iesniegšanas vadības informācijas sistēmā vai šo no noteikumu </w:t>
            </w:r>
            <w:r w:rsidR="00000000" w:rsidRPr="00000000" w:rsidDel="00000000">
              <w:rPr>
                <w:rtl w:val="0"/>
              </w:rPr>
              <w:t xml:space="preserve">31.</w:t>
            </w:r>
            <w:r w:rsidR="00000000" w:rsidRPr="00000000" w:rsidDel="00000000">
              <w:rPr>
                <w:rtl w:val="0"/>
              </w:rPr>
              <w:t xml:space="preserve"> punktā minētā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fondu 2021.—2027. gada plānošanas perioda vadības likuma 28. panta pirmo daļu sadarbības iestāde lēmumu par projekta iesnieguma apstiprināšanu, apstiprināšanu ar nosacījumu vai noraidīšanu pieņem triju mēnešu laikā </w:t>
            </w:r>
            <w:r w:rsidR="00000000" w:rsidRPr="00000000" w:rsidDel="00000000">
              <w:rPr>
                <w:u w:val="single"/>
                <w:rtl w:val="0"/>
              </w:rPr>
              <w:t xml:space="preserve">pēc projekta iesnieguma iesniegšanas beigu datuma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atklātas projektu iesniegumu atlases ietvaros starp projektu iesniegumiem notiek vienlīdzīga sacensība par projekta iesnieguma apstiprināšanu un Eiropas Savienības fonda finansējuma piešķiršanu, lūdzam precizēt noteikumu projekta 36. punktā norādīto atskaites punktu, no kura tiek skaitīts projektu iesniegumu izvērtēšanas termiņš, proti, </w:t>
            </w:r>
            <w:r w:rsidR="00000000" w:rsidRPr="00000000" w:rsidDel="00000000">
              <w:rPr>
                <w:u w:val="single"/>
                <w:rtl w:val="0"/>
              </w:rPr>
              <w:t xml:space="preserve">pēc projekta iesnieguma iesniegšanas beigu datuma</w:t>
            </w:r>
            <w:r w:rsidR="00000000" w:rsidRPr="00000000" w:rsidDel="00000000">
              <w:rPr>
                <w:rtl w:val="0"/>
              </w:rPr>
              <w:t xml:space="preserve">.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projekta iesnieguma apstiprināšanu, apstiprināšanu ar nosacījumu vai noraidīšanu pieņem divu mēnešu laikā pirmās atlases kārtas ietvaros un triju mēnešu laikā otrās un trešās atlases kārtas ietvaros pēc attiecīgās projektu iesniegumu atlases beigu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lēmumu par projekta iesnieguma apstiprināšanu, apstiprināšanu ar nosacījumu vai noraidīšanu pieņem: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divu mēnešu laikā par pirmās atlases kārtas ietvaros iesniegtajiem projektu iesniegumiem no projektu iesniegumu atlases beigu datuma;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triju mēnešu laikā otrās un trešās atlases kārtas ietvaros no projektu iesniegumu atlases beigu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un trešās atlases kārtas ietvaros pēc projektu iesniegumu iesniegšanas beigu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uzkrāj datus par projekta ietekmi uz horizontālo principu īstenošanu un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41.2.apakšpunktu ar informāciju, ka finansējuma saņēmējam ir pienākums uzkrāt datus par projekta ietekmi uz horizontālā principa rādītāju - "</w:t>
            </w:r>
            <w:r w:rsidR="00000000" w:rsidRPr="00000000" w:rsidDel="00000000">
              <w:rPr>
                <w:i w:val="1"/>
                <w:rtl w:val="0"/>
              </w:rPr>
              <w:t xml:space="preserve">Objektu skaitu, kuros ir nodrošināta vides un informācijas pieejamība</w:t>
            </w:r>
            <w:r w:rsidR="00000000" w:rsidRPr="00000000" w:rsidDel="00000000">
              <w:rPr>
                <w:rtl w:val="0"/>
              </w:rPr>
              <w:t xml:space="preserve">", ņemot vērā anotācijā norādīto informāciju, ka finansējuma saņēmējs ievēro horizontālo principu "Vienlīdzība, iekļaušana, nediskriminācija un pamattiesību ievērošana" un uzkrāj datus par projekta ietekmi uz horizontālā principa rādītāju - objektu skaitu, kuros ir nodrošināta vides un informācijas pieejamība.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šādus datus par rādītāju: objektu skaits, kuros ERAF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uzkrāj datus par projekta ietekmi uz horizontālo principu īstenošanu un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šādus datus par rādītāju: objektu skaits, kuros ERAF ieguldījumu rezultātā ir nodrošināta vides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izteikt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w:t>
            </w:r>
            <w:r w:rsidR="00000000" w:rsidRPr="00000000" w:rsidDel="00000000">
              <w:rPr>
                <w:b w:val="1"/>
                <w:rtl w:val="0"/>
              </w:rPr>
              <w:t xml:space="preserve">datus par šādu</w:t>
            </w:r>
            <w:r w:rsidR="00000000" w:rsidRPr="00000000" w:rsidDel="00000000">
              <w:rPr>
                <w:rtl w:val="0"/>
              </w:rPr>
              <w:t xml:space="preserve"> rādītāju: objektu skaits, kuros ERAF ieguldījumu rezultātā ir nodrošināta vides un informācijas</w:t>
            </w:r>
            <w:r w:rsidR="00000000" w:rsidRPr="00000000" w:rsidDel="00000000">
              <w:rPr>
                <w:b w:val="1"/>
                <w:rtl w:val="0"/>
              </w:rPr>
              <w:t xml:space="preserve"> piekļūstamība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datus par šādu rādītāju: objektu skaits, kuros ERAF ieguldījumu rezultātā ir nodrošināta vides un informācijas piekļūstamība;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42.4.1. vienlīdzība, iekļaušana, nediskriminācija un pamattiesību ievērošana. Uzkrāj  datus par šādu rādītāju: objektu skaits, kuros ERAF ieguldījumu rezultātā ir nodrošināta vides un informācijas piekļūstamība;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komercdarbības atbalsts šo noteikumu </w:t>
            </w:r>
            <w:r w:rsidR="00000000" w:rsidRPr="00000000" w:rsidDel="00000000">
              <w:rPr>
                <w:rtl w:val="0"/>
              </w:rPr>
              <w:t xml:space="preserve">27.14.</w:t>
            </w:r>
            <w:r w:rsidR="00000000" w:rsidRPr="00000000" w:rsidDel="00000000">
              <w:rPr>
                <w:rtl w:val="0"/>
              </w:rPr>
              <w:t xml:space="preserve"> apakšpunktā minēto darbību īstenošanai tiek piemērots saskaņā ar regulas </w:t>
            </w:r>
            <w:r w:rsidR="00000000" w:rsidRPr="00000000" w:rsidDel="00000000">
              <w:rPr>
                <w:rtl w:val="0"/>
              </w:rPr>
              <w:t xml:space="preserve">Nr. 651/2014</w:t>
            </w:r>
            <w:r w:rsidR="00000000" w:rsidRPr="00000000" w:rsidDel="00000000">
              <w:rPr>
                <w:rtl w:val="0"/>
              </w:rPr>
              <w:t xml:space="preserve"> 36.a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izmantošanu nacionālajos normatīvajos aktos, aicinām izmantot terminoloģiju, kas tiek lietota Komercdarbības atbalsta kontroles likumā, lietojot jēdzienu "komercdarbības atbalsts", nevis "valsts komercdarbības atbalsts". Attiecīgi aicinām precizēt noteikumu projekta 54.punktā, citur noteikumu projektā, kā arī anotācijā lietoto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“valsts” noteikumos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Komercdarbības atbalsts šo noteikumu </w:t>
            </w:r>
            <w:r w:rsidR="00000000" w:rsidRPr="00000000" w:rsidDel="00000000">
              <w:rPr>
                <w:rtl w:val="0"/>
              </w:rPr>
              <w:t xml:space="preserve">27.13.</w:t>
            </w:r>
            <w:r w:rsidR="00000000" w:rsidRPr="00000000" w:rsidDel="00000000">
              <w:rPr>
                <w:rtl w:val="0"/>
              </w:rPr>
              <w:t xml:space="preserve"> apakšpunktā minēto darbību īstenošanai tiek piemērots saskaņā ar </w:t>
            </w:r>
            <w:r w:rsidR="00000000" w:rsidRPr="00000000" w:rsidDel="00000000">
              <w:rPr>
                <w:rtl w:val="0"/>
              </w:rPr>
              <w:t xml:space="preserve">regulas Nr. 651/2014</w:t>
            </w:r>
            <w:r w:rsidR="00000000" w:rsidRPr="00000000" w:rsidDel="00000000">
              <w:rPr>
                <w:rtl w:val="0"/>
              </w:rPr>
              <w:t xml:space="preserve"> 36.a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komercdarbības atbalstu nepiešķir regulas </w:t>
            </w:r>
            <w:r w:rsidR="00000000" w:rsidRPr="00000000" w:rsidDel="00000000">
              <w:rPr>
                <w:rtl w:val="0"/>
              </w:rPr>
              <w:t xml:space="preserve">Nr. 651/2014</w:t>
            </w:r>
            <w:r w:rsidR="00000000" w:rsidRPr="00000000" w:rsidDel="00000000">
              <w:rPr>
                <w:rtl w:val="0"/>
              </w:rPr>
              <w:t xml:space="preserve"> 1. panta 2. punktā minētajām darbībām un darbībām regulas </w:t>
            </w:r>
            <w:r w:rsidR="00000000" w:rsidRPr="00000000" w:rsidDel="00000000">
              <w:rPr>
                <w:rtl w:val="0"/>
              </w:rPr>
              <w:t xml:space="preserve">Nr. 651/2014</w:t>
            </w:r>
            <w:r w:rsidR="00000000" w:rsidRPr="00000000" w:rsidDel="00000000">
              <w:rPr>
                <w:rtl w:val="0"/>
              </w:rPr>
              <w:t xml:space="preserve"> 1. panta 3. punktā minētajās nozarēs. Ja finansējuma saņēmējs darbojas arī regulas </w:t>
            </w:r>
            <w:r w:rsidR="00000000" w:rsidRPr="00000000" w:rsidDel="00000000">
              <w:rPr>
                <w:rtl w:val="0"/>
              </w:rPr>
              <w:t xml:space="preserve">Nr. 651/2014</w:t>
            </w:r>
            <w:r w:rsidR="00000000" w:rsidRPr="00000000" w:rsidDel="00000000">
              <w:rPr>
                <w:rtl w:val="0"/>
              </w:rPr>
              <w:t xml:space="preserve"> 1. panta 3. punktā minētajās nozarēs vai nozarēs, kas minētas regulas </w:t>
            </w:r>
            <w:r w:rsidR="00000000" w:rsidRPr="00000000" w:rsidDel="00000000">
              <w:rPr>
                <w:rtl w:val="0"/>
              </w:rPr>
              <w:t xml:space="preserve">Nr. 651/2014</w:t>
            </w:r>
            <w:r w:rsidR="00000000" w:rsidRPr="00000000" w:rsidDel="00000000">
              <w:rPr>
                <w:rtl w:val="0"/>
              </w:rPr>
              <w:t xml:space="preserve"> 1. panta 3. punkta "a", "b" vai "c" apakšpunktā, finansējuma saņēmējs nodrošina izmaksu un darbību nošķiršanu, lai darbības izslēgtajās nozarēs negūst labumu no atbalsta, kas piešķirts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55.1.apakšpunkta redakciju tā, lai tā nodrošinātu Komisijas regulas Nr.651/2014 1.panta 3.punktā noteiktajam, ka, ja finansējuma saņēmējs darbojas gan izslēgtajās nozarēs, kas minētas 1.panta 3.punkta pirmās daļas a), b) vai c) apakšpunktā, gan citās nozarēs, uz kurām attiecas šīs regulas darbības joma, atbalstam, ko piešķir pēdējām minētajām nozarēm vai darbībām, šo regulu piemēro ar nosacījumu, ka dalībvalstis ar tādiem piemērotiem līdzekļiem kā darbības vai izmaksu nošķiršana nodrošina, ka darbības izslēgtajās nozarēs negūst labumu no atbalsta, kas piešķirts saskaņā ar šo regulu. Skaidrojam, ka šobrīd 55.1.apakšpunkta redakcija minēto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 redakcija tika saskaņota arī noteikumu 24-TA-1485 ietvaros (publikācija 23.08.2024.).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komercdarbības atbalstu nepiešķir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1. panta 2. punktā minētajām darbībām un darbībām </w:t>
            </w:r>
            <w:r w:rsidR="00000000" w:rsidRPr="00000000" w:rsidDel="00000000">
              <w:rPr>
                <w:rtl w:val="0"/>
              </w:rPr>
              <w:t xml:space="preserve">regulas Nr. 651/2014</w:t>
            </w:r>
            <w:r w:rsidR="00000000" w:rsidRPr="00000000" w:rsidDel="00000000">
              <w:rPr>
                <w:rtl w:val="0"/>
              </w:rPr>
              <w:t xml:space="preserve"> 1. panta 3. punktā minētajās nozarēs. Ja finansējuma saņēmējs darbojas arī </w:t>
            </w:r>
            <w:r w:rsidR="00000000" w:rsidRPr="00000000" w:rsidDel="00000000">
              <w:rPr>
                <w:rtl w:val="0"/>
              </w:rPr>
              <w:t xml:space="preserve">regulas Nr. 651/2014</w:t>
            </w:r>
            <w:r w:rsidR="00000000" w:rsidRPr="00000000" w:rsidDel="00000000">
              <w:rPr>
                <w:rtl w:val="0"/>
              </w:rPr>
              <w:t xml:space="preserve"> 1. panta 3. punktā minētajās nozarēs vai nozarēs, kas minētas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1. panta 3. punkta "a", "b" vai "c" apakšpunktā, finansējuma saņēmējs nodrošina izmaksu un darbību nošķiršanu, lai darbības izslēgtajās nozarēs negūst labumu no atbalsta, kas piešķirts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atbalstu šo noteikumu ietvaros, kas piešķirts saskaņā ar regulas </w:t>
            </w:r>
            <w:r w:rsidR="00000000" w:rsidRPr="00000000" w:rsidDel="00000000">
              <w:rPr>
                <w:rtl w:val="0"/>
              </w:rPr>
              <w:t xml:space="preserve">Nr. 651/2014</w:t>
            </w:r>
            <w:r w:rsidR="00000000" w:rsidRPr="00000000" w:rsidDel="00000000">
              <w:rPr>
                <w:rtl w:val="0"/>
              </w:rPr>
              <w:t xml:space="preserve"> 36.a pantu, drīkst apvienot ar citu atbalstu (tostarp ar atbalstu, kas piešķirts saskaņā ar regulu </w:t>
            </w:r>
            <w:r w:rsidR="00000000" w:rsidRPr="00000000" w:rsidDel="00000000">
              <w:rPr>
                <w:rtl w:val="0"/>
              </w:rPr>
              <w:t xml:space="preserve">Nr. 2023/2831</w:t>
            </w:r>
            <w:r w:rsidR="00000000" w:rsidRPr="00000000" w:rsidDel="00000000">
              <w:rPr>
                <w:rtl w:val="0"/>
              </w:rPr>
              <w:t xml:space="preserve">), tostarp par vienām un tām pašām attiecināmajām izmaksām, nepārsniedzot šo noteikumu </w:t>
            </w:r>
            <w:r w:rsidR="00000000" w:rsidRPr="00000000" w:rsidDel="00000000">
              <w:rPr>
                <w:rtl w:val="0"/>
              </w:rPr>
              <w:t xml:space="preserve">56.</w:t>
            </w:r>
            <w:r w:rsidR="00000000" w:rsidRPr="00000000" w:rsidDel="00000000">
              <w:rPr>
                <w:rtl w:val="0"/>
              </w:rPr>
              <w:t xml:space="preserve"> punktā minēto, citā atbalsta programmā un individuālajā atbalsta projektā noteikto maksimālo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terminoloģijas izmantošanas nolūkos aicinām noteikumu projekta 55.5.apakšpunktu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šo noteikumu ietvaros, kas piešķirts saskaņā ar regulas Nr.651/2014 36.a pantu, drīkst apvienot ar citu atbalstu (tostarp ar atbalstu, kas piešķirts saskaņā ar regulu Nr.2023/2831), tai skaitā, par vienām un tām pašām attiecināmajām izmaksām, nepārsniedzot šo noteikumu 56.punktā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atsaucu un regulas Nr. 651/2014 48.pantu un atbilstošiem noteikumu punktiem.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atbalstu šo noteikumu ietvaros, kas piešķirts saskaņā ar </w:t>
            </w:r>
            <w:r w:rsidR="00000000" w:rsidRPr="00000000" w:rsidDel="00000000">
              <w:rPr>
                <w:rtl w:val="0"/>
              </w:rPr>
              <w:t xml:space="preserve">regulas</w:t>
            </w:r>
            <w:r w:rsidR="00000000" w:rsidRPr="00000000" w:rsidDel="00000000">
              <w:rPr>
                <w:rtl w:val="0"/>
              </w:rPr>
              <w:t xml:space="preserve"> Nr. 651/2014</w:t>
            </w:r>
            <w:r w:rsidR="00000000" w:rsidRPr="00000000" w:rsidDel="00000000">
              <w:rPr>
                <w:rtl w:val="0"/>
              </w:rPr>
              <w:t xml:space="preserve"> 36.a un 48. pantu,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tai skaitā, par vienām un tām pašām attiecināmajām izmaksām, nepārsniedzot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pasākuma ietvaros ir pieļaujama piešķirto atbalstu kumulācija, aicinām papildināt noteikumu projektu ar nosacījumu, kas paredz finansējuma saņēmēja pienākumu iesniegt sadarbības iestādē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24.6.apakšpunkts: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w:t>
            </w:r>
            <w:r w:rsidR="00000000" w:rsidRPr="00000000" w:rsidDel="00000000">
              <w:rPr>
                <w:i w:val="1"/>
                <w:rtl w:val="0"/>
              </w:rPr>
              <w:t xml:space="preserve">De minimis </w:t>
            </w:r>
            <w:r w:rsidR="00000000" w:rsidRPr="00000000" w:rsidDel="00000000">
              <w:rPr>
                <w:rtl w:val="0"/>
              </w:rPr>
              <w:t xml:space="preserve">atbalsta uzskaites sistēmā (turpmāk – Sistēma) sagatavotās veidlapas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vai projekta iesniegumā norāda Sistēmā aizpildītās veidlapas identifikācijas numuru komercdarbības atbalsta gadījumā. Šo noteikumu 65. punktā paredzētās valsts atbalsta kumulācijas gadījumā sadarbības iestādei iesniedz arī informāciju par piešķirto atbalstu par tām pašām attiecināmajām izmaksām, norādot atbalsta piešķiršanas datumu (tai skaitā plānoto atbalsta piešķiršanas datumu), atbalsta sniedzēju, atbalsta pasākumu un plānoto vai piešķirto atbalsta summu un intensitāti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panta 4. punktā un 59. pantā noteiktos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67.punktā jau ir noteikti termiņi, saskaņā ar kuriem šī atbalsta pasākuma ietvaros iespējams piešķirt atbalstu saskaņā ar Komisijas 2014.gada 17.jūnija Regulu (ES) Nr.651/2014, ar ko noteiktas atbalsta kategorijas atzīst par saderīgām ar iekšējo tirgu, piemērojot Līguma 107. un 108.pantu, aicinām izvērtēt, kuru no nosacījumiem atstāt noteikumu projektā, proti, vai atstāt noteikumu projekta 67.punktu, vai arī atstāt noteikumu projekta 74.punktu.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75.punkts.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finansējumu un veic uzraudzību atbilstoši </w:t>
            </w:r>
            <w:r w:rsidR="00000000" w:rsidRPr="00000000" w:rsidDel="00000000">
              <w:rPr>
                <w:rtl w:val="0"/>
              </w:rPr>
              <w:t xml:space="preserve">MK noteikumiem Nr. 408</w:t>
            </w:r>
            <w:r w:rsidR="00000000" w:rsidRPr="00000000" w:rsidDel="00000000">
              <w:rPr>
                <w:rtl w:val="0"/>
              </w:rPr>
              <w:t xml:space="preserve">, veic maksājumus finansējuma saņēmējam vienošanās vai līgumā noteiktajā kārtībā atbilstoši </w:t>
            </w:r>
            <w:r w:rsidR="00000000" w:rsidRPr="00000000" w:rsidDel="00000000">
              <w:rPr>
                <w:rtl w:val="0"/>
              </w:rPr>
              <w:t xml:space="preserve">Ministru kabineta 2023. gada 25. aprīļa noteikumiem Nr. 205 “Valsts budžeta līdzekļu plānošanas kārtība Eiropas Savienības fondu projektu īstenošanai un maksājumu veikšanai 2021.–2027. gada plānošanas periodā”</w:t>
            </w:r>
            <w:r w:rsidR="00000000" w:rsidRPr="00000000" w:rsidDel="00000000">
              <w:rPr>
                <w:rtl w:val="0"/>
              </w:rPr>
              <w:t xml:space="preserve">, papildus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72.punktu, ņemot vērā, ka Ministru kabineta noteikumos par specifisko atbalsta mērķi neietver un nedublē tiesību normas, kas jau izriet no Eiropas Savienības fondu regulējošiem horizontālajiem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72.punkts ar apakšpunktiem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Ministru kabineta noteikumu projektā iekļaut nosacījumu, ka pasākums ir ne tikai transporta sektora negatīvās ietekmes uz vidi mazināšanai vai siltumnīcefekta gāzu emisiju samazināšanai, bet arī energoefektivitātes uzlabošanai, kas ir svarīgi, lai minēto pasākumu varētu ieskaitīt Latvijai saistošā mērķa - kumulatīvie energoietaupījumi,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veicināt pārvietošanās paradumu maiņu iedzīvotāju vidū, veidojot konkurētspējīgu sabiedriskā transporta piedāvājumu attiecībā pret privāto transportu, tostarp sasaistē ar mikromobilitāti, tādējādi sekmējot transporta negatīvās ietekmes uz vidi samazinājumu </w:t>
            </w:r>
            <w:r w:rsidR="00000000" w:rsidRPr="00000000" w:rsidDel="00000000">
              <w:rPr>
                <w:b w:val="1"/>
                <w:rtl w:val="0"/>
              </w:rPr>
              <w:t xml:space="preserve">un transporta nozares energoefektivitātes paaugstināšanu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veicināt pārvietošanās paradumu maiņu iedzīvotāju vidū, veidojot konkurētspējīgu sabiedriskā transporta piedāvājumu attiecībā pret privāto transportu, tostarp sasaistē ar mikromobilitāti, tādējādi sekmējot transporta negatīvās ietekmes uz vidi samazinājumu un transporta nozares energoefektivitātes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anotācijā norādītā informācija attiecībā uz 2.3.1.2.pasākuma finansējuma intervences kodu ir korekta, un nepieciešamības gadījumā lūdzam veikt atbilstošus precizējumus, jo atbilstoši aktuālajai informācijai 2.3.1.2.pasākums tiek plānots atbilstoši 108. intervences kodam (Multimodālais transports (TEN-T)), nevis 081 kodam (tīra pilsētvides transporta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programmā noteiktajiem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081 - “Tīra pilsētvides transporta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 “Multimodālais transports (TEN-T)”;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 “Multimodālais transports(ārpus pilsētvides)”.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kategorijas noteiktas saskaņā ar 2021. gada 24. jūnija Eiropas Parlamenta un Padomes Regulas (ES) 2021/1060 (turpmāk –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izsekojamus nosacījumus, lūdzam papildināt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no kādiem līdzekļiem tiks nodrošināta pasākuma rezultātu/ rādītāju ilgtspēja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inovatīva publiska iepirkuma nosacījumu piemērošanas iekļaušanu noteikumu projektā, vai arī anotācijā pamatot, kāpēc šāds iepirkums konkrētā pasākuma ietvaros nevar tikt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noteikumu projekts paredz ieguldījumus infrastruktūrā, lūdzam anotācijā norādīt, vai ieguldījumi plānoti saskaņā ar Jauno Eiropas Bauhaus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rezultātu/ rādītāju ilgtspēja un uzturēšana tiek nodrošināta no finansējuma saņēmēja pašu līdzekļiem (attiecīgās izmaksas nav iekļautas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saistošie dokumenti uzskaitīti anotācijā, papildināt ar Eiropas Bauhaus iniciatīvu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par Inovācijas publisko infrastruktūru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izbūvēt/pārbūvēt/modernizēt attiecīgo infrastruktūru, tieši šādām darbībām ir pieejams ERAF finansējums (lūdzam sk. noteikumu 27.punktu), kur ir noteikts, kam tieši tiks sniegts atbalsts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otro rindkopu sadaļā "Sasaiste ar politikas plānošanas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Pielāgošanās klimata pārmaiņām plāna laika posmam līdz 2030. gadam (turpmāk - Pielāgošanās plāns) mērķis ir mazināt Latvijas cilvēku, tautsaimniecības, infrastruktūras, apbūves un dabas ievainojamību pret klimata pārmaiņu ietekmēm un veicināt klimata pārmaiņu radīto iespēju izmantošanu. Pielāgošanās plāna ietvaros attiecībā uz transporta sektoru viens no pielāgošanās pasākumiem ir noteikts ‘Nodrošināt esošās transporta (autoceļu, dzelzceļa, lidostu, ostu) un elektronisko sakaru infrastruktūras pielāgošanu klimata pārmaiņām’. Pasākumu īstenošanā ir paredzēts ņemt vērā klimata pārmaiņu radītos potenciālos riskus, kā arī novērst to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Pielāgošanās klimata pārmaiņām plāna laika posmam līdz 2030. gadam (turpmāk - Pielāgošanās plāns) mērķis ir mazināt Latvijas cilvēku, tautsaimniecības, infrastruktūras, apbūves un dabas ievainojamību pret klimata pārmaiņu ietekmēm un veicināt klimata pārmaiņu radīto iespēju izmantošanu. Pielāgošanās plāna ietvaros attiecībā uz transporta sektoru viens no pielāgošanās pasākumiem ir noteikts "Nodrošināt esošās transporta (autoceļu, dzelzceļa, lidostu, ostu) un elektronisko sakaru infrastruktūras pielāgošanu klimata pārmaiņām".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Gaisa piesārņojuma samazināšanas rīcības plānu 2020.-2030. gadam un tajā noteiktajiem pasākumiem, transporta sektorā ir jāveicina iedzīvotāju paradumu maiņu, izvēloties sabiedrisko transportu, mikromobilitātes rīku vai pārvietoties kājām. Ieguldījumi tiešā veidā sniedz ieguldījumu plāna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pirmo teikumu sadaļā "Sasaiste ar politikas plānošanas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stratēģiju klimatneitralitātes sasniegšanai līdz 2050.gadam </w:t>
            </w:r>
            <w:r w:rsidR="00000000" w:rsidRPr="00000000" w:rsidDel="00000000">
              <w:rPr>
                <w:b w:val="1"/>
                <w:rtl w:val="0"/>
              </w:rPr>
              <w:t xml:space="preserve">visām nozarēm ir jādod ieguldījums mērķa sasniegšanā, arī transporta nozarei. V</w:t>
            </w:r>
            <w:r w:rsidR="00000000" w:rsidRPr="00000000" w:rsidDel="00000000">
              <w:rPr>
                <w:rtl w:val="0"/>
              </w:rPr>
              <w:t xml:space="preserve">isiem transporta veidiem būtu jāveicina mobilitātes sistēmas dekarbonizācija.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stratēģiju klimatneitralitātes sasniegšanai līdz 2050. gadam visām nozarēm ir jādod ieguldījums mērķa sasniegšanā, arī transporta nozarei. Visiem transporta veidiem būtu jāveicina mobilitātes sistēmas dekarbonizācija. Mērķis ir līdz 2050. gadam sasniegt nulles emisiju līmeni. Tā sasniegšanai paredzētie pasākumi nodrošinās mobilitātes punktu attīstību. Paredzētās darbības tiešā veidā palīdz sasniegt klimatneitralitātes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tehniski ekonomiskais pamatojums (TEP) un izmaksu un ieguvumu analīze (IIA) ir divi dažādi, taču cieši saistīti rīki, kas tiek izmantoti projektu izvērtēšanai un lēmumu pieņemšanai finanšu un ekonomiskajā jomā, aicinām MK noteikumu anotācijā precizēt – kuros gadījumos projektu iesniedzējiem jāiesniedz TEP un kuros – IIA.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un noteikumos precizēts, kādiem projektiem IIA ir obligāts pielikums (sk. arī projektu iesniegumu vērtēšanas kritērijus). Lūdzam skatīt arī precizēto noteikumu 24.2.apakšpunktu: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izmaksu un ieguvumu analīzi, ja projektā paredzētas darbības, kurām piemērojami komercdarbības atbalsta nosacījumi un projektiem, kuriem kopējās izmaksas 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TEP izstrādes izmaksas ir attiecināmas, bet tas nav obligāts projekta iesnieguma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terminu "Klimatnodrošināšana" uz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 un netieša ietekme uz horizontālo principu "Klimatnodrošināšana".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 un netieša ietekme uz horizontālo principu "Klimatdrošināšana".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Plānotajām investīcijām būs netieša ietekme un horizontālo principu "Vienlīdzība, iekļaušana, nediskriminācija, un pamattiesību ievērošana", netieša ietekme uz horizontālo principu "Klimatdrošināšana" un netieša ietekme uz horizontālo principu "Nenodarīt būtisku kaitējumu". Plānotajām investīcijām būs ietekme uz horizontālo principu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Satiksmes ministriju kā atbildīgo iestādi un projekta iesniedzēju atbilstoši noteikumu projekta 19.punktam, savukārt atbilstošajā apakšsadaļā "Ietekmes apraksts" norādot, ka Satiksme ministrija pildīs atbildīgās iestādes funkcijas, savukārt, attiecīgie plānotie projekta iesniedzējs pildīs finansējuma saņēmēja funkcijas. Tādējādi lūdzam arī minētajā apakšsadaļā svītrot vārdus "Juridiskām personām noteikumu projekta tiesiskais regulējums nemaina tiesības un pienākumus, kā arī veicamās darbības." Kā arī vienlaikus lūdzam noteikt, ka minētais tiesiskais regulējums attiecas arī uz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(atbildīgā iestāde),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 ministrija pildīs atbildīgās iestādes funkcijas, savukārt, attiecīgie plānotie projekta iesniedzējs pildīs finansējuma saņēmēja funkcijas. Minētais tiesiskais regulējums attiecas arī uz pašvaldību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1.-5.punktā norādīto finansiālo sadalījumu pa gadiem, lai tas atbilstu noteikumu projektā noteiktajai proporcijai: ERAF finansējuma apmērs ir 85%, savukārt nacionālā  līdzfinansējuma apmērs nav mazāks par 15%, attiecīgi precizējot anotācijas 3.sadaļas 6.punkta tabulā norādīto finansējumu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3.sadaļas 6.punktā norādīto, ka (..) maksimālais attiecināmais valsts budžeta līdzfinansējuma apmērs ir 15% no projektam plānotā kopējā attiecināmā finansējuma, kur nepieciešams vārdus “valsts budžeta” aizstājot ar vārdu “nacionālā”.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6.1.sadaļu ar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līdzdalības procesa ietvaros Tiesību aktu portālā katram interesentam ir tiesības izteikt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skaidrojam, ka Apakškomitejas un Uzraudzības Komitejas dalībnieku sastāvā ir nevalstisko organizāciju pārstāvji, kuri piedalās projektu iesniegumu vērtēšanas kritēriju izstrādes procesā, izsakot iebildumus/priekšlikumus.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iekļaujot visas specifiskās un vispārīgās horizontālā principa “Vienlīdzība, iekļaušana, nediskriminācija un pamattiesību ievērošana” (turpmāk - HP VINPI) darbības, atbilstoši 20.06.2024. apakškomitejas saskaņotajai projekta iesniegumu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šajā sadaļā nenorādīt pasākuma ietekmi uz HP VINPI un informāciju par HP VINPI rāditāju par kuru uzkrājami dati, jo šī informācija dublē 8.2.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digitāli pakalpojumi vai programmas,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uz tīmekļvietnes un uz mobilajām ierīcēm balstīti pakalpojumi, tostarp mobilās lietotnes, kas ir piekļūstamas, atbilst personu ar invaliditāti īpašajām vajadzībām un uzlabo piekļuvi transporta infrastruktūrai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var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digitāli pakalpojumi vai programmas,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izstrādāti uz tīmekļvietnes un uz mobilajām ierīcēm balstīti pakalpojumi, tostarp mobilās lietotnes, kas ir piekļūstamas, atbilst personu ar invaliditāti īpašajām vajadzībām un uzlabo piekļuvi transporta infrastruktūrai un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 specifiskās un vispārīgās horizontālā principa "Vienlīdzība, iekļaušana, nediskriminācija un pamattiesību ievērošana" darbības, atbilstoši 20.06.2024. apakškomitejas saskaņotajai projekta iesniegumu vērtēšanas kritēriju piemērošanas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 uzbraukumu, izvairoties no kāpnēm vai, ja tādas ir, tad ar pielāgojumiem, lai būtu izmantojamas, pārvietojoties ar bērnu ratiņiem. Svarīga ir arī soliņu izbūve pie ietvēm, kas ir būtiska ne tikai vecākai paaudzei, bet arī vecākiem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ir netieši pozitīvā ietekme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 uzbraukumu, izvairoties no kāpnēm vai, ja tādas ir, tad ar pielāgojumiem, lai būtu izmantojamas, pārvietojoties ar bērnu ratiņiem. Svarīga ir arī soliņu izbūve pie ietvēm, kas ir būtiska ne tikai vecākai paaudzei, bet arī vecākiem ar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 MK noteikumos paredzētā horizontālā principa rādītāja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8.2.sadaļa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kritēriji apstiprināti Eiropas Savienības fondu 2021.–2027.gada plānošanas perioda Uzraudzības komitejas rakstiskajā procedūrā ar 2024. gada 18. septembra lēmumu Nr. 5.2-3/16/35, kur kā viens no specifiskajiem atbilstības kritērijiem ir horizontālā principa "Vienlīdzība, iekļaušana, nediskriminācija un pamattiesību ievērošana"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ir paredzētas darbības, kas veicina horizontālā principa "Vienlīdzība, iekļaušana, nediskriminācija un pamattiesību ievērošanu"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iesniedzējam ir obligāti jāsniedz informācija par objektu skaitu, kuros ir nodrošināta vides un informācijas pieejamība (VINTI_18), citi izvēles rādītāji uzskaitīti minētajā kritēriju piemērošanas metodikā.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nekavējoties informēt Ministru kabinetu gadījumā, ja izmaksas, kas 2.3.1.2. pasākumā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un finansiālo ietekmi, sniegts apraksts par iespējamo risinājumu,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 punktu, ņemot vērā, ka tas sākotnēji tika iekļauts kontekstā ar svītroto 3. punktu (iepriekšējā redakcijā) un atbilstoši jaunajai Ministru kabineta sēdes protokollēmuma projekta redakcijai nebūtu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24-TA-1234</w:t>
    </w:r>
    <w:r>
      <w:br/>
    </w:r>
    <w:r w:rsidR="00000000" w:rsidRPr="00000000" w:rsidDel="00000000">
      <w:rPr>
        <w:rtl w:val="0"/>
      </w:rPr>
      <w:t xml:space="preserve">05.11.2024. 13.22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24-TA-1234</w:t>
    </w:r>
    <w:r>
      <w:br/>
    </w:r>
    <w:r w:rsidR="00000000" w:rsidRPr="00000000" w:rsidDel="00000000">
      <w:rPr>
        <w:rtl w:val="0"/>
      </w:rPr>
      <w:t xml:space="preserve">05.11.2024. 13.22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Izziņa_24-TA-1234.docx</dc:title>
</cp:coreProperties>
</file>

<file path=docProps/custom.xml><?xml version="1.0" encoding="utf-8"?>
<Properties xmlns="http://schemas.openxmlformats.org/officeDocument/2006/custom-properties" xmlns:vt="http://schemas.openxmlformats.org/officeDocument/2006/docPropsVTypes"/>
</file>