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953"/>
        <w:gridCol w:w="7118"/>
      </w:tblGrid>
      <w:tr w:rsidR="00481482" w14:paraId="16A52088" w14:textId="77777777" w:rsidTr="00481482">
        <w:tc>
          <w:tcPr>
            <w:tcW w:w="1030" w:type="pct"/>
          </w:tcPr>
          <w:p w14:paraId="5D44A390" w14:textId="6FE3DA56" w:rsidR="00481482" w:rsidRDefault="00481482">
            <w:pPr>
              <w:rPr>
                <w:rFonts w:ascii="Times New Roman" w:hAnsi="Times New Roman" w:cs="Times New Roman"/>
                <w:noProof/>
                <w:sz w:val="24"/>
                <w:szCs w:val="28"/>
              </w:rPr>
            </w:pPr>
            <w:r>
              <w:rPr>
                <w:rFonts w:ascii="Times New Roman" w:hAnsi="Times New Roman"/>
                <w:noProof/>
                <w:sz w:val="24"/>
              </w:rPr>
              <w:drawing>
                <wp:inline distT="0" distB="0" distL="0" distR="0" wp14:anchorId="5C16C98A" wp14:editId="5A8DFFE5">
                  <wp:extent cx="1205214" cy="647700"/>
                  <wp:effectExtent l="0" t="0" r="0" b="0"/>
                  <wp:docPr id="197759033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590339" name="Picture 1" descr="A screenshot of a computer&#10;&#10;AI-generated content may be incorrect."/>
                          <pic:cNvPicPr>
                            <a:picLocks noChangeAspect="1" noChangeArrowheads="1"/>
                          </pic:cNvPicPr>
                        </pic:nvPicPr>
                        <pic:blipFill rotWithShape="1">
                          <a:blip r:embed="rId11">
                            <a:extLst>
                              <a:ext uri="{28A0092B-C50C-407E-A947-70E740481C1C}">
                                <a14:useLocalDpi xmlns:a14="http://schemas.microsoft.com/office/drawing/2010/main" val="0"/>
                              </a:ext>
                            </a:extLst>
                          </a:blip>
                          <a:srcRect t="4101" r="72536" b="86901"/>
                          <a:stretch/>
                        </pic:blipFill>
                        <pic:spPr bwMode="auto">
                          <a:xfrm>
                            <a:off x="0" y="0"/>
                            <a:ext cx="1207023" cy="64867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970" w:type="pct"/>
            <w:vAlign w:val="bottom"/>
          </w:tcPr>
          <w:p w14:paraId="2D43A1DB" w14:textId="3697B21C" w:rsidR="00481482" w:rsidRDefault="00481482" w:rsidP="00BD35BF">
            <w:pPr>
              <w:ind w:right="5360"/>
              <w:rPr>
                <w:rFonts w:ascii="Times New Roman" w:hAnsi="Times New Roman" w:cs="Times New Roman"/>
                <w:noProof/>
                <w:sz w:val="24"/>
                <w:szCs w:val="28"/>
              </w:rPr>
            </w:pPr>
            <w:r>
              <w:rPr>
                <w:rFonts w:ascii="Times New Roman" w:hAnsi="Times New Roman"/>
                <w:sz w:val="24"/>
              </w:rPr>
              <w:t>EIROPAS KOMISIJA</w:t>
            </w:r>
          </w:p>
        </w:tc>
      </w:tr>
    </w:tbl>
    <w:p w14:paraId="1C16D202" w14:textId="77777777" w:rsidR="00BD35BF" w:rsidRDefault="00BD35BF" w:rsidP="00BD35BF">
      <w:pPr>
        <w:widowControl w:val="0"/>
        <w:spacing w:after="0" w:line="240" w:lineRule="auto"/>
        <w:rPr>
          <w:rFonts w:ascii="Times New Roman" w:hAnsi="Times New Roman" w:cs="Times New Roman"/>
          <w:b/>
          <w:bCs/>
          <w:noProof/>
          <w:sz w:val="24"/>
          <w:szCs w:val="28"/>
        </w:rPr>
      </w:pPr>
    </w:p>
    <w:p w14:paraId="0B013A74" w14:textId="77777777" w:rsidR="00F66AAB" w:rsidRDefault="00F66AAB" w:rsidP="00BD35BF">
      <w:pPr>
        <w:widowControl w:val="0"/>
        <w:spacing w:after="0" w:line="240" w:lineRule="auto"/>
        <w:rPr>
          <w:rFonts w:ascii="Times New Roman" w:hAnsi="Times New Roman" w:cs="Times New Roman"/>
          <w:b/>
          <w:bCs/>
          <w:noProof/>
          <w:sz w:val="24"/>
          <w:szCs w:val="28"/>
        </w:rPr>
      </w:pPr>
    </w:p>
    <w:p w14:paraId="73606BF0" w14:textId="61107663" w:rsidR="00BD35BF" w:rsidRDefault="004E1958" w:rsidP="00F66AAB">
      <w:pPr>
        <w:widowControl w:val="0"/>
        <w:spacing w:after="0" w:line="240" w:lineRule="auto"/>
        <w:ind w:left="6096"/>
        <w:rPr>
          <w:rFonts w:ascii="Times New Roman" w:hAnsi="Times New Roman" w:cs="Times New Roman"/>
          <w:noProof/>
          <w:sz w:val="24"/>
          <w:szCs w:val="28"/>
        </w:rPr>
      </w:pPr>
      <w:r>
        <w:rPr>
          <w:rFonts w:ascii="Times New Roman" w:hAnsi="Times New Roman"/>
          <w:sz w:val="24"/>
        </w:rPr>
        <w:t xml:space="preserve">Briselē, </w:t>
      </w:r>
      <w:r>
        <w:rPr>
          <w:rFonts w:ascii="Times New Roman" w:hAnsi="Times New Roman"/>
          <w:color w:val="FF0000"/>
          <w:sz w:val="24"/>
        </w:rPr>
        <w:t>XXX</w:t>
      </w:r>
    </w:p>
    <w:p w14:paraId="7810C010" w14:textId="0FC6C08D" w:rsidR="00F66AAB" w:rsidRDefault="00F66AAB" w:rsidP="00F66AAB">
      <w:pPr>
        <w:widowControl w:val="0"/>
        <w:spacing w:after="0" w:line="240" w:lineRule="auto"/>
        <w:ind w:left="6096"/>
        <w:rPr>
          <w:rFonts w:ascii="Times New Roman" w:hAnsi="Times New Roman" w:cs="Times New Roman"/>
          <w:noProof/>
          <w:sz w:val="24"/>
          <w:szCs w:val="28"/>
        </w:rPr>
      </w:pPr>
      <w:r>
        <w:rPr>
          <w:rFonts w:ascii="Times New Roman" w:hAnsi="Times New Roman"/>
          <w:color w:val="FF0000"/>
          <w:sz w:val="24"/>
        </w:rPr>
        <w:t>[…]</w:t>
      </w:r>
      <w:r>
        <w:rPr>
          <w:rFonts w:ascii="Times New Roman" w:hAnsi="Times New Roman"/>
          <w:sz w:val="24"/>
        </w:rPr>
        <w:t>(202</w:t>
      </w:r>
      <w:r>
        <w:rPr>
          <w:rFonts w:ascii="Times New Roman" w:hAnsi="Times New Roman"/>
          <w:color w:val="FF0000"/>
          <w:sz w:val="24"/>
        </w:rPr>
        <w:t>X</w:t>
      </w:r>
      <w:r>
        <w:rPr>
          <w:rFonts w:ascii="Times New Roman" w:hAnsi="Times New Roman"/>
          <w:sz w:val="24"/>
        </w:rPr>
        <w:t>)</w:t>
      </w:r>
      <w:r>
        <w:rPr>
          <w:rFonts w:ascii="Times New Roman" w:hAnsi="Times New Roman"/>
          <w:color w:val="FF0000"/>
          <w:sz w:val="24"/>
        </w:rPr>
        <w:t>XXX</w:t>
      </w:r>
      <w:r>
        <w:rPr>
          <w:rFonts w:ascii="Times New Roman" w:hAnsi="Times New Roman"/>
          <w:sz w:val="24"/>
        </w:rPr>
        <w:t xml:space="preserve"> projekts</w:t>
      </w:r>
    </w:p>
    <w:p w14:paraId="59017C5B" w14:textId="77777777" w:rsidR="00F66AAB" w:rsidRDefault="00F66AAB" w:rsidP="00F66AAB">
      <w:pPr>
        <w:widowControl w:val="0"/>
        <w:spacing w:after="0" w:line="240" w:lineRule="auto"/>
        <w:ind w:left="6096"/>
        <w:rPr>
          <w:rFonts w:ascii="Times New Roman" w:hAnsi="Times New Roman" w:cs="Times New Roman"/>
          <w:noProof/>
          <w:sz w:val="24"/>
          <w:szCs w:val="28"/>
        </w:rPr>
      </w:pPr>
    </w:p>
    <w:p w14:paraId="0BBD0492" w14:textId="77777777" w:rsidR="00F66AAB" w:rsidRDefault="00F66AAB" w:rsidP="00F66AAB">
      <w:pPr>
        <w:widowControl w:val="0"/>
        <w:spacing w:after="0" w:line="240" w:lineRule="auto"/>
        <w:ind w:left="6096"/>
        <w:rPr>
          <w:rFonts w:ascii="Times New Roman" w:hAnsi="Times New Roman" w:cs="Times New Roman"/>
          <w:noProof/>
          <w:sz w:val="24"/>
          <w:szCs w:val="28"/>
        </w:rPr>
      </w:pPr>
    </w:p>
    <w:p w14:paraId="5AB94275" w14:textId="77777777" w:rsidR="00F66AAB" w:rsidRDefault="00F66AAB" w:rsidP="00F66AAB">
      <w:pPr>
        <w:widowControl w:val="0"/>
        <w:spacing w:after="0" w:line="240" w:lineRule="auto"/>
        <w:ind w:left="6096"/>
        <w:rPr>
          <w:rFonts w:ascii="Times New Roman" w:hAnsi="Times New Roman" w:cs="Times New Roman"/>
          <w:noProof/>
          <w:sz w:val="24"/>
          <w:szCs w:val="28"/>
        </w:rPr>
      </w:pPr>
    </w:p>
    <w:p w14:paraId="1451A43E" w14:textId="77777777" w:rsidR="008939FB" w:rsidRDefault="008939FB" w:rsidP="00F66AAB">
      <w:pPr>
        <w:widowControl w:val="0"/>
        <w:spacing w:after="0" w:line="240" w:lineRule="auto"/>
        <w:ind w:left="6096"/>
        <w:rPr>
          <w:rFonts w:ascii="Times New Roman" w:hAnsi="Times New Roman" w:cs="Times New Roman"/>
          <w:noProof/>
          <w:sz w:val="24"/>
          <w:szCs w:val="28"/>
        </w:rPr>
      </w:pPr>
    </w:p>
    <w:p w14:paraId="445762F2" w14:textId="77777777" w:rsidR="00923F23" w:rsidRDefault="008939FB" w:rsidP="008939FB">
      <w:pPr>
        <w:widowControl w:val="0"/>
        <w:spacing w:after="0" w:line="240" w:lineRule="auto"/>
        <w:jc w:val="center"/>
        <w:rPr>
          <w:rFonts w:ascii="Times New Roman" w:hAnsi="Times New Roman"/>
          <w:b/>
          <w:sz w:val="24"/>
        </w:rPr>
      </w:pPr>
      <w:r>
        <w:rPr>
          <w:rFonts w:ascii="Times New Roman" w:hAnsi="Times New Roman"/>
          <w:b/>
          <w:sz w:val="24"/>
        </w:rPr>
        <w:t xml:space="preserve">KOMISIJAS </w:t>
      </w:r>
      <w:r>
        <w:rPr>
          <w:rFonts w:ascii="Times New Roman" w:hAnsi="Times New Roman"/>
          <w:b/>
          <w:color w:val="FF0000"/>
          <w:sz w:val="24"/>
        </w:rPr>
        <w:t>XXX</w:t>
      </w:r>
      <w:r>
        <w:rPr>
          <w:rFonts w:ascii="Times New Roman" w:hAnsi="Times New Roman"/>
          <w:b/>
          <w:sz w:val="24"/>
        </w:rPr>
        <w:t xml:space="preserve"> LĒMUMS,</w:t>
      </w:r>
    </w:p>
    <w:p w14:paraId="0E0EF244" w14:textId="77777777" w:rsidR="00923F23" w:rsidRDefault="00923F23" w:rsidP="008939FB">
      <w:pPr>
        <w:widowControl w:val="0"/>
        <w:spacing w:after="0" w:line="240" w:lineRule="auto"/>
        <w:jc w:val="center"/>
        <w:rPr>
          <w:rFonts w:ascii="Times New Roman" w:hAnsi="Times New Roman"/>
          <w:b/>
          <w:sz w:val="24"/>
        </w:rPr>
      </w:pPr>
    </w:p>
    <w:p w14:paraId="7B3060AC" w14:textId="677BA8FD" w:rsidR="008939FB" w:rsidRPr="008939FB" w:rsidRDefault="008939FB" w:rsidP="008939FB">
      <w:pPr>
        <w:widowControl w:val="0"/>
        <w:spacing w:after="0" w:line="240" w:lineRule="auto"/>
        <w:jc w:val="center"/>
        <w:rPr>
          <w:rFonts w:ascii="Times New Roman" w:hAnsi="Times New Roman" w:cs="Times New Roman"/>
          <w:b/>
          <w:bCs/>
          <w:noProof/>
          <w:sz w:val="24"/>
          <w:szCs w:val="28"/>
        </w:rPr>
      </w:pPr>
      <w:r>
        <w:rPr>
          <w:rFonts w:ascii="Times New Roman" w:hAnsi="Times New Roman"/>
          <w:b/>
          <w:sz w:val="24"/>
        </w:rPr>
        <w:t xml:space="preserve">ar ko apstiprina grozījumus Darbības kārtībā, par kuru vienojušās Eiropas Komisija un </w:t>
      </w:r>
      <w:r w:rsidR="00A2383D">
        <w:rPr>
          <w:rFonts w:ascii="Times New Roman" w:hAnsi="Times New Roman"/>
          <w:b/>
          <w:sz w:val="24"/>
        </w:rPr>
        <w:t>Latvija</w:t>
      </w:r>
      <w:r>
        <w:rPr>
          <w:rFonts w:ascii="Times New Roman" w:hAnsi="Times New Roman"/>
          <w:b/>
          <w:sz w:val="24"/>
        </w:rPr>
        <w:t xml:space="preserve"> saskaņā ar Regulu (ES) 2021/241</w:t>
      </w:r>
    </w:p>
    <w:p w14:paraId="5431988C" w14:textId="328354FE" w:rsidR="00481482" w:rsidRDefault="00481482">
      <w:pPr>
        <w:rPr>
          <w:rFonts w:ascii="Times New Roman" w:hAnsi="Times New Roman" w:cs="Times New Roman"/>
          <w:b/>
          <w:bCs/>
          <w:noProof/>
          <w:sz w:val="24"/>
          <w:szCs w:val="28"/>
        </w:rPr>
      </w:pPr>
      <w:r>
        <w:br w:type="page"/>
      </w:r>
    </w:p>
    <w:p w14:paraId="46B87324" w14:textId="08EB7C17" w:rsidR="004572DD" w:rsidRDefault="00067A32" w:rsidP="007C5963">
      <w:pPr>
        <w:widowControl w:val="0"/>
        <w:spacing w:after="0" w:line="240" w:lineRule="auto"/>
        <w:jc w:val="center"/>
        <w:rPr>
          <w:rFonts w:ascii="Times New Roman" w:hAnsi="Times New Roman"/>
          <w:b/>
          <w:sz w:val="24"/>
        </w:rPr>
      </w:pPr>
      <w:r>
        <w:rPr>
          <w:rFonts w:ascii="Times New Roman" w:hAnsi="Times New Roman"/>
          <w:b/>
          <w:sz w:val="24"/>
        </w:rPr>
        <w:lastRenderedPageBreak/>
        <w:t xml:space="preserve">KOMISIJAS </w:t>
      </w:r>
      <w:r w:rsidRPr="004572DD">
        <w:rPr>
          <w:rFonts w:ascii="Times New Roman" w:hAnsi="Times New Roman"/>
          <w:b/>
          <w:color w:val="FF0000"/>
          <w:sz w:val="24"/>
        </w:rPr>
        <w:t>XXX</w:t>
      </w:r>
      <w:r>
        <w:rPr>
          <w:rFonts w:ascii="Times New Roman" w:hAnsi="Times New Roman"/>
          <w:b/>
          <w:sz w:val="24"/>
        </w:rPr>
        <w:t xml:space="preserve"> LĒMUMS,</w:t>
      </w:r>
    </w:p>
    <w:p w14:paraId="27A98F71" w14:textId="77777777" w:rsidR="004572DD" w:rsidRDefault="004572DD" w:rsidP="004572DD">
      <w:pPr>
        <w:widowControl w:val="0"/>
        <w:spacing w:after="0" w:line="240" w:lineRule="auto"/>
        <w:jc w:val="center"/>
        <w:rPr>
          <w:rFonts w:ascii="Times New Roman" w:hAnsi="Times New Roman"/>
          <w:b/>
          <w:sz w:val="24"/>
        </w:rPr>
      </w:pPr>
    </w:p>
    <w:p w14:paraId="598BC447" w14:textId="1019A875" w:rsidR="00067A32" w:rsidRDefault="00067A32" w:rsidP="004572DD">
      <w:pPr>
        <w:widowControl w:val="0"/>
        <w:spacing w:after="0" w:line="240" w:lineRule="auto"/>
        <w:jc w:val="center"/>
        <w:rPr>
          <w:rFonts w:ascii="Times New Roman" w:hAnsi="Times New Roman" w:cs="Times New Roman"/>
          <w:b/>
          <w:bCs/>
          <w:noProof/>
          <w:sz w:val="24"/>
          <w:szCs w:val="28"/>
        </w:rPr>
      </w:pPr>
      <w:r>
        <w:rPr>
          <w:rFonts w:ascii="Times New Roman" w:hAnsi="Times New Roman"/>
          <w:b/>
          <w:sz w:val="24"/>
        </w:rPr>
        <w:t>ar ko apstiprina grozījumus Darbības kārtībā, par kuru vienojušās Eiropas Komisija un Latvija</w:t>
      </w:r>
      <w:r w:rsidR="00F52702">
        <w:rPr>
          <w:rFonts w:ascii="Times New Roman" w:hAnsi="Times New Roman"/>
          <w:b/>
          <w:sz w:val="24"/>
        </w:rPr>
        <w:t xml:space="preserve"> </w:t>
      </w:r>
      <w:r>
        <w:rPr>
          <w:rFonts w:ascii="Times New Roman" w:hAnsi="Times New Roman"/>
          <w:b/>
          <w:sz w:val="24"/>
        </w:rPr>
        <w:t>saskaņā ar Regulu (ES) 2021/241</w:t>
      </w:r>
    </w:p>
    <w:p w14:paraId="462B60B6" w14:textId="77777777" w:rsidR="00741784" w:rsidRPr="00481482" w:rsidRDefault="00741784" w:rsidP="00481482">
      <w:pPr>
        <w:widowControl w:val="0"/>
        <w:spacing w:after="0" w:line="240" w:lineRule="auto"/>
        <w:jc w:val="both"/>
        <w:rPr>
          <w:rFonts w:ascii="Times New Roman" w:hAnsi="Times New Roman" w:cs="Times New Roman"/>
          <w:b/>
          <w:bCs/>
          <w:noProof/>
          <w:sz w:val="24"/>
          <w:szCs w:val="28"/>
        </w:rPr>
      </w:pPr>
    </w:p>
    <w:p w14:paraId="22F8F7A2" w14:textId="77777777" w:rsidR="00481482" w:rsidRDefault="00067A32" w:rsidP="00481482">
      <w:pPr>
        <w:widowControl w:val="0"/>
        <w:spacing w:after="0" w:line="240" w:lineRule="auto"/>
        <w:jc w:val="both"/>
        <w:rPr>
          <w:rFonts w:ascii="Times New Roman" w:hAnsi="Times New Roman" w:cs="Times New Roman"/>
          <w:noProof/>
          <w:sz w:val="24"/>
          <w:szCs w:val="28"/>
        </w:rPr>
      </w:pPr>
      <w:r>
        <w:rPr>
          <w:rFonts w:ascii="Times New Roman" w:hAnsi="Times New Roman"/>
          <w:sz w:val="24"/>
        </w:rPr>
        <w:t>EIROPAS KOMISIJA,</w:t>
      </w:r>
    </w:p>
    <w:p w14:paraId="0B18B54F" w14:textId="77777777" w:rsidR="00247799" w:rsidRPr="00481482" w:rsidRDefault="00247799" w:rsidP="00481482">
      <w:pPr>
        <w:widowControl w:val="0"/>
        <w:spacing w:after="0" w:line="240" w:lineRule="auto"/>
        <w:jc w:val="both"/>
        <w:rPr>
          <w:rFonts w:ascii="Times New Roman" w:hAnsi="Times New Roman" w:cs="Times New Roman"/>
          <w:noProof/>
          <w:sz w:val="24"/>
          <w:szCs w:val="28"/>
        </w:rPr>
      </w:pPr>
    </w:p>
    <w:p w14:paraId="17D2FCFE" w14:textId="77777777" w:rsidR="00481482" w:rsidRDefault="00067A32" w:rsidP="00481482">
      <w:pPr>
        <w:widowControl w:val="0"/>
        <w:spacing w:after="0" w:line="240" w:lineRule="auto"/>
        <w:jc w:val="both"/>
        <w:rPr>
          <w:rFonts w:ascii="Times New Roman" w:hAnsi="Times New Roman" w:cs="Times New Roman"/>
          <w:noProof/>
          <w:sz w:val="24"/>
          <w:szCs w:val="28"/>
        </w:rPr>
      </w:pPr>
      <w:r>
        <w:rPr>
          <w:rFonts w:ascii="Times New Roman" w:hAnsi="Times New Roman"/>
          <w:sz w:val="24"/>
        </w:rPr>
        <w:t>ņemot vērā Līgumu par Eiropas Savienības darbību;</w:t>
      </w:r>
    </w:p>
    <w:p w14:paraId="167B0F48" w14:textId="77777777" w:rsidR="00247799" w:rsidRPr="00481482" w:rsidRDefault="00247799" w:rsidP="00481482">
      <w:pPr>
        <w:widowControl w:val="0"/>
        <w:spacing w:after="0" w:line="240" w:lineRule="auto"/>
        <w:jc w:val="both"/>
        <w:rPr>
          <w:rFonts w:ascii="Times New Roman" w:hAnsi="Times New Roman" w:cs="Times New Roman"/>
          <w:noProof/>
          <w:sz w:val="24"/>
          <w:szCs w:val="28"/>
        </w:rPr>
      </w:pPr>
    </w:p>
    <w:p w14:paraId="3A54FAF1" w14:textId="13C4177A" w:rsidR="00481482" w:rsidRDefault="00067A32" w:rsidP="00481482">
      <w:pPr>
        <w:widowControl w:val="0"/>
        <w:spacing w:after="0" w:line="240" w:lineRule="auto"/>
        <w:jc w:val="both"/>
        <w:rPr>
          <w:rFonts w:ascii="Times New Roman" w:hAnsi="Times New Roman" w:cs="Times New Roman"/>
          <w:noProof/>
          <w:sz w:val="24"/>
          <w:szCs w:val="28"/>
        </w:rPr>
      </w:pPr>
      <w:r>
        <w:rPr>
          <w:rFonts w:ascii="Times New Roman" w:hAnsi="Times New Roman"/>
          <w:sz w:val="24"/>
        </w:rPr>
        <w:t>ņemot vērā Eiropas Parlamenta un Padomes 2021. gada 12. februāra Regulu (ES) 2021/241, ar ko izveido Atveseļošanas un noturības mehānismu (“ANM regula”)</w:t>
      </w:r>
      <w:r w:rsidR="005E1F8D">
        <w:rPr>
          <w:rStyle w:val="FootnoteReference"/>
          <w:rFonts w:ascii="Times New Roman" w:hAnsi="Times New Roman"/>
          <w:sz w:val="24"/>
        </w:rPr>
        <w:footnoteReference w:id="2"/>
      </w:r>
      <w:r>
        <w:rPr>
          <w:rFonts w:ascii="Times New Roman" w:hAnsi="Times New Roman"/>
          <w:sz w:val="24"/>
        </w:rPr>
        <w:t>, un jo īpaši tās 20. panta 6. punktu,</w:t>
      </w:r>
    </w:p>
    <w:p w14:paraId="22183B13" w14:textId="77777777" w:rsidR="00247799" w:rsidRPr="00481482" w:rsidRDefault="00247799" w:rsidP="00481482">
      <w:pPr>
        <w:widowControl w:val="0"/>
        <w:spacing w:after="0" w:line="240" w:lineRule="auto"/>
        <w:jc w:val="both"/>
        <w:rPr>
          <w:rFonts w:ascii="Times New Roman" w:hAnsi="Times New Roman" w:cs="Times New Roman"/>
          <w:noProof/>
          <w:sz w:val="24"/>
          <w:szCs w:val="28"/>
        </w:rPr>
      </w:pPr>
    </w:p>
    <w:p w14:paraId="2BC79106" w14:textId="77777777" w:rsidR="00481482" w:rsidRDefault="00067A32" w:rsidP="00481482">
      <w:pPr>
        <w:widowControl w:val="0"/>
        <w:spacing w:after="0" w:line="240" w:lineRule="auto"/>
        <w:jc w:val="both"/>
        <w:rPr>
          <w:rFonts w:ascii="Times New Roman" w:hAnsi="Times New Roman" w:cs="Times New Roman"/>
          <w:noProof/>
          <w:sz w:val="24"/>
          <w:szCs w:val="28"/>
        </w:rPr>
      </w:pPr>
      <w:r>
        <w:rPr>
          <w:rFonts w:ascii="Times New Roman" w:hAnsi="Times New Roman"/>
          <w:sz w:val="24"/>
        </w:rPr>
        <w:t>tā kā:</w:t>
      </w:r>
    </w:p>
    <w:p w14:paraId="38C85041" w14:textId="77777777" w:rsidR="004C3D2D" w:rsidRPr="00481482" w:rsidRDefault="004C3D2D" w:rsidP="00481482">
      <w:pPr>
        <w:widowControl w:val="0"/>
        <w:spacing w:after="0" w:line="240" w:lineRule="auto"/>
        <w:jc w:val="both"/>
        <w:rPr>
          <w:rFonts w:ascii="Times New Roman" w:hAnsi="Times New Roman" w:cs="Times New Roman"/>
          <w:noProof/>
          <w:sz w:val="24"/>
          <w:szCs w:val="28"/>
        </w:rPr>
      </w:pPr>
    </w:p>
    <w:p w14:paraId="6BCCCF39" w14:textId="7A76934C" w:rsidR="00481482" w:rsidRDefault="00247799" w:rsidP="00263C85">
      <w:pPr>
        <w:widowControl w:val="0"/>
        <w:spacing w:after="0" w:line="240" w:lineRule="auto"/>
        <w:ind w:left="284" w:hanging="284"/>
        <w:jc w:val="both"/>
        <w:rPr>
          <w:rFonts w:ascii="Times New Roman" w:hAnsi="Times New Roman" w:cs="Times New Roman"/>
          <w:noProof/>
          <w:sz w:val="24"/>
          <w:szCs w:val="28"/>
        </w:rPr>
      </w:pPr>
      <w:r>
        <w:rPr>
          <w:rFonts w:ascii="Times New Roman" w:hAnsi="Times New Roman"/>
          <w:sz w:val="24"/>
        </w:rPr>
        <w:t>1. saskaņā ar Regulas (ES) 2021/241 4. panta 2. punktu Atveseļošanas un noturības mehānisma konkrētais mērķis ir sniegt dalībvalstīm finansiālu atbalstu, lai tās varētu sasniegt savos atveseļošanas un noturības plānos izvirzītos reformu un investīciju atskaites punktus un mērķus; </w:t>
      </w:r>
    </w:p>
    <w:p w14:paraId="74C0828F" w14:textId="77777777" w:rsidR="004C3D2D" w:rsidRPr="00481482" w:rsidRDefault="004C3D2D" w:rsidP="00263C85">
      <w:pPr>
        <w:widowControl w:val="0"/>
        <w:spacing w:after="0" w:line="240" w:lineRule="auto"/>
        <w:ind w:left="284" w:hanging="284"/>
        <w:jc w:val="both"/>
        <w:rPr>
          <w:rFonts w:ascii="Times New Roman" w:hAnsi="Times New Roman" w:cs="Times New Roman"/>
          <w:noProof/>
          <w:sz w:val="24"/>
          <w:szCs w:val="28"/>
        </w:rPr>
      </w:pPr>
    </w:p>
    <w:p w14:paraId="09056CE5" w14:textId="1BFB6EED" w:rsidR="00481482" w:rsidRDefault="00067A32" w:rsidP="00263C85">
      <w:pPr>
        <w:widowControl w:val="0"/>
        <w:spacing w:after="0" w:line="240" w:lineRule="auto"/>
        <w:ind w:left="284" w:hanging="284"/>
        <w:jc w:val="both"/>
        <w:rPr>
          <w:rFonts w:ascii="Times New Roman" w:hAnsi="Times New Roman" w:cs="Times New Roman"/>
          <w:noProof/>
          <w:sz w:val="24"/>
          <w:szCs w:val="28"/>
        </w:rPr>
      </w:pPr>
      <w:r>
        <w:rPr>
          <w:rFonts w:ascii="Times New Roman" w:hAnsi="Times New Roman"/>
          <w:sz w:val="24"/>
        </w:rPr>
        <w:t>2. Padomes 2021. gada 13. jūlija Īstenošanas lēmumā par Latvijas atveseļošanas un noturības plāna novērtējuma apstiprināšanu</w:t>
      </w:r>
      <w:r w:rsidR="005E1F8D">
        <w:rPr>
          <w:rStyle w:val="FootnoteReference"/>
          <w:rFonts w:ascii="Times New Roman" w:hAnsi="Times New Roman"/>
          <w:sz w:val="24"/>
        </w:rPr>
        <w:footnoteReference w:id="3"/>
      </w:r>
      <w:r>
        <w:rPr>
          <w:rFonts w:ascii="Times New Roman" w:hAnsi="Times New Roman"/>
          <w:sz w:val="24"/>
        </w:rPr>
        <w:t xml:space="preserve"> (“Padomes Īstenošanas lēmums”) ir noteikts, ka Savienībai finanšu iemaksu maksājumi ir jāveic saskaņā ar finansēšanas nolīgumu un attiecīgā gadījumā saskaņā ar aizdevuma līgumu ar nosacījumu, </w:t>
      </w:r>
      <w:r>
        <w:rPr>
          <w:rFonts w:ascii="Times New Roman" w:hAnsi="Times New Roman"/>
          <w:i/>
          <w:iCs/>
          <w:sz w:val="24"/>
        </w:rPr>
        <w:t>inter alia</w:t>
      </w:r>
      <w:r>
        <w:rPr>
          <w:rFonts w:ascii="Times New Roman" w:hAnsi="Times New Roman"/>
          <w:sz w:val="24"/>
        </w:rPr>
        <w:t>, ka Komisija saskaņā ar Regulas (ES) 2021/241 24. pantu pieņem lēmumu, ka Latvija ir apmierinoši sasniegusi attiecīgos atskaites punktus un mērķus, kas noteikti attiecībā uz atveseļošanas un noturības plāna īstenošanu;</w:t>
      </w:r>
    </w:p>
    <w:p w14:paraId="5CA3EAEE" w14:textId="77777777" w:rsidR="004C3D2D" w:rsidRPr="00481482" w:rsidRDefault="004C3D2D" w:rsidP="00263C85">
      <w:pPr>
        <w:widowControl w:val="0"/>
        <w:spacing w:after="0" w:line="240" w:lineRule="auto"/>
        <w:ind w:left="284" w:hanging="284"/>
        <w:jc w:val="both"/>
        <w:rPr>
          <w:rFonts w:ascii="Times New Roman" w:hAnsi="Times New Roman" w:cs="Times New Roman"/>
          <w:noProof/>
          <w:sz w:val="24"/>
          <w:szCs w:val="28"/>
        </w:rPr>
      </w:pPr>
    </w:p>
    <w:p w14:paraId="1673DEE6" w14:textId="6CB57990" w:rsidR="00067A32" w:rsidRPr="00481482" w:rsidRDefault="00067A32" w:rsidP="00263C85">
      <w:pPr>
        <w:widowControl w:val="0"/>
        <w:spacing w:after="0" w:line="240" w:lineRule="auto"/>
        <w:ind w:left="284" w:hanging="284"/>
        <w:jc w:val="both"/>
        <w:rPr>
          <w:rFonts w:ascii="Times New Roman" w:hAnsi="Times New Roman" w:cs="Times New Roman"/>
          <w:noProof/>
          <w:sz w:val="24"/>
          <w:szCs w:val="28"/>
        </w:rPr>
      </w:pPr>
      <w:r>
        <w:rPr>
          <w:rFonts w:ascii="Times New Roman" w:hAnsi="Times New Roman"/>
          <w:sz w:val="24"/>
        </w:rPr>
        <w:t>3. saskaņā ar Regulas (ES) 2021/241 20. panta 6. punktu pēc Padomes Īstenošanas lēmuma pieņemšanas Komisija un Latvija (“Puses”) 2022. gada 16. februārī vienojās par darbības kārtību, kurā noteikta uzraudzības un īstenošanas kārtība un grafiks, attiecīgie rādītāji, kas saistīti ar iecerēto atskaites punktu un mērķu sasniegšanu, un kārtība, kādā Komisija nodrošina pilnīgu piekļuvi lēmumu pamatojošajiem datiem;</w:t>
      </w:r>
    </w:p>
    <w:p w14:paraId="3142396E" w14:textId="77777777" w:rsidR="004C3D2D" w:rsidRDefault="004C3D2D" w:rsidP="00263C85">
      <w:pPr>
        <w:widowControl w:val="0"/>
        <w:spacing w:after="0" w:line="240" w:lineRule="auto"/>
        <w:ind w:left="284" w:hanging="284"/>
        <w:jc w:val="both"/>
        <w:rPr>
          <w:rFonts w:ascii="Times New Roman" w:hAnsi="Times New Roman" w:cs="Times New Roman"/>
          <w:noProof/>
          <w:sz w:val="24"/>
          <w:szCs w:val="28"/>
        </w:rPr>
      </w:pPr>
    </w:p>
    <w:p w14:paraId="763ADE71" w14:textId="5D0C05AA" w:rsidR="00067A32" w:rsidRDefault="00067A32" w:rsidP="00263C85">
      <w:pPr>
        <w:widowControl w:val="0"/>
        <w:spacing w:after="0" w:line="240" w:lineRule="auto"/>
        <w:ind w:left="284" w:hanging="284"/>
        <w:jc w:val="both"/>
        <w:rPr>
          <w:rFonts w:ascii="Times New Roman" w:hAnsi="Times New Roman" w:cs="Times New Roman"/>
          <w:noProof/>
          <w:sz w:val="24"/>
          <w:szCs w:val="28"/>
        </w:rPr>
      </w:pPr>
      <w:r>
        <w:rPr>
          <w:rFonts w:ascii="Times New Roman" w:hAnsi="Times New Roman"/>
          <w:sz w:val="24"/>
        </w:rPr>
        <w:t>4. saskaņā ar Regulas (ES) 2021/241 24. panta 3. punktu Komisijai jāņem vērā šāda darbības kārtība, lai novērtētu, vai ir apmierinoši sasniegti attiecīgie atskaites punkti un mērķi, kas izklāstīti grozošajā Padomes īstenošanas lēmumā;</w:t>
      </w:r>
    </w:p>
    <w:p w14:paraId="07E45135" w14:textId="77777777" w:rsidR="004C3D2D" w:rsidRPr="00481482" w:rsidRDefault="004C3D2D" w:rsidP="00263C85">
      <w:pPr>
        <w:widowControl w:val="0"/>
        <w:spacing w:after="0" w:line="240" w:lineRule="auto"/>
        <w:ind w:left="284" w:hanging="284"/>
        <w:jc w:val="both"/>
        <w:rPr>
          <w:rFonts w:ascii="Times New Roman" w:hAnsi="Times New Roman" w:cs="Times New Roman"/>
          <w:noProof/>
          <w:sz w:val="24"/>
          <w:szCs w:val="28"/>
        </w:rPr>
      </w:pPr>
    </w:p>
    <w:p w14:paraId="4B747A6E" w14:textId="21CDFA38" w:rsidR="00067A32" w:rsidRPr="00481482" w:rsidRDefault="00067A32" w:rsidP="00263C85">
      <w:pPr>
        <w:widowControl w:val="0"/>
        <w:spacing w:after="0" w:line="240" w:lineRule="auto"/>
        <w:ind w:left="284" w:hanging="284"/>
        <w:jc w:val="both"/>
        <w:rPr>
          <w:rFonts w:ascii="Times New Roman" w:hAnsi="Times New Roman" w:cs="Times New Roman"/>
          <w:noProof/>
          <w:sz w:val="24"/>
          <w:szCs w:val="24"/>
        </w:rPr>
      </w:pPr>
      <w:r>
        <w:rPr>
          <w:rFonts w:ascii="Times New Roman" w:hAnsi="Times New Roman"/>
          <w:sz w:val="24"/>
        </w:rPr>
        <w:t xml:space="preserve">5. 2024. gada 18. decembrī Latvija iesniedza Komisijai grozītu nacionālo atveseļošanas un noturības plānu (“ANP”), tostarp </w:t>
      </w:r>
      <w:r>
        <w:rPr>
          <w:rFonts w:ascii="Times New Roman" w:hAnsi="Times New Roman"/>
          <w:i/>
          <w:iCs/>
          <w:sz w:val="24"/>
        </w:rPr>
        <w:t>REPowerEU</w:t>
      </w:r>
      <w:r>
        <w:rPr>
          <w:rFonts w:ascii="Times New Roman" w:hAnsi="Times New Roman"/>
          <w:sz w:val="24"/>
        </w:rPr>
        <w:t xml:space="preserve"> nodaļu saskaņā ar Regulas (ES) 2021/241 21.c pantu. Pēc tam, kad Latvija bija iesniegusi grozīto atveseļošanas un noturības plānu, Komisija sniedza Padomei rekomendāciju par tā pozitīvu novērtējumu. Padome apstiprināja novērtējumu ar Padomes 2025. gada 18. februāra Īstenošanas lēmumu</w:t>
      </w:r>
      <w:r w:rsidR="005E1F8D">
        <w:rPr>
          <w:rStyle w:val="FootnoteReference"/>
          <w:rFonts w:ascii="Times New Roman" w:hAnsi="Times New Roman"/>
          <w:sz w:val="24"/>
        </w:rPr>
        <w:footnoteReference w:id="4"/>
      </w:r>
      <w:r>
        <w:rPr>
          <w:rFonts w:ascii="Times New Roman" w:hAnsi="Times New Roman"/>
          <w:sz w:val="24"/>
        </w:rPr>
        <w:t>, ar ko groza Īstenošanas lēmumu (ES) (15569/23; 15569/23 ADD 1) par Latvijas atveseļošanas un noturības plāna novērtējuma apstiprināšanu (“grozošais Padomes Īstenošanas lēmums”).</w:t>
      </w:r>
    </w:p>
    <w:p w14:paraId="63663B9B" w14:textId="77777777" w:rsidR="004C3D2D" w:rsidRDefault="004C3D2D" w:rsidP="00263C85">
      <w:pPr>
        <w:widowControl w:val="0"/>
        <w:spacing w:after="0" w:line="240" w:lineRule="auto"/>
        <w:ind w:left="284" w:hanging="284"/>
        <w:jc w:val="both"/>
        <w:rPr>
          <w:rFonts w:ascii="Times New Roman" w:hAnsi="Times New Roman" w:cs="Times New Roman"/>
          <w:noProof/>
          <w:sz w:val="24"/>
          <w:szCs w:val="28"/>
        </w:rPr>
      </w:pPr>
    </w:p>
    <w:p w14:paraId="4E899EA8" w14:textId="54A1EF4D" w:rsidR="00067A32" w:rsidRDefault="00067A32" w:rsidP="00201E12">
      <w:pPr>
        <w:keepNext/>
        <w:keepLines/>
        <w:widowControl w:val="0"/>
        <w:spacing w:after="0" w:line="240" w:lineRule="auto"/>
        <w:ind w:left="284" w:hanging="284"/>
        <w:jc w:val="both"/>
        <w:rPr>
          <w:rFonts w:ascii="Times New Roman" w:hAnsi="Times New Roman" w:cs="Times New Roman"/>
          <w:noProof/>
          <w:sz w:val="24"/>
          <w:szCs w:val="28"/>
        </w:rPr>
      </w:pPr>
      <w:r>
        <w:rPr>
          <w:rFonts w:ascii="Times New Roman" w:hAnsi="Times New Roman"/>
          <w:sz w:val="24"/>
        </w:rPr>
        <w:lastRenderedPageBreak/>
        <w:t>6. Latvija un Komisijas dienesti 2025. gada 12. decembrī vienojās par Darbības kārtības grozījumiem, kuros ņemts vērā grozošais Padomes Īstenošanas lēmums. Tādēļ ir jāapstiprina grozītā Darbības kārtība, lai ņemtu vērā saskaņotos grozījumus;</w:t>
      </w:r>
    </w:p>
    <w:p w14:paraId="5E579F30" w14:textId="77777777" w:rsidR="004C3D2D" w:rsidRPr="00481482" w:rsidRDefault="004C3D2D" w:rsidP="00263C85">
      <w:pPr>
        <w:widowControl w:val="0"/>
        <w:spacing w:after="0" w:line="240" w:lineRule="auto"/>
        <w:ind w:left="284" w:hanging="284"/>
        <w:jc w:val="both"/>
        <w:rPr>
          <w:rFonts w:ascii="Times New Roman" w:hAnsi="Times New Roman" w:cs="Times New Roman"/>
          <w:noProof/>
          <w:sz w:val="24"/>
          <w:szCs w:val="28"/>
        </w:rPr>
      </w:pPr>
    </w:p>
    <w:p w14:paraId="109884ED" w14:textId="77777777" w:rsidR="00067A32" w:rsidRPr="00481482" w:rsidRDefault="00067A32" w:rsidP="00263C85">
      <w:pPr>
        <w:widowControl w:val="0"/>
        <w:spacing w:after="0" w:line="240" w:lineRule="auto"/>
        <w:ind w:left="284" w:hanging="284"/>
        <w:jc w:val="both"/>
        <w:rPr>
          <w:rFonts w:ascii="Times New Roman" w:hAnsi="Times New Roman" w:cs="Times New Roman"/>
          <w:noProof/>
          <w:sz w:val="24"/>
          <w:szCs w:val="28"/>
        </w:rPr>
      </w:pPr>
      <w:r>
        <w:rPr>
          <w:rFonts w:ascii="Times New Roman" w:hAnsi="Times New Roman"/>
          <w:sz w:val="24"/>
        </w:rPr>
        <w:t>7. saskaņā ar Darbības kārtības 4. pantu Darbības kārtība var tikt grozīta ar Pušu abpusēju piekrišanu, izmantojot vēstuļu apmaiņu. Šim nolūkam Latvijas Republikai ir jānosūta vēstule Komisijai, un Komisijai ir jāsniedz rakstiska atbilde,</w:t>
      </w:r>
    </w:p>
    <w:p w14:paraId="46302F2B" w14:textId="77777777" w:rsidR="00067A32" w:rsidRDefault="00067A32" w:rsidP="00481482">
      <w:pPr>
        <w:widowControl w:val="0"/>
        <w:spacing w:after="0" w:line="240" w:lineRule="auto"/>
        <w:jc w:val="both"/>
        <w:rPr>
          <w:rFonts w:ascii="Times New Roman" w:hAnsi="Times New Roman" w:cs="Times New Roman"/>
          <w:noProof/>
          <w:sz w:val="24"/>
          <w:szCs w:val="28"/>
        </w:rPr>
      </w:pPr>
    </w:p>
    <w:p w14:paraId="510A9620" w14:textId="77777777" w:rsidR="004C3D2D" w:rsidRPr="00481482" w:rsidRDefault="004C3D2D" w:rsidP="00481482">
      <w:pPr>
        <w:widowControl w:val="0"/>
        <w:spacing w:after="0" w:line="240" w:lineRule="auto"/>
        <w:jc w:val="both"/>
        <w:rPr>
          <w:rFonts w:ascii="Times New Roman" w:hAnsi="Times New Roman" w:cs="Times New Roman"/>
          <w:noProof/>
          <w:sz w:val="24"/>
          <w:szCs w:val="28"/>
        </w:rPr>
      </w:pPr>
    </w:p>
    <w:p w14:paraId="418E71DE" w14:textId="77777777" w:rsidR="00067A32" w:rsidRDefault="00067A32" w:rsidP="00481482">
      <w:pPr>
        <w:widowControl w:val="0"/>
        <w:spacing w:after="0" w:line="240" w:lineRule="auto"/>
        <w:jc w:val="both"/>
        <w:rPr>
          <w:rFonts w:ascii="Times New Roman" w:hAnsi="Times New Roman" w:cs="Times New Roman"/>
          <w:noProof/>
          <w:sz w:val="24"/>
          <w:szCs w:val="28"/>
        </w:rPr>
      </w:pPr>
      <w:r>
        <w:rPr>
          <w:rFonts w:ascii="Times New Roman" w:hAnsi="Times New Roman"/>
          <w:sz w:val="24"/>
        </w:rPr>
        <w:t>IR PIEŅĒMUSI ŠO LĒMUMU.</w:t>
      </w:r>
    </w:p>
    <w:p w14:paraId="6C976C71" w14:textId="77777777" w:rsidR="004C3D2D" w:rsidRPr="00481482" w:rsidRDefault="004C3D2D" w:rsidP="00481482">
      <w:pPr>
        <w:widowControl w:val="0"/>
        <w:spacing w:after="0" w:line="240" w:lineRule="auto"/>
        <w:jc w:val="both"/>
        <w:rPr>
          <w:rFonts w:ascii="Times New Roman" w:hAnsi="Times New Roman" w:cs="Times New Roman"/>
          <w:noProof/>
          <w:sz w:val="24"/>
          <w:szCs w:val="28"/>
        </w:rPr>
      </w:pPr>
    </w:p>
    <w:p w14:paraId="051C304D" w14:textId="43E983B8" w:rsidR="004C3D2D" w:rsidRDefault="00067A32" w:rsidP="004C3D2D">
      <w:pPr>
        <w:widowControl w:val="0"/>
        <w:spacing w:after="0" w:line="240" w:lineRule="auto"/>
        <w:jc w:val="center"/>
        <w:rPr>
          <w:rFonts w:ascii="Times New Roman" w:hAnsi="Times New Roman" w:cs="Times New Roman"/>
          <w:i/>
          <w:iCs/>
          <w:noProof/>
          <w:sz w:val="24"/>
          <w:szCs w:val="28"/>
        </w:rPr>
      </w:pPr>
      <w:r>
        <w:rPr>
          <w:rFonts w:ascii="Times New Roman" w:hAnsi="Times New Roman"/>
          <w:i/>
          <w:sz w:val="24"/>
        </w:rPr>
        <w:t>Vienīgais pants</w:t>
      </w:r>
    </w:p>
    <w:p w14:paraId="6D57A8F8" w14:textId="77777777" w:rsidR="004C3D2D" w:rsidRPr="00481482" w:rsidRDefault="004C3D2D" w:rsidP="004C3D2D">
      <w:pPr>
        <w:widowControl w:val="0"/>
        <w:spacing w:after="0" w:line="240" w:lineRule="auto"/>
        <w:jc w:val="center"/>
        <w:rPr>
          <w:rFonts w:ascii="Times New Roman" w:hAnsi="Times New Roman" w:cs="Times New Roman"/>
          <w:i/>
          <w:iCs/>
          <w:noProof/>
          <w:sz w:val="24"/>
          <w:szCs w:val="28"/>
        </w:rPr>
      </w:pPr>
    </w:p>
    <w:p w14:paraId="43A0F734" w14:textId="5693E162" w:rsidR="00067A32" w:rsidRDefault="004C3D2D" w:rsidP="00263C85">
      <w:pPr>
        <w:widowControl w:val="0"/>
        <w:spacing w:after="0" w:line="240" w:lineRule="auto"/>
        <w:jc w:val="both"/>
        <w:rPr>
          <w:rFonts w:ascii="Times New Roman" w:hAnsi="Times New Roman"/>
          <w:sz w:val="24"/>
        </w:rPr>
      </w:pPr>
      <w:r>
        <w:rPr>
          <w:rFonts w:ascii="Times New Roman" w:hAnsi="Times New Roman"/>
          <w:sz w:val="24"/>
        </w:rPr>
        <w:t>Darbības kārtība, par kuru vienojušās Komisija un Latvijas Republika saskaņā ar Padomes Regulas (ES) 2021/241 20. panta 6. punktu un kurā izdarīti šā lēmuma II pielikumā izklāstītie grozījumi, tiek apstiprināta.</w:t>
      </w:r>
    </w:p>
    <w:p w14:paraId="0F73DCD3" w14:textId="77777777" w:rsidR="00263C85" w:rsidRPr="00481482" w:rsidRDefault="00263C85" w:rsidP="00263C85">
      <w:pPr>
        <w:widowControl w:val="0"/>
        <w:spacing w:after="0" w:line="240" w:lineRule="auto"/>
        <w:jc w:val="both"/>
        <w:rPr>
          <w:rFonts w:ascii="Times New Roman" w:hAnsi="Times New Roman" w:cs="Times New Roman"/>
          <w:noProof/>
          <w:sz w:val="24"/>
          <w:szCs w:val="28"/>
        </w:rPr>
      </w:pPr>
    </w:p>
    <w:p w14:paraId="1138686D" w14:textId="33D60D2E" w:rsidR="00067A32" w:rsidRPr="00481482" w:rsidRDefault="004C3D2D" w:rsidP="00263C85">
      <w:pPr>
        <w:widowControl w:val="0"/>
        <w:spacing w:after="0" w:line="240" w:lineRule="auto"/>
        <w:jc w:val="both"/>
        <w:rPr>
          <w:rFonts w:ascii="Times New Roman" w:hAnsi="Times New Roman" w:cs="Times New Roman"/>
          <w:noProof/>
          <w:sz w:val="24"/>
          <w:szCs w:val="28"/>
        </w:rPr>
      </w:pPr>
      <w:r>
        <w:rPr>
          <w:rFonts w:ascii="Times New Roman" w:hAnsi="Times New Roman"/>
          <w:sz w:val="24"/>
        </w:rPr>
        <w:t>Ekonomikas un finanšu lietu ģenerāldirektors vai viņa aizvietotājs tiek pilnvarots Komisijas vārdā parakstīt piekrišanas vēstuli par Darbības kārtības grozījumiem, atbildot uz Latvijas Republikas lūgumu, kā izklāstīts šā lēmuma I pielikumā.</w:t>
      </w:r>
    </w:p>
    <w:p w14:paraId="3C0ACB9B" w14:textId="77777777" w:rsidR="00067A32" w:rsidRPr="00481482" w:rsidRDefault="00067A32" w:rsidP="00481482">
      <w:pPr>
        <w:widowControl w:val="0"/>
        <w:spacing w:after="0" w:line="240" w:lineRule="auto"/>
        <w:jc w:val="both"/>
        <w:rPr>
          <w:rFonts w:ascii="Times New Roman" w:hAnsi="Times New Roman" w:cs="Times New Roman"/>
          <w:noProof/>
          <w:sz w:val="24"/>
          <w:szCs w:val="28"/>
        </w:rPr>
      </w:pPr>
    </w:p>
    <w:p w14:paraId="0531C105" w14:textId="77777777" w:rsidR="00067A32" w:rsidRDefault="00067A32" w:rsidP="00481482">
      <w:pPr>
        <w:widowControl w:val="0"/>
        <w:spacing w:after="0" w:line="240" w:lineRule="auto"/>
        <w:jc w:val="both"/>
        <w:rPr>
          <w:rFonts w:ascii="Times New Roman" w:hAnsi="Times New Roman"/>
          <w:sz w:val="24"/>
        </w:rPr>
      </w:pPr>
      <w:r>
        <w:rPr>
          <w:rFonts w:ascii="Times New Roman" w:hAnsi="Times New Roman"/>
          <w:sz w:val="24"/>
        </w:rPr>
        <w:t>Briselē,</w:t>
      </w:r>
    </w:p>
    <w:p w14:paraId="373A4026" w14:textId="77777777" w:rsidR="00B006B9" w:rsidRPr="00481482" w:rsidRDefault="00B006B9" w:rsidP="00481482">
      <w:pPr>
        <w:widowControl w:val="0"/>
        <w:spacing w:after="0" w:line="240" w:lineRule="auto"/>
        <w:jc w:val="both"/>
        <w:rPr>
          <w:rFonts w:ascii="Times New Roman" w:hAnsi="Times New Roman" w:cs="Times New Roman"/>
          <w:noProof/>
          <w:sz w:val="24"/>
          <w:szCs w:val="28"/>
        </w:rPr>
      </w:pPr>
    </w:p>
    <w:p w14:paraId="60C689C6" w14:textId="77777777" w:rsidR="00067A32" w:rsidRPr="00263C85" w:rsidRDefault="00067A32" w:rsidP="004C3D2D">
      <w:pPr>
        <w:widowControl w:val="0"/>
        <w:spacing w:after="0" w:line="240" w:lineRule="auto"/>
        <w:jc w:val="right"/>
        <w:rPr>
          <w:rFonts w:ascii="Times New Roman" w:hAnsi="Times New Roman" w:cs="Times New Roman"/>
          <w:i/>
          <w:iCs/>
          <w:noProof/>
          <w:sz w:val="24"/>
          <w:szCs w:val="28"/>
        </w:rPr>
      </w:pPr>
      <w:r w:rsidRPr="00263C85">
        <w:rPr>
          <w:rFonts w:ascii="Times New Roman" w:hAnsi="Times New Roman"/>
          <w:i/>
          <w:sz w:val="24"/>
        </w:rPr>
        <w:t>Komisijas vārdā</w:t>
      </w:r>
    </w:p>
    <w:p w14:paraId="7B1B3813" w14:textId="61A71D48" w:rsidR="005E12E4" w:rsidRDefault="005E12E4" w:rsidP="004C3D2D">
      <w:pPr>
        <w:widowControl w:val="0"/>
        <w:spacing w:after="0" w:line="240" w:lineRule="auto"/>
        <w:jc w:val="right"/>
        <w:rPr>
          <w:rFonts w:ascii="Times New Roman" w:hAnsi="Times New Roman"/>
          <w:i/>
          <w:sz w:val="24"/>
        </w:rPr>
      </w:pPr>
      <w:r w:rsidRPr="005E12E4">
        <w:rPr>
          <w:rFonts w:ascii="Times New Roman" w:hAnsi="Times New Roman"/>
          <w:i/>
          <w:sz w:val="24"/>
        </w:rPr>
        <w:t>Rafaēle Fito</w:t>
      </w:r>
      <w:r w:rsidR="00C76B22">
        <w:rPr>
          <w:rFonts w:ascii="Times New Roman" w:hAnsi="Times New Roman"/>
          <w:i/>
          <w:sz w:val="24"/>
        </w:rPr>
        <w:t xml:space="preserve"> [</w:t>
      </w:r>
      <w:r w:rsidR="00C76B22" w:rsidRPr="00C76B22">
        <w:rPr>
          <w:rFonts w:ascii="Times New Roman" w:hAnsi="Times New Roman"/>
          <w:i/>
          <w:sz w:val="24"/>
        </w:rPr>
        <w:t>Raffaele Fitto</w:t>
      </w:r>
      <w:r w:rsidR="00C76B22">
        <w:rPr>
          <w:rFonts w:ascii="Times New Roman" w:hAnsi="Times New Roman"/>
          <w:i/>
          <w:sz w:val="24"/>
        </w:rPr>
        <w:t>]</w:t>
      </w:r>
    </w:p>
    <w:p w14:paraId="771B8DEC" w14:textId="77777777" w:rsidR="00294584" w:rsidRDefault="00294584" w:rsidP="00294584">
      <w:pPr>
        <w:jc w:val="right"/>
        <w:rPr>
          <w:rFonts w:ascii="Times New Roman" w:hAnsi="Times New Roman"/>
          <w:i/>
          <w:sz w:val="24"/>
        </w:rPr>
      </w:pPr>
      <w:r w:rsidRPr="00294584">
        <w:rPr>
          <w:rFonts w:ascii="Times New Roman" w:hAnsi="Times New Roman"/>
          <w:i/>
          <w:sz w:val="24"/>
        </w:rPr>
        <w:t>Priekšsēdētāja(-as) izpildvietnieks</w:t>
      </w:r>
    </w:p>
    <w:p w14:paraId="5C349BD5" w14:textId="5285EE80" w:rsidR="007E35A9" w:rsidRDefault="007E35A9">
      <w:pPr>
        <w:rPr>
          <w:rFonts w:ascii="Times New Roman" w:hAnsi="Times New Roman"/>
          <w:i/>
          <w:sz w:val="24"/>
        </w:rPr>
      </w:pPr>
      <w:r>
        <w:rPr>
          <w:rFonts w:ascii="Times New Roman" w:hAnsi="Times New Roman"/>
          <w:i/>
          <w:sz w:val="24"/>
        </w:rPr>
        <w:br w:type="page"/>
      </w:r>
    </w:p>
    <w:p w14:paraId="505874F9" w14:textId="77777777" w:rsidR="00067A32" w:rsidRPr="00481482" w:rsidRDefault="00067A32" w:rsidP="004C3D2D">
      <w:pPr>
        <w:widowControl w:val="0"/>
        <w:spacing w:after="0" w:line="240" w:lineRule="auto"/>
        <w:jc w:val="right"/>
        <w:rPr>
          <w:rFonts w:ascii="Times New Roman" w:hAnsi="Times New Roman" w:cs="Times New Roman"/>
          <w:i/>
          <w:iCs/>
          <w:noProof/>
          <w:sz w:val="24"/>
          <w:szCs w:val="2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954"/>
        <w:gridCol w:w="7117"/>
      </w:tblGrid>
      <w:tr w:rsidR="007E35A9" w14:paraId="4E01F34B" w14:textId="77777777" w:rsidTr="007743CE">
        <w:tc>
          <w:tcPr>
            <w:tcW w:w="1077" w:type="pct"/>
          </w:tcPr>
          <w:p w14:paraId="694B30B0" w14:textId="77777777" w:rsidR="007E35A9" w:rsidRDefault="007E35A9" w:rsidP="00AA05AE">
            <w:pPr>
              <w:rPr>
                <w:rFonts w:ascii="Times New Roman" w:hAnsi="Times New Roman" w:cs="Times New Roman"/>
                <w:noProof/>
                <w:sz w:val="24"/>
                <w:szCs w:val="28"/>
              </w:rPr>
            </w:pPr>
            <w:r w:rsidRPr="00481482">
              <w:rPr>
                <w:rFonts w:ascii="Times New Roman" w:hAnsi="Times New Roman"/>
                <w:noProof/>
                <w:sz w:val="24"/>
              </w:rPr>
              <w:drawing>
                <wp:inline distT="0" distB="0" distL="0" distR="0" wp14:anchorId="524F0094" wp14:editId="3BD600F0">
                  <wp:extent cx="1205214" cy="647700"/>
                  <wp:effectExtent l="0" t="0" r="0" b="0"/>
                  <wp:docPr id="58874467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590339" name="Picture 1" descr="A screenshot of a computer&#10;&#10;AI-generated content may be incorrect."/>
                          <pic:cNvPicPr>
                            <a:picLocks noChangeAspect="1" noChangeArrowheads="1"/>
                          </pic:cNvPicPr>
                        </pic:nvPicPr>
                        <pic:blipFill rotWithShape="1">
                          <a:blip r:embed="rId11">
                            <a:extLst>
                              <a:ext uri="{28A0092B-C50C-407E-A947-70E740481C1C}">
                                <a14:useLocalDpi xmlns:a14="http://schemas.microsoft.com/office/drawing/2010/main" val="0"/>
                              </a:ext>
                            </a:extLst>
                          </a:blip>
                          <a:srcRect t="4101" r="72536" b="86901"/>
                          <a:stretch/>
                        </pic:blipFill>
                        <pic:spPr bwMode="auto">
                          <a:xfrm>
                            <a:off x="0" y="0"/>
                            <a:ext cx="1207023" cy="64867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923" w:type="pct"/>
            <w:vAlign w:val="bottom"/>
          </w:tcPr>
          <w:p w14:paraId="0497C8E0" w14:textId="1C7DFF16" w:rsidR="007E35A9" w:rsidRDefault="00B54379" w:rsidP="00AA05AE">
            <w:pPr>
              <w:ind w:right="5360"/>
              <w:rPr>
                <w:rFonts w:ascii="Times New Roman" w:hAnsi="Times New Roman" w:cs="Times New Roman"/>
                <w:noProof/>
                <w:sz w:val="24"/>
                <w:szCs w:val="28"/>
              </w:rPr>
            </w:pPr>
            <w:r w:rsidRPr="00B54379">
              <w:rPr>
                <w:rFonts w:ascii="Times New Roman" w:hAnsi="Times New Roman" w:cs="Times New Roman"/>
                <w:noProof/>
                <w:sz w:val="24"/>
                <w:szCs w:val="28"/>
              </w:rPr>
              <w:t>EIROPAS KOMISIJA</w:t>
            </w:r>
          </w:p>
        </w:tc>
      </w:tr>
    </w:tbl>
    <w:p w14:paraId="3BDF6DBF" w14:textId="77777777" w:rsidR="007E35A9" w:rsidRDefault="007E35A9" w:rsidP="007E35A9">
      <w:pPr>
        <w:widowControl w:val="0"/>
        <w:spacing w:after="0" w:line="240" w:lineRule="auto"/>
        <w:rPr>
          <w:rFonts w:ascii="Times New Roman" w:hAnsi="Times New Roman" w:cs="Times New Roman"/>
          <w:b/>
          <w:bCs/>
          <w:noProof/>
          <w:sz w:val="24"/>
          <w:szCs w:val="28"/>
        </w:rPr>
      </w:pPr>
    </w:p>
    <w:p w14:paraId="058208A4" w14:textId="77777777" w:rsidR="007E35A9" w:rsidRDefault="007E35A9" w:rsidP="007E35A9">
      <w:pPr>
        <w:widowControl w:val="0"/>
        <w:spacing w:after="0" w:line="240" w:lineRule="auto"/>
        <w:rPr>
          <w:rFonts w:ascii="Times New Roman" w:hAnsi="Times New Roman" w:cs="Times New Roman"/>
          <w:b/>
          <w:bCs/>
          <w:noProof/>
          <w:sz w:val="24"/>
          <w:szCs w:val="28"/>
        </w:rPr>
      </w:pPr>
    </w:p>
    <w:p w14:paraId="377D26BC" w14:textId="77777777" w:rsidR="00B54379" w:rsidRDefault="00B54379" w:rsidP="00B54379">
      <w:pPr>
        <w:widowControl w:val="0"/>
        <w:spacing w:after="0" w:line="240" w:lineRule="auto"/>
        <w:ind w:left="6096"/>
        <w:rPr>
          <w:rFonts w:ascii="Times New Roman" w:hAnsi="Times New Roman" w:cs="Times New Roman"/>
          <w:noProof/>
          <w:sz w:val="24"/>
          <w:szCs w:val="28"/>
        </w:rPr>
      </w:pPr>
      <w:r>
        <w:rPr>
          <w:rFonts w:ascii="Times New Roman" w:hAnsi="Times New Roman"/>
          <w:sz w:val="24"/>
        </w:rPr>
        <w:t xml:space="preserve">Briselē, </w:t>
      </w:r>
      <w:r>
        <w:rPr>
          <w:rFonts w:ascii="Times New Roman" w:hAnsi="Times New Roman"/>
          <w:color w:val="FF0000"/>
          <w:sz w:val="24"/>
        </w:rPr>
        <w:t>XXX</w:t>
      </w:r>
    </w:p>
    <w:p w14:paraId="5743C9CC" w14:textId="77777777" w:rsidR="00B54379" w:rsidRDefault="00B54379" w:rsidP="00B54379">
      <w:pPr>
        <w:widowControl w:val="0"/>
        <w:spacing w:after="0" w:line="240" w:lineRule="auto"/>
        <w:ind w:left="6096"/>
        <w:rPr>
          <w:rFonts w:ascii="Times New Roman" w:hAnsi="Times New Roman" w:cs="Times New Roman"/>
          <w:noProof/>
          <w:sz w:val="24"/>
          <w:szCs w:val="28"/>
        </w:rPr>
      </w:pPr>
      <w:r>
        <w:rPr>
          <w:rFonts w:ascii="Times New Roman" w:hAnsi="Times New Roman"/>
          <w:color w:val="FF0000"/>
          <w:sz w:val="24"/>
        </w:rPr>
        <w:t>[…]</w:t>
      </w:r>
      <w:r>
        <w:rPr>
          <w:rFonts w:ascii="Times New Roman" w:hAnsi="Times New Roman"/>
          <w:sz w:val="24"/>
        </w:rPr>
        <w:t>(202</w:t>
      </w:r>
      <w:r>
        <w:rPr>
          <w:rFonts w:ascii="Times New Roman" w:hAnsi="Times New Roman"/>
          <w:color w:val="FF0000"/>
          <w:sz w:val="24"/>
        </w:rPr>
        <w:t>X</w:t>
      </w:r>
      <w:r>
        <w:rPr>
          <w:rFonts w:ascii="Times New Roman" w:hAnsi="Times New Roman"/>
          <w:sz w:val="24"/>
        </w:rPr>
        <w:t>)</w:t>
      </w:r>
      <w:r>
        <w:rPr>
          <w:rFonts w:ascii="Times New Roman" w:hAnsi="Times New Roman"/>
          <w:color w:val="FF0000"/>
          <w:sz w:val="24"/>
        </w:rPr>
        <w:t>XXX</w:t>
      </w:r>
      <w:r>
        <w:rPr>
          <w:rFonts w:ascii="Times New Roman" w:hAnsi="Times New Roman"/>
          <w:sz w:val="24"/>
        </w:rPr>
        <w:t xml:space="preserve"> projekts</w:t>
      </w:r>
    </w:p>
    <w:p w14:paraId="279ACCC8" w14:textId="77777777" w:rsidR="007E35A9" w:rsidRDefault="007E35A9" w:rsidP="007E35A9">
      <w:pPr>
        <w:widowControl w:val="0"/>
        <w:spacing w:after="0" w:line="240" w:lineRule="auto"/>
        <w:ind w:left="6096"/>
        <w:rPr>
          <w:rFonts w:ascii="Times New Roman" w:hAnsi="Times New Roman" w:cs="Times New Roman"/>
          <w:noProof/>
          <w:sz w:val="24"/>
          <w:szCs w:val="28"/>
        </w:rPr>
      </w:pPr>
    </w:p>
    <w:p w14:paraId="6673F8AC" w14:textId="76868FB2" w:rsidR="007E35A9" w:rsidRPr="00B54379" w:rsidRDefault="00B54379" w:rsidP="00B54379">
      <w:pPr>
        <w:widowControl w:val="0"/>
        <w:spacing w:after="0" w:line="240" w:lineRule="auto"/>
        <w:ind w:left="6096"/>
        <w:rPr>
          <w:rFonts w:ascii="Times New Roman" w:hAnsi="Times New Roman" w:cs="Times New Roman"/>
          <w:noProof/>
          <w:sz w:val="24"/>
          <w:szCs w:val="28"/>
        </w:rPr>
      </w:pPr>
      <w:r w:rsidRPr="00B54379">
        <w:rPr>
          <w:rFonts w:ascii="Times New Roman" w:hAnsi="Times New Roman" w:cs="Times New Roman"/>
          <w:noProof/>
          <w:sz w:val="24"/>
          <w:szCs w:val="28"/>
        </w:rPr>
        <w:t>1.</w:t>
      </w:r>
      <w:r>
        <w:rPr>
          <w:rFonts w:ascii="Times New Roman" w:hAnsi="Times New Roman" w:cs="Times New Roman"/>
          <w:noProof/>
          <w:sz w:val="24"/>
          <w:szCs w:val="28"/>
        </w:rPr>
        <w:t xml:space="preserve"> </w:t>
      </w:r>
      <w:r w:rsidRPr="00B54379">
        <w:rPr>
          <w:rFonts w:ascii="Times New Roman" w:hAnsi="Times New Roman" w:cs="Times New Roman"/>
          <w:noProof/>
          <w:sz w:val="24"/>
          <w:szCs w:val="28"/>
        </w:rPr>
        <w:t>UN 2. PIELIKUMS</w:t>
      </w:r>
    </w:p>
    <w:p w14:paraId="0A17DC4B" w14:textId="77777777" w:rsidR="007E35A9" w:rsidRDefault="007E35A9" w:rsidP="007E35A9">
      <w:pPr>
        <w:widowControl w:val="0"/>
        <w:spacing w:after="0" w:line="240" w:lineRule="auto"/>
        <w:ind w:left="6096"/>
        <w:rPr>
          <w:rFonts w:ascii="Times New Roman" w:hAnsi="Times New Roman" w:cs="Times New Roman"/>
          <w:noProof/>
          <w:sz w:val="24"/>
          <w:szCs w:val="28"/>
        </w:rPr>
      </w:pPr>
    </w:p>
    <w:p w14:paraId="731F8834" w14:textId="77777777" w:rsidR="0069658C" w:rsidRDefault="0069658C" w:rsidP="007E35A9">
      <w:pPr>
        <w:widowControl w:val="0"/>
        <w:spacing w:after="0" w:line="240" w:lineRule="auto"/>
        <w:ind w:left="6096"/>
        <w:rPr>
          <w:rFonts w:ascii="Times New Roman" w:hAnsi="Times New Roman" w:cs="Times New Roman"/>
          <w:noProof/>
          <w:sz w:val="24"/>
          <w:szCs w:val="28"/>
        </w:rPr>
      </w:pPr>
    </w:p>
    <w:p w14:paraId="26F8FEC9" w14:textId="77777777" w:rsidR="0069658C" w:rsidRDefault="0069658C" w:rsidP="007E35A9">
      <w:pPr>
        <w:widowControl w:val="0"/>
        <w:spacing w:after="0" w:line="240" w:lineRule="auto"/>
        <w:ind w:left="6096"/>
        <w:rPr>
          <w:rFonts w:ascii="Times New Roman" w:hAnsi="Times New Roman" w:cs="Times New Roman"/>
          <w:noProof/>
          <w:sz w:val="24"/>
          <w:szCs w:val="28"/>
        </w:rPr>
      </w:pPr>
    </w:p>
    <w:p w14:paraId="47DC03E6" w14:textId="77777777" w:rsidR="0069658C" w:rsidRDefault="0069658C" w:rsidP="007E35A9">
      <w:pPr>
        <w:widowControl w:val="0"/>
        <w:spacing w:after="0" w:line="240" w:lineRule="auto"/>
        <w:ind w:left="6096"/>
        <w:rPr>
          <w:rFonts w:ascii="Times New Roman" w:hAnsi="Times New Roman" w:cs="Times New Roman"/>
          <w:noProof/>
          <w:sz w:val="24"/>
          <w:szCs w:val="28"/>
        </w:rPr>
      </w:pPr>
    </w:p>
    <w:p w14:paraId="533B7609" w14:textId="70BEB5DA" w:rsidR="00C04D16" w:rsidRDefault="00C04D16" w:rsidP="008B0D89">
      <w:pPr>
        <w:widowControl w:val="0"/>
        <w:spacing w:after="0" w:line="240" w:lineRule="auto"/>
        <w:jc w:val="center"/>
        <w:rPr>
          <w:rFonts w:ascii="Times New Roman" w:hAnsi="Times New Roman" w:cs="Times New Roman"/>
          <w:b/>
          <w:bCs/>
          <w:noProof/>
          <w:sz w:val="24"/>
          <w:szCs w:val="28"/>
        </w:rPr>
      </w:pPr>
      <w:r w:rsidRPr="00C04D16">
        <w:rPr>
          <w:rFonts w:ascii="Times New Roman" w:hAnsi="Times New Roman" w:cs="Times New Roman"/>
          <w:b/>
          <w:bCs/>
          <w:noProof/>
          <w:sz w:val="24"/>
          <w:szCs w:val="28"/>
        </w:rPr>
        <w:t>PIELIKUMI</w:t>
      </w:r>
    </w:p>
    <w:p w14:paraId="53294166" w14:textId="77777777" w:rsidR="00C04D16" w:rsidRDefault="00C04D16" w:rsidP="008B0D89">
      <w:pPr>
        <w:widowControl w:val="0"/>
        <w:spacing w:after="0" w:line="240" w:lineRule="auto"/>
        <w:jc w:val="center"/>
        <w:rPr>
          <w:rFonts w:ascii="Times New Roman" w:hAnsi="Times New Roman" w:cs="Times New Roman"/>
          <w:b/>
          <w:bCs/>
          <w:noProof/>
          <w:sz w:val="24"/>
          <w:szCs w:val="28"/>
        </w:rPr>
      </w:pPr>
    </w:p>
    <w:p w14:paraId="53A06310" w14:textId="77777777" w:rsidR="006F63D6" w:rsidRDefault="00C04D16" w:rsidP="008B0D89">
      <w:pPr>
        <w:widowControl w:val="0"/>
        <w:spacing w:after="0" w:line="240" w:lineRule="auto"/>
        <w:jc w:val="center"/>
        <w:rPr>
          <w:rFonts w:ascii="Times New Roman" w:hAnsi="Times New Roman" w:cs="Times New Roman"/>
          <w:b/>
          <w:bCs/>
          <w:noProof/>
          <w:sz w:val="24"/>
          <w:szCs w:val="28"/>
        </w:rPr>
      </w:pPr>
      <w:r w:rsidRPr="00C04D16">
        <w:rPr>
          <w:rFonts w:ascii="Times New Roman" w:hAnsi="Times New Roman" w:cs="Times New Roman"/>
          <w:b/>
          <w:bCs/>
          <w:noProof/>
          <w:sz w:val="24"/>
          <w:szCs w:val="28"/>
        </w:rPr>
        <w:t>Komisijas lēmumam,</w:t>
      </w:r>
    </w:p>
    <w:p w14:paraId="232DE969" w14:textId="77777777" w:rsidR="006F63D6" w:rsidRDefault="006F63D6" w:rsidP="008B0D89">
      <w:pPr>
        <w:widowControl w:val="0"/>
        <w:spacing w:after="0" w:line="240" w:lineRule="auto"/>
        <w:jc w:val="center"/>
        <w:rPr>
          <w:rFonts w:ascii="Times New Roman" w:hAnsi="Times New Roman" w:cs="Times New Roman"/>
          <w:b/>
          <w:bCs/>
          <w:noProof/>
          <w:sz w:val="24"/>
          <w:szCs w:val="28"/>
        </w:rPr>
      </w:pPr>
    </w:p>
    <w:p w14:paraId="69EC3525" w14:textId="4B053E25" w:rsidR="00C04D16" w:rsidRDefault="00C04D16" w:rsidP="008B0D89">
      <w:pPr>
        <w:widowControl w:val="0"/>
        <w:spacing w:after="0" w:line="240" w:lineRule="auto"/>
        <w:jc w:val="center"/>
        <w:rPr>
          <w:rFonts w:ascii="Times New Roman" w:hAnsi="Times New Roman" w:cs="Times New Roman"/>
          <w:b/>
          <w:bCs/>
          <w:noProof/>
          <w:sz w:val="24"/>
          <w:szCs w:val="28"/>
        </w:rPr>
      </w:pPr>
      <w:r w:rsidRPr="00C04D16">
        <w:rPr>
          <w:rFonts w:ascii="Times New Roman" w:hAnsi="Times New Roman" w:cs="Times New Roman"/>
          <w:b/>
          <w:bCs/>
          <w:noProof/>
          <w:sz w:val="24"/>
          <w:szCs w:val="28"/>
        </w:rPr>
        <w:t>ar ko apstiprina grozījumus</w:t>
      </w:r>
      <w:r>
        <w:rPr>
          <w:rFonts w:ascii="Times New Roman" w:hAnsi="Times New Roman" w:cs="Times New Roman"/>
          <w:b/>
          <w:bCs/>
          <w:noProof/>
          <w:sz w:val="24"/>
          <w:szCs w:val="28"/>
        </w:rPr>
        <w:t xml:space="preserve"> </w:t>
      </w:r>
      <w:r w:rsidR="008A5B4B">
        <w:rPr>
          <w:rFonts w:ascii="Times New Roman" w:hAnsi="Times New Roman" w:cs="Times New Roman"/>
          <w:b/>
          <w:bCs/>
          <w:noProof/>
          <w:sz w:val="24"/>
          <w:szCs w:val="28"/>
        </w:rPr>
        <w:t>Darbības kārtīb</w:t>
      </w:r>
      <w:r w:rsidR="009925A2">
        <w:rPr>
          <w:rFonts w:ascii="Times New Roman" w:hAnsi="Times New Roman" w:cs="Times New Roman"/>
          <w:b/>
          <w:bCs/>
          <w:noProof/>
          <w:sz w:val="24"/>
          <w:szCs w:val="28"/>
        </w:rPr>
        <w:t>ā</w:t>
      </w:r>
      <w:r w:rsidR="008A5B4B">
        <w:rPr>
          <w:rFonts w:ascii="Times New Roman" w:hAnsi="Times New Roman" w:cs="Times New Roman"/>
          <w:b/>
          <w:bCs/>
          <w:noProof/>
          <w:sz w:val="24"/>
          <w:szCs w:val="28"/>
        </w:rPr>
        <w:t>, par kuru vienojušās Eiropas</w:t>
      </w:r>
      <w:r w:rsidRPr="00C04D16">
        <w:rPr>
          <w:rFonts w:ascii="Times New Roman" w:hAnsi="Times New Roman" w:cs="Times New Roman"/>
          <w:b/>
          <w:bCs/>
          <w:noProof/>
          <w:sz w:val="24"/>
          <w:szCs w:val="28"/>
        </w:rPr>
        <w:t xml:space="preserve"> Komisija un Latvija</w:t>
      </w:r>
      <w:r w:rsidR="008A5B4B">
        <w:rPr>
          <w:rFonts w:ascii="Times New Roman" w:hAnsi="Times New Roman" w:cs="Times New Roman"/>
          <w:b/>
          <w:bCs/>
          <w:noProof/>
          <w:sz w:val="24"/>
          <w:szCs w:val="28"/>
        </w:rPr>
        <w:t xml:space="preserve"> </w:t>
      </w:r>
      <w:r w:rsidRPr="00C04D16">
        <w:rPr>
          <w:rFonts w:ascii="Times New Roman" w:hAnsi="Times New Roman" w:cs="Times New Roman"/>
          <w:b/>
          <w:bCs/>
          <w:noProof/>
          <w:sz w:val="24"/>
          <w:szCs w:val="28"/>
        </w:rPr>
        <w:t>saskaņā ar Regulu (ES) 2021/241</w:t>
      </w:r>
    </w:p>
    <w:p w14:paraId="7CB517D3" w14:textId="77777777" w:rsidR="00067A32" w:rsidRPr="00481482" w:rsidRDefault="00067A32" w:rsidP="00481482">
      <w:pPr>
        <w:widowControl w:val="0"/>
        <w:spacing w:after="0" w:line="240" w:lineRule="auto"/>
        <w:jc w:val="both"/>
        <w:rPr>
          <w:rFonts w:ascii="Times New Roman" w:hAnsi="Times New Roman" w:cs="Times New Roman"/>
          <w:b/>
          <w:bCs/>
          <w:noProof/>
          <w:sz w:val="24"/>
          <w:szCs w:val="24"/>
          <w:u w:val="single"/>
        </w:rPr>
      </w:pPr>
    </w:p>
    <w:p w14:paraId="4A5FE194" w14:textId="77777777" w:rsidR="00067A32" w:rsidRPr="00481482" w:rsidRDefault="00067A32" w:rsidP="00481482">
      <w:pPr>
        <w:widowControl w:val="0"/>
        <w:spacing w:after="0" w:line="240" w:lineRule="auto"/>
        <w:jc w:val="both"/>
        <w:rPr>
          <w:rFonts w:ascii="Times New Roman" w:hAnsi="Times New Roman" w:cs="Times New Roman"/>
          <w:b/>
          <w:bCs/>
          <w:noProof/>
          <w:sz w:val="24"/>
          <w:szCs w:val="24"/>
          <w:u w:val="single"/>
        </w:rPr>
      </w:pPr>
      <w:r>
        <w:br w:type="page"/>
      </w:r>
    </w:p>
    <w:p w14:paraId="6F51F22B" w14:textId="77777777" w:rsidR="00481482" w:rsidRPr="00481482" w:rsidRDefault="00067A32" w:rsidP="00E0558D">
      <w:pPr>
        <w:widowControl w:val="0"/>
        <w:spacing w:after="0" w:line="240" w:lineRule="auto"/>
        <w:jc w:val="center"/>
        <w:rPr>
          <w:rFonts w:ascii="Times New Roman" w:hAnsi="Times New Roman" w:cs="Times New Roman"/>
          <w:b/>
          <w:bCs/>
          <w:noProof/>
          <w:sz w:val="24"/>
          <w:szCs w:val="24"/>
          <w:u w:val="single"/>
        </w:rPr>
      </w:pPr>
      <w:r>
        <w:rPr>
          <w:rFonts w:ascii="Times New Roman" w:hAnsi="Times New Roman"/>
          <w:b/>
          <w:sz w:val="24"/>
          <w:u w:val="single"/>
        </w:rPr>
        <w:lastRenderedPageBreak/>
        <w:t>I PIELIKUMS</w:t>
      </w:r>
    </w:p>
    <w:p w14:paraId="5B5DC235" w14:textId="169BBA97" w:rsidR="00067A32" w:rsidRPr="00481482" w:rsidRDefault="00067A32" w:rsidP="00481482">
      <w:pPr>
        <w:widowControl w:val="0"/>
        <w:spacing w:after="0" w:line="240" w:lineRule="auto"/>
        <w:jc w:val="both"/>
        <w:rPr>
          <w:rFonts w:ascii="Times New Roman" w:hAnsi="Times New Roman" w:cs="Times New Roman"/>
          <w:b/>
          <w:bCs/>
          <w:noProof/>
          <w:sz w:val="24"/>
          <w:szCs w:val="24"/>
          <w:u w:val="single"/>
        </w:rPr>
      </w:pPr>
    </w:p>
    <w:p w14:paraId="36F0441F" w14:textId="77777777" w:rsidR="00067A32" w:rsidRPr="00315151" w:rsidRDefault="00067A32" w:rsidP="00481482">
      <w:pPr>
        <w:widowControl w:val="0"/>
        <w:spacing w:after="0" w:line="240" w:lineRule="auto"/>
        <w:jc w:val="both"/>
        <w:rPr>
          <w:rFonts w:ascii="Times New Roman" w:hAnsi="Times New Roman"/>
          <w:sz w:val="24"/>
        </w:rPr>
      </w:pPr>
      <w:r w:rsidRPr="00315151">
        <w:rPr>
          <w:rFonts w:ascii="Times New Roman" w:hAnsi="Times New Roman"/>
          <w:sz w:val="24"/>
        </w:rPr>
        <w:t>Valdis Dombrovskis</w:t>
      </w:r>
    </w:p>
    <w:p w14:paraId="077D05AD" w14:textId="77777777" w:rsidR="00315151" w:rsidRPr="00315151" w:rsidRDefault="00315151" w:rsidP="00481482">
      <w:pPr>
        <w:widowControl w:val="0"/>
        <w:spacing w:after="0" w:line="240" w:lineRule="auto"/>
        <w:jc w:val="both"/>
        <w:rPr>
          <w:rFonts w:ascii="Times New Roman" w:eastAsia="Aptos" w:hAnsi="Times New Roman" w:cs="Times New Roman"/>
          <w:noProof/>
          <w:sz w:val="24"/>
        </w:rPr>
      </w:pPr>
    </w:p>
    <w:p w14:paraId="64EFD511" w14:textId="77777777" w:rsidR="00315151" w:rsidRPr="00315151" w:rsidRDefault="00067A32" w:rsidP="00481482">
      <w:pPr>
        <w:widowControl w:val="0"/>
        <w:spacing w:after="0" w:line="240" w:lineRule="auto"/>
        <w:jc w:val="both"/>
        <w:rPr>
          <w:rFonts w:ascii="Times New Roman" w:hAnsi="Times New Roman"/>
          <w:sz w:val="24"/>
        </w:rPr>
      </w:pPr>
      <w:r w:rsidRPr="00315151">
        <w:rPr>
          <w:rFonts w:ascii="Times New Roman" w:hAnsi="Times New Roman"/>
          <w:sz w:val="24"/>
        </w:rPr>
        <w:t>Ekonomikas un produktivitātes,</w:t>
      </w:r>
    </w:p>
    <w:p w14:paraId="3A721D13" w14:textId="1AC72554" w:rsidR="00067A32" w:rsidRPr="00315151" w:rsidRDefault="00067A32" w:rsidP="00481482">
      <w:pPr>
        <w:widowControl w:val="0"/>
        <w:spacing w:after="0" w:line="240" w:lineRule="auto"/>
        <w:jc w:val="both"/>
        <w:rPr>
          <w:rFonts w:ascii="Times New Roman" w:hAnsi="Times New Roman"/>
          <w:sz w:val="24"/>
        </w:rPr>
      </w:pPr>
      <w:r w:rsidRPr="00315151">
        <w:rPr>
          <w:rFonts w:ascii="Times New Roman" w:hAnsi="Times New Roman"/>
          <w:sz w:val="24"/>
        </w:rPr>
        <w:t>īstenošanas un vienkāršošanas komisārs</w:t>
      </w:r>
    </w:p>
    <w:p w14:paraId="7455D640" w14:textId="77777777" w:rsidR="00315151" w:rsidRPr="00315151" w:rsidRDefault="00315151" w:rsidP="00481482">
      <w:pPr>
        <w:widowControl w:val="0"/>
        <w:spacing w:after="0" w:line="240" w:lineRule="auto"/>
        <w:jc w:val="both"/>
        <w:rPr>
          <w:rFonts w:ascii="Times New Roman" w:eastAsia="Aptos" w:hAnsi="Times New Roman" w:cs="Times New Roman"/>
          <w:noProof/>
          <w:sz w:val="24"/>
        </w:rPr>
      </w:pPr>
    </w:p>
    <w:p w14:paraId="01E26699" w14:textId="77777777" w:rsidR="00481482" w:rsidRDefault="00067A32" w:rsidP="00481482">
      <w:pPr>
        <w:widowControl w:val="0"/>
        <w:spacing w:after="0" w:line="240" w:lineRule="auto"/>
        <w:jc w:val="both"/>
        <w:rPr>
          <w:rFonts w:ascii="Times New Roman" w:eastAsia="Aptos" w:hAnsi="Times New Roman" w:cs="Times New Roman"/>
          <w:noProof/>
          <w:sz w:val="24"/>
        </w:rPr>
      </w:pPr>
      <w:r w:rsidRPr="00315151">
        <w:rPr>
          <w:rFonts w:ascii="Times New Roman" w:hAnsi="Times New Roman"/>
          <w:sz w:val="24"/>
        </w:rPr>
        <w:t>Eiropas Komisija</w:t>
      </w:r>
    </w:p>
    <w:p w14:paraId="5A4C5FC4" w14:textId="77777777" w:rsidR="00E0558D" w:rsidRDefault="00E0558D" w:rsidP="00481482">
      <w:pPr>
        <w:widowControl w:val="0"/>
        <w:spacing w:after="0" w:line="240" w:lineRule="auto"/>
        <w:jc w:val="both"/>
        <w:rPr>
          <w:rFonts w:ascii="Times New Roman" w:eastAsia="Aptos" w:hAnsi="Times New Roman" w:cs="Times New Roman"/>
          <w:noProof/>
          <w:sz w:val="24"/>
        </w:rPr>
      </w:pPr>
    </w:p>
    <w:p w14:paraId="6742602D" w14:textId="77777777" w:rsidR="00E0558D" w:rsidRPr="00481482" w:rsidRDefault="00E0558D" w:rsidP="00481482">
      <w:pPr>
        <w:widowControl w:val="0"/>
        <w:spacing w:after="0" w:line="240" w:lineRule="auto"/>
        <w:jc w:val="both"/>
        <w:rPr>
          <w:rFonts w:ascii="Times New Roman" w:eastAsia="Aptos" w:hAnsi="Times New Roman" w:cs="Times New Roman"/>
          <w:noProof/>
          <w:sz w:val="24"/>
        </w:rPr>
      </w:pPr>
    </w:p>
    <w:p w14:paraId="0DA82671" w14:textId="4901F16C" w:rsidR="00067A32" w:rsidRDefault="00E0558D" w:rsidP="00E0558D">
      <w:pPr>
        <w:widowControl w:val="0"/>
        <w:spacing w:after="0" w:line="240" w:lineRule="auto"/>
        <w:jc w:val="center"/>
        <w:rPr>
          <w:rFonts w:ascii="Times New Roman" w:eastAsia="Times New Roman" w:hAnsi="Times New Roman" w:cs="Times New Roman"/>
          <w:b/>
          <w:iCs/>
          <w:noProof/>
          <w:snapToGrid w:val="0"/>
          <w:sz w:val="24"/>
          <w:szCs w:val="20"/>
        </w:rPr>
      </w:pPr>
      <w:r>
        <w:rPr>
          <w:rFonts w:ascii="Times New Roman" w:hAnsi="Times New Roman"/>
          <w:b/>
          <w:snapToGrid w:val="0"/>
          <w:sz w:val="24"/>
        </w:rPr>
        <w:t>Vēstule par piekrišanu grozīt Darbības kārtību, par kuru vienojušās Eiropas Komisija un Latvija</w:t>
      </w:r>
    </w:p>
    <w:p w14:paraId="556D9CAD" w14:textId="77777777" w:rsidR="00E0558D" w:rsidRDefault="00E0558D" w:rsidP="00481482">
      <w:pPr>
        <w:widowControl w:val="0"/>
        <w:spacing w:after="0" w:line="240" w:lineRule="auto"/>
        <w:jc w:val="both"/>
        <w:rPr>
          <w:rFonts w:ascii="Times New Roman" w:eastAsia="Aptos" w:hAnsi="Times New Roman" w:cs="Times New Roman"/>
          <w:noProof/>
          <w:sz w:val="24"/>
        </w:rPr>
      </w:pPr>
    </w:p>
    <w:p w14:paraId="01AFF32C" w14:textId="77777777" w:rsidR="0057091B" w:rsidRPr="00481482" w:rsidRDefault="0057091B" w:rsidP="00481482">
      <w:pPr>
        <w:widowControl w:val="0"/>
        <w:spacing w:after="0" w:line="240" w:lineRule="auto"/>
        <w:jc w:val="both"/>
        <w:rPr>
          <w:rFonts w:ascii="Times New Roman" w:eastAsia="Aptos" w:hAnsi="Times New Roman" w:cs="Times New Roman"/>
          <w:noProof/>
          <w:sz w:val="24"/>
        </w:rPr>
      </w:pPr>
    </w:p>
    <w:p w14:paraId="06D78596" w14:textId="77777777" w:rsidR="00067A32" w:rsidRDefault="00067A32" w:rsidP="00481482">
      <w:pPr>
        <w:widowControl w:val="0"/>
        <w:spacing w:after="0" w:line="240" w:lineRule="auto"/>
        <w:jc w:val="both"/>
        <w:rPr>
          <w:rFonts w:ascii="Times New Roman" w:eastAsia="Aptos" w:hAnsi="Times New Roman" w:cs="Times New Roman"/>
          <w:noProof/>
          <w:sz w:val="24"/>
          <w:szCs w:val="24"/>
        </w:rPr>
      </w:pPr>
      <w:r>
        <w:rPr>
          <w:rFonts w:ascii="Times New Roman" w:hAnsi="Times New Roman"/>
          <w:sz w:val="24"/>
        </w:rPr>
        <w:t xml:space="preserve">Cien. </w:t>
      </w:r>
      <w:bookmarkStart w:id="0" w:name="_Hlk137482158"/>
      <w:r>
        <w:rPr>
          <w:rFonts w:ascii="Times New Roman" w:hAnsi="Times New Roman"/>
          <w:sz w:val="24"/>
        </w:rPr>
        <w:t>komisār Dombrovski</w:t>
      </w:r>
      <w:bookmarkEnd w:id="0"/>
      <w:r w:rsidRPr="00315151">
        <w:rPr>
          <w:rFonts w:ascii="Times New Roman" w:hAnsi="Times New Roman"/>
          <w:sz w:val="24"/>
        </w:rPr>
        <w:t>!</w:t>
      </w:r>
    </w:p>
    <w:p w14:paraId="5472FA14" w14:textId="77777777" w:rsidR="0057091B" w:rsidRPr="00481482" w:rsidRDefault="0057091B" w:rsidP="00481482">
      <w:pPr>
        <w:widowControl w:val="0"/>
        <w:spacing w:after="0" w:line="240" w:lineRule="auto"/>
        <w:jc w:val="both"/>
        <w:rPr>
          <w:rFonts w:ascii="Times New Roman" w:eastAsia="Aptos" w:hAnsi="Times New Roman" w:cs="Times New Roman"/>
          <w:noProof/>
          <w:sz w:val="24"/>
          <w:szCs w:val="24"/>
        </w:rPr>
      </w:pPr>
    </w:p>
    <w:p w14:paraId="152C7861" w14:textId="77777777" w:rsidR="00067A32" w:rsidRDefault="00067A32" w:rsidP="00481482">
      <w:pPr>
        <w:widowControl w:val="0"/>
        <w:spacing w:after="0" w:line="240" w:lineRule="auto"/>
        <w:jc w:val="both"/>
        <w:rPr>
          <w:rFonts w:ascii="Times New Roman" w:eastAsia="Aptos" w:hAnsi="Times New Roman" w:cs="Times New Roman"/>
          <w:noProof/>
          <w:sz w:val="24"/>
        </w:rPr>
      </w:pPr>
      <w:r>
        <w:rPr>
          <w:rFonts w:ascii="Times New Roman" w:hAnsi="Times New Roman"/>
          <w:sz w:val="24"/>
        </w:rPr>
        <w:t>Eiropas Parlamenta un Padomes 2021. gada 12. februāra Regulas (ES) 241/2021, ar ko izveido Atveseļošanas un noturības mehānismu</w:t>
      </w:r>
      <w:r w:rsidRPr="00481482">
        <w:rPr>
          <w:rFonts w:ascii="Times New Roman" w:eastAsia="Aptos" w:hAnsi="Times New Roman" w:cs="Times New Roman"/>
          <w:noProof/>
          <w:sz w:val="24"/>
          <w:vertAlign w:val="superscript"/>
        </w:rPr>
        <w:footnoteReference w:id="5"/>
      </w:r>
      <w:r>
        <w:rPr>
          <w:rFonts w:ascii="Times New Roman" w:hAnsi="Times New Roman"/>
          <w:sz w:val="24"/>
        </w:rPr>
        <w:t xml:space="preserve"> (“ANM regula”), 20. panta 6. punkts paredz, ka Komisijai un Latvijai ir jāvienojas par darbības kārtību, lai precizētu elementus, kas minēti Padomes 2021. gada 13. jūlija Īstenošanas lēmumā par Latvijas atveseļošanas un noturības plāna novērtējuma apstiprināšanu (ST 10157/21; ST 10157/21ADD 1; 15569/23; 15569/23 ADD 1) (“</w:t>
      </w:r>
      <w:r>
        <w:rPr>
          <w:rFonts w:ascii="Times New Roman" w:hAnsi="Times New Roman"/>
          <w:b/>
          <w:bCs/>
          <w:sz w:val="24"/>
        </w:rPr>
        <w:t>Padomes Īstenošanas lēmums</w:t>
      </w:r>
      <w:r>
        <w:rPr>
          <w:rFonts w:ascii="Times New Roman" w:hAnsi="Times New Roman"/>
          <w:sz w:val="24"/>
        </w:rPr>
        <w:t>”).</w:t>
      </w:r>
    </w:p>
    <w:p w14:paraId="564539BA" w14:textId="77777777" w:rsidR="0057091B" w:rsidRPr="00481482" w:rsidRDefault="0057091B" w:rsidP="00481482">
      <w:pPr>
        <w:widowControl w:val="0"/>
        <w:spacing w:after="0" w:line="240" w:lineRule="auto"/>
        <w:jc w:val="both"/>
        <w:rPr>
          <w:rFonts w:ascii="Times New Roman" w:eastAsia="Aptos" w:hAnsi="Times New Roman" w:cs="Times New Roman"/>
          <w:noProof/>
          <w:sz w:val="24"/>
        </w:rPr>
      </w:pPr>
    </w:p>
    <w:p w14:paraId="6612CD25" w14:textId="77777777" w:rsidR="00067A32" w:rsidRDefault="00067A32" w:rsidP="00481482">
      <w:pPr>
        <w:widowControl w:val="0"/>
        <w:spacing w:after="0" w:line="240" w:lineRule="auto"/>
        <w:jc w:val="both"/>
        <w:rPr>
          <w:rFonts w:ascii="Times New Roman" w:eastAsia="Aptos" w:hAnsi="Times New Roman" w:cs="Times New Roman"/>
          <w:noProof/>
          <w:sz w:val="24"/>
        </w:rPr>
      </w:pPr>
      <w:r>
        <w:rPr>
          <w:rFonts w:ascii="Times New Roman" w:hAnsi="Times New Roman"/>
          <w:sz w:val="24"/>
        </w:rPr>
        <w:t xml:space="preserve">Darbības kārtība, par kuru vienojušās Eiropas Komisija un Latvija (“Puses”), stājās spēkā </w:t>
      </w:r>
      <w:r w:rsidRPr="00730C85">
        <w:rPr>
          <w:rFonts w:ascii="Times New Roman" w:hAnsi="Times New Roman"/>
          <w:sz w:val="24"/>
        </w:rPr>
        <w:t>2022. gada 16. februārī. Saskaņā</w:t>
      </w:r>
      <w:r>
        <w:rPr>
          <w:rFonts w:ascii="Times New Roman" w:hAnsi="Times New Roman"/>
          <w:sz w:val="24"/>
        </w:rPr>
        <w:t xml:space="preserve"> ar minētās darbības kārtības 4. pantu darbības kārtība var tikt grozīta ar Pušu abpusēju piekrišanu, izmantojot vēstuļu apmaiņu.</w:t>
      </w:r>
    </w:p>
    <w:p w14:paraId="70E85C55" w14:textId="77777777" w:rsidR="0057091B" w:rsidRPr="00481482" w:rsidRDefault="0057091B" w:rsidP="00481482">
      <w:pPr>
        <w:widowControl w:val="0"/>
        <w:spacing w:after="0" w:line="240" w:lineRule="auto"/>
        <w:jc w:val="both"/>
        <w:rPr>
          <w:rFonts w:ascii="Times New Roman" w:eastAsia="Aptos" w:hAnsi="Times New Roman" w:cs="Times New Roman"/>
          <w:noProof/>
          <w:sz w:val="24"/>
        </w:rPr>
      </w:pPr>
    </w:p>
    <w:p w14:paraId="4BF59DD4" w14:textId="219D8335" w:rsidR="00481482" w:rsidRDefault="00067A32" w:rsidP="00481482">
      <w:pPr>
        <w:widowControl w:val="0"/>
        <w:spacing w:after="0" w:line="240" w:lineRule="auto"/>
        <w:jc w:val="both"/>
        <w:rPr>
          <w:rFonts w:ascii="Times New Roman" w:eastAsia="Aptos" w:hAnsi="Times New Roman" w:cs="Times New Roman"/>
          <w:noProof/>
          <w:sz w:val="24"/>
        </w:rPr>
      </w:pPr>
      <w:r>
        <w:rPr>
          <w:rFonts w:ascii="Times New Roman" w:hAnsi="Times New Roman"/>
          <w:sz w:val="24"/>
        </w:rPr>
        <w:t>Saskaņā ar ANM regulas 20. panta 1. punktu Latvija 2024. gada 18. decembrī iesniedza Komisijai grozītu atveseļošanas un noturības plānu (“grozītais” ANP). Pēc tam, kad Latvija bija iesniegusi grozīto ANP, Komisija sniedza Padomei rekomendāciju par pozitīvu tā novērtējumu. Padome apstiprināja pozitīvo novērtējumu ar Padomes 2025. gada 18. februāra Īstenošanas lēmumu</w:t>
      </w:r>
      <w:r w:rsidRPr="00481482">
        <w:rPr>
          <w:rFonts w:ascii="Times New Roman" w:eastAsia="Aptos" w:hAnsi="Times New Roman" w:cs="Times New Roman"/>
          <w:noProof/>
          <w:sz w:val="24"/>
          <w:vertAlign w:val="superscript"/>
        </w:rPr>
        <w:footnoteReference w:id="6"/>
      </w:r>
      <w:r>
        <w:rPr>
          <w:rFonts w:ascii="Times New Roman" w:hAnsi="Times New Roman"/>
          <w:sz w:val="24"/>
        </w:rPr>
        <w:t>. Pēc šā Padomes Īstenošanas lēmuma stāšanās spēkā Pusēm ir jāgroza Darbības kārtība, lai precizētu tajā minētos elementus.</w:t>
      </w:r>
    </w:p>
    <w:p w14:paraId="66617A8F" w14:textId="77777777" w:rsidR="0057091B" w:rsidRPr="00481482" w:rsidRDefault="0057091B" w:rsidP="00481482">
      <w:pPr>
        <w:widowControl w:val="0"/>
        <w:spacing w:after="0" w:line="240" w:lineRule="auto"/>
        <w:jc w:val="both"/>
        <w:rPr>
          <w:rFonts w:ascii="Times New Roman" w:eastAsia="Aptos" w:hAnsi="Times New Roman" w:cs="Times New Roman"/>
          <w:noProof/>
          <w:sz w:val="24"/>
        </w:rPr>
      </w:pPr>
    </w:p>
    <w:p w14:paraId="0AB7CDE3" w14:textId="6D71A5F5" w:rsidR="00481482" w:rsidRDefault="00067A32" w:rsidP="00481482">
      <w:pPr>
        <w:widowControl w:val="0"/>
        <w:spacing w:after="0" w:line="240" w:lineRule="auto"/>
        <w:jc w:val="both"/>
        <w:rPr>
          <w:rFonts w:ascii="Times New Roman" w:eastAsia="Aptos" w:hAnsi="Times New Roman" w:cs="Times New Roman"/>
          <w:noProof/>
          <w:sz w:val="24"/>
          <w:szCs w:val="24"/>
        </w:rPr>
      </w:pPr>
      <w:r>
        <w:rPr>
          <w:rFonts w:ascii="Times New Roman" w:hAnsi="Times New Roman"/>
          <w:sz w:val="24"/>
        </w:rPr>
        <w:t xml:space="preserve">Šajā saistībā Latvija un Komisijas dienesti 2025. gada </w:t>
      </w:r>
      <w:r w:rsidRPr="00730C85">
        <w:rPr>
          <w:rFonts w:ascii="Times New Roman" w:hAnsi="Times New Roman"/>
          <w:sz w:val="24"/>
        </w:rPr>
        <w:t>12. martā vienojās</w:t>
      </w:r>
      <w:r>
        <w:rPr>
          <w:rFonts w:ascii="Times New Roman" w:hAnsi="Times New Roman"/>
          <w:sz w:val="24"/>
        </w:rPr>
        <w:t xml:space="preserve"> par Darbības kārtības grozījumiem, kuri izklāstīti šīs vēstules pielikumā un kuros ņemts vērā Padomes 2025. gada 18. februāra Īstenošanas lēmums. Pamatojoties uz to, Latvija ar šo lūdz Komisiju oficiāli apstiprināt tās piekrišanu, rakstiski atbildot uz šo vēstuli. Lai norādītu uz grozījumiem, šai vēstulei ir pievienota juridiski nesaistoša grozītā darbības kārtības versija.</w:t>
      </w:r>
    </w:p>
    <w:p w14:paraId="50390C26" w14:textId="77777777" w:rsidR="00195EA7" w:rsidRPr="00481482" w:rsidRDefault="00195EA7" w:rsidP="00481482">
      <w:pPr>
        <w:widowControl w:val="0"/>
        <w:spacing w:after="0" w:line="240" w:lineRule="auto"/>
        <w:jc w:val="both"/>
        <w:rPr>
          <w:rFonts w:ascii="Times New Roman" w:eastAsia="Aptos" w:hAnsi="Times New Roman" w:cs="Times New Roman"/>
          <w:noProof/>
          <w:sz w:val="24"/>
          <w:szCs w:val="24"/>
        </w:rPr>
      </w:pPr>
    </w:p>
    <w:p w14:paraId="2473B6B2" w14:textId="15A8E076" w:rsidR="00067A32" w:rsidRPr="00481482" w:rsidRDefault="00067A32" w:rsidP="00481482">
      <w:pPr>
        <w:widowControl w:val="0"/>
        <w:spacing w:after="0" w:line="240" w:lineRule="auto"/>
        <w:jc w:val="both"/>
        <w:rPr>
          <w:rFonts w:ascii="Times New Roman" w:eastAsia="Aptos" w:hAnsi="Times New Roman" w:cs="Times New Roman"/>
          <w:noProof/>
          <w:color w:val="000000"/>
          <w:sz w:val="24"/>
        </w:rPr>
      </w:pPr>
      <w:r>
        <w:rPr>
          <w:rFonts w:ascii="Times New Roman" w:hAnsi="Times New Roman"/>
          <w:sz w:val="24"/>
        </w:rPr>
        <w:t>Grozījums stājas spēkā dienā, kad Eiropas Komisija rakstiski paziņo par piekrišanu.</w:t>
      </w:r>
    </w:p>
    <w:p w14:paraId="0634A0D6" w14:textId="77777777" w:rsidR="00067A32" w:rsidRDefault="00067A32" w:rsidP="00481482">
      <w:pPr>
        <w:widowControl w:val="0"/>
        <w:spacing w:after="0" w:line="240" w:lineRule="auto"/>
        <w:jc w:val="both"/>
        <w:rPr>
          <w:rFonts w:ascii="Times New Roman" w:eastAsia="Aptos" w:hAnsi="Times New Roman" w:cs="Times New Roman"/>
          <w:noProof/>
          <w:sz w:val="24"/>
        </w:rPr>
      </w:pPr>
    </w:p>
    <w:p w14:paraId="42245FDA" w14:textId="77777777" w:rsidR="00195EA7" w:rsidRPr="00481482" w:rsidRDefault="00195EA7" w:rsidP="00481482">
      <w:pPr>
        <w:widowControl w:val="0"/>
        <w:spacing w:after="0" w:line="240" w:lineRule="auto"/>
        <w:jc w:val="both"/>
        <w:rPr>
          <w:rFonts w:ascii="Times New Roman" w:eastAsia="Aptos" w:hAnsi="Times New Roman" w:cs="Times New Roman"/>
          <w:noProof/>
          <w:sz w:val="24"/>
        </w:rPr>
      </w:pPr>
    </w:p>
    <w:p w14:paraId="2C0AE0E0" w14:textId="77777777" w:rsidR="00067A32" w:rsidRPr="00481482" w:rsidRDefault="00067A32" w:rsidP="00481482">
      <w:pPr>
        <w:widowControl w:val="0"/>
        <w:spacing w:after="0" w:line="240" w:lineRule="auto"/>
        <w:jc w:val="both"/>
        <w:rPr>
          <w:rFonts w:ascii="Times New Roman" w:eastAsia="Aptos" w:hAnsi="Times New Roman" w:cs="Times New Roman"/>
          <w:noProof/>
          <w:sz w:val="24"/>
        </w:rPr>
      </w:pPr>
      <w:r>
        <w:rPr>
          <w:rFonts w:ascii="Times New Roman" w:hAnsi="Times New Roman"/>
          <w:sz w:val="24"/>
        </w:rPr>
        <w:t>Ar cieņu,</w:t>
      </w:r>
    </w:p>
    <w:p w14:paraId="3861AE84" w14:textId="77777777" w:rsidR="00067A32" w:rsidRPr="00481482" w:rsidRDefault="00067A32" w:rsidP="00481482">
      <w:pPr>
        <w:widowControl w:val="0"/>
        <w:spacing w:after="0" w:line="240" w:lineRule="auto"/>
        <w:jc w:val="both"/>
        <w:rPr>
          <w:rFonts w:ascii="Times New Roman" w:eastAsia="Aptos" w:hAnsi="Times New Roman" w:cs="Times New Roman"/>
          <w:noProof/>
          <w:sz w:val="24"/>
        </w:rPr>
      </w:pPr>
    </w:p>
    <w:p w14:paraId="1670E030" w14:textId="77777777" w:rsidR="00067A32" w:rsidRPr="00481482" w:rsidRDefault="00067A32" w:rsidP="00481482">
      <w:pPr>
        <w:widowControl w:val="0"/>
        <w:spacing w:after="0" w:line="240" w:lineRule="auto"/>
        <w:jc w:val="both"/>
        <w:rPr>
          <w:rFonts w:ascii="Times New Roman" w:eastAsia="Aptos" w:hAnsi="Times New Roman" w:cs="Times New Roman"/>
          <w:noProof/>
          <w:sz w:val="24"/>
          <w:szCs w:val="24"/>
        </w:rPr>
      </w:pPr>
      <w:r>
        <w:rPr>
          <w:rFonts w:ascii="Times New Roman" w:hAnsi="Times New Roman"/>
          <w:sz w:val="24"/>
        </w:rPr>
        <w:t>Arvils Ašeradens</w:t>
      </w:r>
    </w:p>
    <w:p w14:paraId="7D741DBD" w14:textId="23044F20" w:rsidR="00195EA7" w:rsidRDefault="00067A32" w:rsidP="00195EA7">
      <w:pPr>
        <w:widowControl w:val="0"/>
        <w:spacing w:after="0" w:line="240" w:lineRule="auto"/>
        <w:jc w:val="both"/>
        <w:rPr>
          <w:rFonts w:ascii="Times New Roman" w:eastAsia="Aptos" w:hAnsi="Times New Roman" w:cs="Times New Roman"/>
          <w:noProof/>
          <w:sz w:val="24"/>
          <w:szCs w:val="24"/>
        </w:rPr>
      </w:pPr>
      <w:r>
        <w:rPr>
          <w:rFonts w:ascii="Times New Roman" w:hAnsi="Times New Roman"/>
          <w:sz w:val="24"/>
        </w:rPr>
        <w:t>Latvijas Republikas finanšu ministrs</w:t>
      </w:r>
      <w:r>
        <w:rPr>
          <w:rFonts w:ascii="Times New Roman" w:hAnsi="Times New Roman"/>
          <w:sz w:val="24"/>
        </w:rPr>
        <w:br w:type="page"/>
      </w:r>
    </w:p>
    <w:p w14:paraId="69796DA0" w14:textId="77777777" w:rsidR="00067A32" w:rsidRPr="00481482" w:rsidRDefault="00067A32" w:rsidP="009D4819">
      <w:pPr>
        <w:widowControl w:val="0"/>
        <w:spacing w:after="0" w:line="240" w:lineRule="auto"/>
        <w:jc w:val="center"/>
        <w:rPr>
          <w:rFonts w:ascii="Times New Roman" w:hAnsi="Times New Roman" w:cs="Times New Roman"/>
          <w:b/>
          <w:bCs/>
          <w:noProof/>
          <w:sz w:val="24"/>
          <w:szCs w:val="24"/>
          <w:u w:val="single"/>
        </w:rPr>
      </w:pPr>
      <w:r>
        <w:rPr>
          <w:rFonts w:ascii="Times New Roman" w:hAnsi="Times New Roman"/>
          <w:b/>
          <w:sz w:val="24"/>
          <w:u w:val="single"/>
        </w:rPr>
        <w:lastRenderedPageBreak/>
        <w:t>II PIELIKUMS</w:t>
      </w:r>
    </w:p>
    <w:p w14:paraId="726F82B1" w14:textId="77777777" w:rsidR="00067A32" w:rsidRPr="00481482" w:rsidRDefault="00067A32" w:rsidP="009D4819">
      <w:pPr>
        <w:widowControl w:val="0"/>
        <w:spacing w:after="0" w:line="240" w:lineRule="auto"/>
        <w:jc w:val="center"/>
        <w:rPr>
          <w:rFonts w:ascii="Times New Roman" w:hAnsi="Times New Roman"/>
          <w:noProof/>
          <w:sz w:val="24"/>
        </w:rPr>
      </w:pPr>
    </w:p>
    <w:p w14:paraId="188DCACA" w14:textId="77777777" w:rsidR="00730C85" w:rsidRDefault="00067A32" w:rsidP="009D4819">
      <w:pPr>
        <w:widowControl w:val="0"/>
        <w:spacing w:after="0" w:line="240" w:lineRule="auto"/>
        <w:jc w:val="center"/>
        <w:rPr>
          <w:rFonts w:ascii="Times New Roman" w:hAnsi="Times New Roman"/>
          <w:b/>
          <w:sz w:val="24"/>
          <w:u w:val="single"/>
        </w:rPr>
      </w:pPr>
      <w:bookmarkStart w:id="1" w:name="_Hlk137538745"/>
      <w:r>
        <w:rPr>
          <w:rFonts w:ascii="Times New Roman" w:hAnsi="Times New Roman"/>
          <w:b/>
          <w:sz w:val="24"/>
          <w:u w:val="single"/>
        </w:rPr>
        <w:t>Atveseļošanas un noturības mehānisms</w:t>
      </w:r>
    </w:p>
    <w:p w14:paraId="066B7776" w14:textId="77777777" w:rsidR="00730C85" w:rsidRDefault="00730C85" w:rsidP="009D4819">
      <w:pPr>
        <w:widowControl w:val="0"/>
        <w:spacing w:after="0" w:line="240" w:lineRule="auto"/>
        <w:jc w:val="center"/>
        <w:rPr>
          <w:rFonts w:ascii="Times New Roman" w:hAnsi="Times New Roman"/>
          <w:b/>
          <w:sz w:val="24"/>
          <w:u w:val="single"/>
        </w:rPr>
      </w:pPr>
    </w:p>
    <w:p w14:paraId="254C963B" w14:textId="77777777" w:rsidR="00615B6B" w:rsidRDefault="00067A32" w:rsidP="009D4819">
      <w:pPr>
        <w:widowControl w:val="0"/>
        <w:spacing w:after="0" w:line="240" w:lineRule="auto"/>
        <w:jc w:val="center"/>
        <w:rPr>
          <w:rFonts w:ascii="Times New Roman" w:hAnsi="Times New Roman"/>
          <w:b/>
          <w:sz w:val="24"/>
          <w:u w:val="single"/>
        </w:rPr>
      </w:pPr>
      <w:r>
        <w:rPr>
          <w:rFonts w:ascii="Times New Roman" w:hAnsi="Times New Roman"/>
          <w:b/>
          <w:sz w:val="24"/>
          <w:u w:val="single"/>
        </w:rPr>
        <w:t>Darbības kārtības, par kuru vienojušās Eiropas Komisija un Latvija,</w:t>
      </w:r>
    </w:p>
    <w:p w14:paraId="65D9BC39" w14:textId="77777777" w:rsidR="00615B6B" w:rsidRDefault="00615B6B" w:rsidP="009D4819">
      <w:pPr>
        <w:widowControl w:val="0"/>
        <w:spacing w:after="0" w:line="240" w:lineRule="auto"/>
        <w:jc w:val="center"/>
        <w:rPr>
          <w:rFonts w:ascii="Times New Roman" w:hAnsi="Times New Roman"/>
          <w:b/>
          <w:sz w:val="24"/>
          <w:u w:val="single"/>
        </w:rPr>
      </w:pPr>
    </w:p>
    <w:p w14:paraId="3AF5ABE6" w14:textId="062C2024" w:rsidR="00067A32" w:rsidRDefault="00067A32" w:rsidP="009D4819">
      <w:pPr>
        <w:widowControl w:val="0"/>
        <w:spacing w:after="0" w:line="240" w:lineRule="auto"/>
        <w:jc w:val="center"/>
        <w:rPr>
          <w:rFonts w:ascii="Times New Roman" w:hAnsi="Times New Roman"/>
          <w:b/>
          <w:noProof/>
          <w:sz w:val="24"/>
          <w:u w:val="single"/>
        </w:rPr>
      </w:pPr>
      <w:r>
        <w:rPr>
          <w:rFonts w:ascii="Times New Roman" w:hAnsi="Times New Roman"/>
          <w:b/>
          <w:sz w:val="24"/>
          <w:u w:val="single"/>
        </w:rPr>
        <w:t>otrais grozījums</w:t>
      </w:r>
    </w:p>
    <w:p w14:paraId="35A502B2" w14:textId="77777777" w:rsidR="009D4819" w:rsidRPr="00481482" w:rsidRDefault="009D4819" w:rsidP="009D4819">
      <w:pPr>
        <w:widowControl w:val="0"/>
        <w:spacing w:after="0" w:line="240" w:lineRule="auto"/>
        <w:jc w:val="center"/>
        <w:rPr>
          <w:rFonts w:ascii="Times New Roman" w:hAnsi="Times New Roman"/>
          <w:b/>
          <w:noProof/>
          <w:sz w:val="24"/>
          <w:u w:val="single"/>
        </w:rPr>
      </w:pPr>
    </w:p>
    <w:p w14:paraId="3F832F3A" w14:textId="4B6A82B3" w:rsidR="00067A32" w:rsidRPr="00481482" w:rsidRDefault="00067A32" w:rsidP="009D4819">
      <w:pPr>
        <w:widowControl w:val="0"/>
        <w:spacing w:after="0" w:line="240" w:lineRule="auto"/>
        <w:jc w:val="center"/>
        <w:rPr>
          <w:rFonts w:ascii="Times New Roman" w:hAnsi="Times New Roman"/>
          <w:b/>
          <w:noProof/>
          <w:sz w:val="24"/>
          <w:u w:val="single"/>
        </w:rPr>
      </w:pPr>
    </w:p>
    <w:p w14:paraId="26B79E83" w14:textId="77777777" w:rsidR="00067A32" w:rsidRDefault="00067A32" w:rsidP="00481482">
      <w:pPr>
        <w:widowControl w:val="0"/>
        <w:spacing w:after="0" w:line="240" w:lineRule="auto"/>
        <w:jc w:val="both"/>
        <w:rPr>
          <w:rFonts w:ascii="Times New Roman" w:hAnsi="Times New Roman"/>
          <w:noProof/>
          <w:sz w:val="24"/>
        </w:rPr>
      </w:pPr>
    </w:p>
    <w:p w14:paraId="09213FB4" w14:textId="77777777" w:rsidR="009D4819" w:rsidRPr="00481482" w:rsidRDefault="009D4819" w:rsidP="00481482">
      <w:pPr>
        <w:widowControl w:val="0"/>
        <w:spacing w:after="0" w:line="240" w:lineRule="auto"/>
        <w:jc w:val="both"/>
        <w:rPr>
          <w:rFonts w:ascii="Times New Roman" w:hAnsi="Times New Roman"/>
          <w:noProof/>
          <w:sz w:val="24"/>
        </w:rPr>
      </w:pPr>
    </w:p>
    <w:p w14:paraId="6D48C448" w14:textId="77777777" w:rsidR="00067A32" w:rsidRPr="00481482" w:rsidRDefault="00067A32" w:rsidP="00481482">
      <w:pPr>
        <w:widowControl w:val="0"/>
        <w:spacing w:after="0" w:line="240" w:lineRule="auto"/>
        <w:jc w:val="both"/>
        <w:rPr>
          <w:rFonts w:ascii="Times New Roman" w:hAnsi="Times New Roman"/>
          <w:noProof/>
          <w:sz w:val="24"/>
        </w:rPr>
      </w:pPr>
      <w:r>
        <w:rPr>
          <w:rFonts w:ascii="Times New Roman" w:hAnsi="Times New Roman"/>
          <w:sz w:val="24"/>
        </w:rPr>
        <w:t xml:space="preserve">[Darbības kārtības grozījums stājas spēkā dienā, kad saņemta Eiropas Komisijas </w:t>
      </w:r>
      <w:r>
        <w:rPr>
          <w:rFonts w:ascii="Times New Roman" w:hAnsi="Times New Roman"/>
          <w:color w:val="000000"/>
          <w:sz w:val="24"/>
        </w:rPr>
        <w:t>rakstiska piekrišana].</w:t>
      </w:r>
    </w:p>
    <w:p w14:paraId="1B9EDCF1" w14:textId="77777777" w:rsidR="00067A32" w:rsidRPr="00481482" w:rsidRDefault="00067A32" w:rsidP="00481482">
      <w:pPr>
        <w:widowControl w:val="0"/>
        <w:spacing w:after="0" w:line="240" w:lineRule="auto"/>
        <w:jc w:val="both"/>
        <w:rPr>
          <w:rFonts w:ascii="Times New Roman" w:hAnsi="Times New Roman"/>
          <w:noProof/>
          <w:sz w:val="24"/>
        </w:rPr>
      </w:pPr>
    </w:p>
    <w:p w14:paraId="5ED9AF60" w14:textId="21BD566D" w:rsidR="00067A32" w:rsidRPr="00481482" w:rsidRDefault="00067A32" w:rsidP="00481482">
      <w:pPr>
        <w:widowControl w:val="0"/>
        <w:spacing w:after="0" w:line="240" w:lineRule="auto"/>
        <w:jc w:val="both"/>
        <w:rPr>
          <w:rFonts w:ascii="Times New Roman" w:hAnsi="Times New Roman"/>
          <w:noProof/>
          <w:sz w:val="24"/>
        </w:rPr>
      </w:pPr>
      <w:r>
        <w:rPr>
          <w:rFonts w:ascii="Times New Roman" w:hAnsi="Times New Roman"/>
          <w:sz w:val="24"/>
        </w:rPr>
        <w:t>Par šo Darbības kārtības grozījumu ir vienojušās Eiropas Savienība, ko pārstāv Eiropas Komisija, turpmāk tekstā saukta par “</w:t>
      </w:r>
      <w:r>
        <w:rPr>
          <w:rFonts w:ascii="Times New Roman" w:hAnsi="Times New Roman"/>
          <w:b/>
          <w:bCs/>
          <w:sz w:val="24"/>
        </w:rPr>
        <w:t>Komisiju</w:t>
      </w:r>
      <w:r>
        <w:rPr>
          <w:rFonts w:ascii="Times New Roman" w:hAnsi="Times New Roman"/>
          <w:sz w:val="24"/>
        </w:rPr>
        <w:t xml:space="preserve">”, un </w:t>
      </w:r>
      <w:r>
        <w:rPr>
          <w:rFonts w:ascii="Times New Roman" w:hAnsi="Times New Roman"/>
          <w:b/>
          <w:bCs/>
          <w:sz w:val="24"/>
        </w:rPr>
        <w:t>Latvijas Republika</w:t>
      </w:r>
      <w:r>
        <w:rPr>
          <w:rFonts w:ascii="Times New Roman" w:hAnsi="Times New Roman"/>
          <w:sz w:val="24"/>
        </w:rPr>
        <w:t>, ko pārstāv finanšu ministrs,</w:t>
      </w:r>
    </w:p>
    <w:p w14:paraId="201ABCDC" w14:textId="77777777" w:rsidR="009D4819" w:rsidRDefault="009D4819" w:rsidP="00481482">
      <w:pPr>
        <w:widowControl w:val="0"/>
        <w:spacing w:after="0" w:line="240" w:lineRule="auto"/>
        <w:jc w:val="both"/>
        <w:rPr>
          <w:rFonts w:ascii="Times New Roman" w:hAnsi="Times New Roman"/>
          <w:noProof/>
          <w:sz w:val="24"/>
        </w:rPr>
      </w:pPr>
    </w:p>
    <w:p w14:paraId="6029D15C" w14:textId="12FA1C42" w:rsidR="00067A32" w:rsidRPr="00481482" w:rsidRDefault="00067A32" w:rsidP="00481482">
      <w:pPr>
        <w:widowControl w:val="0"/>
        <w:spacing w:after="0" w:line="240" w:lineRule="auto"/>
        <w:jc w:val="both"/>
        <w:rPr>
          <w:rFonts w:ascii="Times New Roman" w:hAnsi="Times New Roman"/>
          <w:noProof/>
          <w:sz w:val="24"/>
        </w:rPr>
      </w:pPr>
      <w:r>
        <w:rPr>
          <w:rFonts w:ascii="Times New Roman" w:hAnsi="Times New Roman"/>
          <w:sz w:val="24"/>
        </w:rPr>
        <w:t>turpmāk tekstā saukta par “</w:t>
      </w:r>
      <w:r>
        <w:rPr>
          <w:rFonts w:ascii="Times New Roman" w:hAnsi="Times New Roman"/>
          <w:b/>
          <w:sz w:val="24"/>
        </w:rPr>
        <w:t>dalībvalsti</w:t>
      </w:r>
      <w:r>
        <w:rPr>
          <w:rFonts w:ascii="Times New Roman" w:hAnsi="Times New Roman"/>
          <w:sz w:val="24"/>
        </w:rPr>
        <w:t>”,</w:t>
      </w:r>
    </w:p>
    <w:p w14:paraId="3F51AE4F" w14:textId="77777777" w:rsidR="00067A32" w:rsidRPr="00481482" w:rsidRDefault="00067A32" w:rsidP="00481482">
      <w:pPr>
        <w:widowControl w:val="0"/>
        <w:spacing w:after="0" w:line="240" w:lineRule="auto"/>
        <w:jc w:val="both"/>
        <w:rPr>
          <w:rFonts w:ascii="Times New Roman" w:hAnsi="Times New Roman"/>
          <w:noProof/>
          <w:sz w:val="24"/>
        </w:rPr>
      </w:pPr>
    </w:p>
    <w:p w14:paraId="3B98D827" w14:textId="77777777" w:rsidR="00067A32" w:rsidRPr="00481482" w:rsidRDefault="00067A32" w:rsidP="00481482">
      <w:pPr>
        <w:widowControl w:val="0"/>
        <w:spacing w:after="0" w:line="240" w:lineRule="auto"/>
        <w:jc w:val="both"/>
        <w:rPr>
          <w:rFonts w:ascii="Times New Roman" w:hAnsi="Times New Roman"/>
          <w:noProof/>
          <w:sz w:val="24"/>
        </w:rPr>
      </w:pPr>
      <w:r>
        <w:rPr>
          <w:rFonts w:ascii="Times New Roman" w:hAnsi="Times New Roman"/>
          <w:sz w:val="24"/>
        </w:rPr>
        <w:t>turpmāk kopīgi sauktas par “Pusēm”, un katra atsevišķi – par “Pusi”.</w:t>
      </w:r>
    </w:p>
    <w:p w14:paraId="71A926A2" w14:textId="77777777" w:rsidR="00067A32" w:rsidRPr="00481482" w:rsidRDefault="00067A32" w:rsidP="00481482">
      <w:pPr>
        <w:widowControl w:val="0"/>
        <w:spacing w:after="0" w:line="240" w:lineRule="auto"/>
        <w:jc w:val="both"/>
        <w:rPr>
          <w:rFonts w:ascii="Times New Roman" w:hAnsi="Times New Roman"/>
          <w:noProof/>
          <w:sz w:val="24"/>
        </w:rPr>
      </w:pPr>
    </w:p>
    <w:p w14:paraId="013C0639" w14:textId="77777777" w:rsidR="00067A32" w:rsidRPr="00481482" w:rsidRDefault="00067A32" w:rsidP="00481482">
      <w:pPr>
        <w:widowControl w:val="0"/>
        <w:spacing w:after="0" w:line="240" w:lineRule="auto"/>
        <w:jc w:val="both"/>
        <w:rPr>
          <w:rFonts w:ascii="Times New Roman" w:hAnsi="Times New Roman"/>
          <w:noProof/>
          <w:sz w:val="24"/>
        </w:rPr>
      </w:pPr>
      <w:r>
        <w:rPr>
          <w:rFonts w:ascii="Times New Roman" w:hAnsi="Times New Roman"/>
          <w:sz w:val="24"/>
        </w:rPr>
        <w:t>Puses ir vienojušās par turpmāko.</w:t>
      </w:r>
    </w:p>
    <w:p w14:paraId="76C76570" w14:textId="77777777" w:rsidR="00067A32" w:rsidRPr="00481482" w:rsidRDefault="00067A32" w:rsidP="00481482">
      <w:pPr>
        <w:widowControl w:val="0"/>
        <w:spacing w:after="0" w:line="240" w:lineRule="auto"/>
        <w:jc w:val="both"/>
        <w:rPr>
          <w:rFonts w:ascii="Times New Roman" w:hAnsi="Times New Roman"/>
          <w:noProof/>
          <w:sz w:val="24"/>
        </w:rPr>
      </w:pPr>
    </w:p>
    <w:p w14:paraId="5A8B6463" w14:textId="77777777" w:rsidR="00067A32" w:rsidRDefault="00067A32" w:rsidP="00481482">
      <w:pPr>
        <w:widowControl w:val="0"/>
        <w:spacing w:after="0" w:line="240" w:lineRule="auto"/>
        <w:jc w:val="both"/>
        <w:rPr>
          <w:rFonts w:ascii="Times New Roman" w:hAnsi="Times New Roman"/>
          <w:noProof/>
          <w:sz w:val="24"/>
        </w:rPr>
      </w:pPr>
      <w:r w:rsidRPr="00615B6B">
        <w:rPr>
          <w:rFonts w:ascii="Times New Roman" w:hAnsi="Times New Roman"/>
          <w:sz w:val="24"/>
        </w:rPr>
        <w:t>2022. gada 16. februāra Darbības</w:t>
      </w:r>
      <w:r>
        <w:rPr>
          <w:rFonts w:ascii="Times New Roman" w:hAnsi="Times New Roman"/>
          <w:sz w:val="24"/>
        </w:rPr>
        <w:t xml:space="preserve"> kārtība, par kuru vienojušās Eiropas Komisija un Latvija, tiek grozīta, kā norādīts turpmāk.</w:t>
      </w:r>
    </w:p>
    <w:p w14:paraId="0CD6EDF6" w14:textId="77777777" w:rsidR="00E541F9" w:rsidRPr="00481482" w:rsidRDefault="00E541F9" w:rsidP="00481482">
      <w:pPr>
        <w:widowControl w:val="0"/>
        <w:spacing w:after="0" w:line="240" w:lineRule="auto"/>
        <w:jc w:val="both"/>
        <w:rPr>
          <w:rFonts w:ascii="Times New Roman" w:hAnsi="Times New Roman"/>
          <w:noProof/>
          <w:sz w:val="24"/>
        </w:rPr>
      </w:pPr>
    </w:p>
    <w:p w14:paraId="30970228" w14:textId="319FD5B0" w:rsidR="00067A32" w:rsidRDefault="00E541F9" w:rsidP="00E541F9">
      <w:pPr>
        <w:pStyle w:val="ListParagraph"/>
        <w:widowControl w:val="0"/>
        <w:spacing w:after="0" w:line="240" w:lineRule="auto"/>
        <w:ind w:left="0"/>
        <w:contextualSpacing w:val="0"/>
        <w:jc w:val="both"/>
        <w:rPr>
          <w:rFonts w:ascii="Times New Roman" w:hAnsi="Times New Roman"/>
          <w:noProof/>
          <w:sz w:val="24"/>
        </w:rPr>
      </w:pPr>
      <w:bookmarkStart w:id="2" w:name="_Hlk137978789"/>
      <w:r>
        <w:rPr>
          <w:rFonts w:ascii="Times New Roman" w:hAnsi="Times New Roman"/>
          <w:sz w:val="24"/>
        </w:rPr>
        <w:t>1) 3. iedaļā: “Maksājumu pieprasījumu grafiks”</w:t>
      </w:r>
    </w:p>
    <w:p w14:paraId="28E540E7" w14:textId="77777777" w:rsidR="00E541F9" w:rsidRPr="00481482" w:rsidRDefault="00E541F9" w:rsidP="00E541F9">
      <w:pPr>
        <w:pStyle w:val="ListParagraph"/>
        <w:widowControl w:val="0"/>
        <w:spacing w:after="0" w:line="240" w:lineRule="auto"/>
        <w:ind w:left="0"/>
        <w:contextualSpacing w:val="0"/>
        <w:jc w:val="both"/>
        <w:rPr>
          <w:rFonts w:ascii="Times New Roman" w:hAnsi="Times New Roman"/>
          <w:noProof/>
          <w:sz w:val="24"/>
          <w:lang w:val="en-GB"/>
        </w:rPr>
      </w:pPr>
    </w:p>
    <w:p w14:paraId="2C3A8A5B" w14:textId="77777777" w:rsidR="00067A32" w:rsidRDefault="00067A32" w:rsidP="00481482">
      <w:pPr>
        <w:widowControl w:val="0"/>
        <w:spacing w:after="0" w:line="240" w:lineRule="auto"/>
        <w:jc w:val="both"/>
        <w:rPr>
          <w:rFonts w:ascii="Times New Roman" w:hAnsi="Times New Roman" w:cs="Times New Roman"/>
          <w:noProof/>
          <w:sz w:val="24"/>
          <w:szCs w:val="24"/>
        </w:rPr>
      </w:pPr>
      <w:bookmarkStart w:id="3" w:name="_Hlk137979083"/>
      <w:bookmarkEnd w:id="2"/>
      <w:r>
        <w:rPr>
          <w:rFonts w:ascii="Times New Roman" w:hAnsi="Times New Roman"/>
          <w:sz w:val="24"/>
        </w:rPr>
        <w:t>Finanšu iemaksu tabula</w:t>
      </w:r>
      <w:r>
        <w:t xml:space="preserve"> </w:t>
      </w:r>
      <w:bookmarkEnd w:id="3"/>
      <w:r>
        <w:rPr>
          <w:rFonts w:ascii="Times New Roman" w:hAnsi="Times New Roman"/>
          <w:sz w:val="24"/>
        </w:rPr>
        <w:t>tiek aizstāta ar šādu tabulu:</w:t>
      </w:r>
    </w:p>
    <w:p w14:paraId="37650643" w14:textId="77777777" w:rsidR="00E541F9" w:rsidRPr="00481482" w:rsidRDefault="00E541F9" w:rsidP="00481482">
      <w:pPr>
        <w:widowControl w:val="0"/>
        <w:spacing w:after="0" w:line="240" w:lineRule="auto"/>
        <w:jc w:val="both"/>
        <w:rPr>
          <w:rFonts w:ascii="Times New Roman" w:hAnsi="Times New Roman" w:cs="Times New Roman"/>
          <w:noProof/>
          <w:sz w:val="24"/>
          <w:szCs w:val="24"/>
        </w:rPr>
      </w:pPr>
    </w:p>
    <w:tbl>
      <w:tblPr>
        <w:tblStyle w:val="TableGrid"/>
        <w:tblW w:w="5000" w:type="pct"/>
        <w:tblCellMar>
          <w:top w:w="28" w:type="dxa"/>
          <w:left w:w="28" w:type="dxa"/>
          <w:bottom w:w="28" w:type="dxa"/>
          <w:right w:w="28" w:type="dxa"/>
        </w:tblCellMar>
        <w:tblLook w:val="04A0" w:firstRow="1" w:lastRow="0" w:firstColumn="1" w:lastColumn="0" w:noHBand="0" w:noVBand="1"/>
      </w:tblPr>
      <w:tblGrid>
        <w:gridCol w:w="4956"/>
        <w:gridCol w:w="2811"/>
        <w:gridCol w:w="1294"/>
      </w:tblGrid>
      <w:tr w:rsidR="00067A32" w:rsidRPr="00481482" w14:paraId="6B3002C6" w14:textId="77777777" w:rsidTr="00615B6B">
        <w:tc>
          <w:tcPr>
            <w:tcW w:w="2735" w:type="pct"/>
          </w:tcPr>
          <w:p w14:paraId="5CDA8605" w14:textId="77777777" w:rsidR="00067A32" w:rsidRPr="00481482" w:rsidRDefault="00067A32" w:rsidP="00615B6B">
            <w:pPr>
              <w:widowControl w:val="0"/>
              <w:ind w:left="113" w:right="113"/>
              <w:jc w:val="both"/>
              <w:rPr>
                <w:rFonts w:ascii="Times New Roman" w:hAnsi="Times New Roman"/>
                <w:i/>
                <w:iCs/>
                <w:noProof/>
                <w:sz w:val="24"/>
              </w:rPr>
            </w:pPr>
            <w:r>
              <w:rPr>
                <w:rFonts w:ascii="Times New Roman" w:hAnsi="Times New Roman"/>
                <w:i/>
                <w:sz w:val="24"/>
              </w:rPr>
              <w:t>Pirmās iemaksas daļas maksājuma pieprasījums</w:t>
            </w:r>
          </w:p>
        </w:tc>
        <w:tc>
          <w:tcPr>
            <w:tcW w:w="1551" w:type="pct"/>
          </w:tcPr>
          <w:p w14:paraId="46545A2A" w14:textId="77777777" w:rsidR="00067A32" w:rsidRPr="00615B6B" w:rsidRDefault="00067A32" w:rsidP="00615B6B">
            <w:pPr>
              <w:widowControl w:val="0"/>
              <w:ind w:left="113" w:right="113"/>
              <w:jc w:val="right"/>
              <w:rPr>
                <w:rFonts w:ascii="Times New Roman" w:hAnsi="Times New Roman"/>
                <w:i/>
                <w:iCs/>
                <w:noProof/>
                <w:sz w:val="24"/>
              </w:rPr>
            </w:pPr>
            <w:r w:rsidRPr="00615B6B">
              <w:rPr>
                <w:rFonts w:ascii="Times New Roman" w:hAnsi="Times New Roman"/>
                <w:i/>
                <w:sz w:val="24"/>
              </w:rPr>
              <w:t>231 000 000,00 EUR</w:t>
            </w:r>
          </w:p>
        </w:tc>
        <w:tc>
          <w:tcPr>
            <w:tcW w:w="714" w:type="pct"/>
          </w:tcPr>
          <w:p w14:paraId="2D13C9C3" w14:textId="77777777" w:rsidR="00067A32" w:rsidRPr="00481482" w:rsidRDefault="00067A32" w:rsidP="00615B6B">
            <w:pPr>
              <w:widowControl w:val="0"/>
              <w:ind w:left="113" w:right="113"/>
              <w:jc w:val="right"/>
              <w:rPr>
                <w:rFonts w:ascii="Times New Roman" w:hAnsi="Times New Roman"/>
                <w:i/>
                <w:iCs/>
                <w:noProof/>
                <w:sz w:val="24"/>
              </w:rPr>
            </w:pPr>
            <w:r>
              <w:rPr>
                <w:rFonts w:ascii="Times New Roman" w:hAnsi="Times New Roman"/>
                <w:i/>
                <w:sz w:val="24"/>
              </w:rPr>
              <w:t>Q2 2022</w:t>
            </w:r>
          </w:p>
        </w:tc>
      </w:tr>
      <w:tr w:rsidR="00067A32" w:rsidRPr="00481482" w14:paraId="4DDA57B1" w14:textId="77777777" w:rsidTr="00615B6B">
        <w:trPr>
          <w:trHeight w:val="405"/>
        </w:trPr>
        <w:tc>
          <w:tcPr>
            <w:tcW w:w="2735" w:type="pct"/>
          </w:tcPr>
          <w:p w14:paraId="2BE743F7" w14:textId="77777777" w:rsidR="00067A32" w:rsidRPr="00481482" w:rsidRDefault="00067A32" w:rsidP="00615B6B">
            <w:pPr>
              <w:widowControl w:val="0"/>
              <w:ind w:left="113" w:right="113"/>
              <w:jc w:val="both"/>
              <w:rPr>
                <w:rFonts w:ascii="Times New Roman" w:hAnsi="Times New Roman"/>
                <w:i/>
                <w:iCs/>
                <w:noProof/>
                <w:sz w:val="24"/>
              </w:rPr>
            </w:pPr>
            <w:r>
              <w:rPr>
                <w:rFonts w:ascii="Times New Roman" w:hAnsi="Times New Roman"/>
                <w:i/>
                <w:sz w:val="24"/>
              </w:rPr>
              <w:t>Otrās iemaksas daļas maksājuma pieprasījums</w:t>
            </w:r>
          </w:p>
        </w:tc>
        <w:tc>
          <w:tcPr>
            <w:tcW w:w="1551" w:type="pct"/>
          </w:tcPr>
          <w:p w14:paraId="62273312" w14:textId="77777777" w:rsidR="00067A32" w:rsidRPr="00615B6B" w:rsidRDefault="00067A32" w:rsidP="00615B6B">
            <w:pPr>
              <w:widowControl w:val="0"/>
              <w:ind w:left="113" w:right="113"/>
              <w:jc w:val="right"/>
              <w:rPr>
                <w:rFonts w:ascii="Times New Roman" w:hAnsi="Times New Roman"/>
                <w:i/>
                <w:iCs/>
                <w:noProof/>
                <w:sz w:val="24"/>
              </w:rPr>
            </w:pPr>
            <w:r w:rsidRPr="00615B6B">
              <w:rPr>
                <w:rFonts w:ascii="Times New Roman" w:hAnsi="Times New Roman"/>
                <w:i/>
                <w:sz w:val="24"/>
              </w:rPr>
              <w:t>388 000 000,00 EUR</w:t>
            </w:r>
          </w:p>
        </w:tc>
        <w:tc>
          <w:tcPr>
            <w:tcW w:w="714" w:type="pct"/>
          </w:tcPr>
          <w:p w14:paraId="14DF194D" w14:textId="77777777" w:rsidR="00067A32" w:rsidRPr="00481482" w:rsidRDefault="00067A32" w:rsidP="00615B6B">
            <w:pPr>
              <w:widowControl w:val="0"/>
              <w:ind w:left="113" w:right="113"/>
              <w:jc w:val="right"/>
              <w:rPr>
                <w:rFonts w:ascii="Times New Roman" w:hAnsi="Times New Roman"/>
                <w:i/>
                <w:iCs/>
                <w:noProof/>
                <w:sz w:val="24"/>
              </w:rPr>
            </w:pPr>
            <w:r>
              <w:rPr>
                <w:rFonts w:ascii="Times New Roman" w:hAnsi="Times New Roman"/>
                <w:i/>
                <w:sz w:val="24"/>
              </w:rPr>
              <w:t>Q2 2023</w:t>
            </w:r>
          </w:p>
        </w:tc>
      </w:tr>
      <w:tr w:rsidR="00067A32" w:rsidRPr="00481482" w14:paraId="2698C76B" w14:textId="77777777" w:rsidTr="00615B6B">
        <w:tc>
          <w:tcPr>
            <w:tcW w:w="2735" w:type="pct"/>
          </w:tcPr>
          <w:p w14:paraId="4C630E65" w14:textId="77777777" w:rsidR="00067A32" w:rsidRPr="00481482" w:rsidRDefault="00067A32" w:rsidP="00615B6B">
            <w:pPr>
              <w:widowControl w:val="0"/>
              <w:ind w:left="113" w:right="113"/>
              <w:jc w:val="both"/>
              <w:rPr>
                <w:rFonts w:ascii="Times New Roman" w:hAnsi="Times New Roman"/>
                <w:i/>
                <w:iCs/>
                <w:noProof/>
                <w:sz w:val="24"/>
              </w:rPr>
            </w:pPr>
            <w:r>
              <w:rPr>
                <w:rFonts w:ascii="Times New Roman" w:hAnsi="Times New Roman"/>
                <w:i/>
                <w:sz w:val="24"/>
              </w:rPr>
              <w:t>Trešās iemaksas daļas maksājuma pieprasījums</w:t>
            </w:r>
          </w:p>
        </w:tc>
        <w:tc>
          <w:tcPr>
            <w:tcW w:w="1551" w:type="pct"/>
          </w:tcPr>
          <w:p w14:paraId="0F2C2484" w14:textId="77777777" w:rsidR="00067A32" w:rsidRPr="00615B6B" w:rsidRDefault="00067A32" w:rsidP="00615B6B">
            <w:pPr>
              <w:widowControl w:val="0"/>
              <w:ind w:left="113" w:right="113"/>
              <w:jc w:val="right"/>
              <w:rPr>
                <w:rFonts w:ascii="Times New Roman" w:hAnsi="Times New Roman"/>
                <w:i/>
                <w:iCs/>
                <w:noProof/>
                <w:sz w:val="24"/>
                <w:szCs w:val="24"/>
              </w:rPr>
            </w:pPr>
            <w:r w:rsidRPr="00615B6B">
              <w:rPr>
                <w:rStyle w:val="IntenseEmphasis"/>
                <w:rFonts w:ascii="Times New Roman" w:hAnsi="Times New Roman"/>
                <w:color w:val="auto"/>
                <w:sz w:val="24"/>
              </w:rPr>
              <w:t>339 </w:t>
            </w:r>
            <w:r w:rsidRPr="00615B6B">
              <w:rPr>
                <w:rFonts w:ascii="Times New Roman" w:hAnsi="Times New Roman"/>
                <w:i/>
                <w:sz w:val="24"/>
              </w:rPr>
              <w:t>038 937,00 EUR</w:t>
            </w:r>
          </w:p>
        </w:tc>
        <w:tc>
          <w:tcPr>
            <w:tcW w:w="714" w:type="pct"/>
          </w:tcPr>
          <w:p w14:paraId="2B819E0B" w14:textId="77777777" w:rsidR="00067A32" w:rsidRPr="00481482" w:rsidRDefault="00067A32" w:rsidP="00615B6B">
            <w:pPr>
              <w:widowControl w:val="0"/>
              <w:ind w:left="113" w:right="113"/>
              <w:jc w:val="right"/>
              <w:rPr>
                <w:rFonts w:ascii="Times New Roman" w:hAnsi="Times New Roman"/>
                <w:i/>
                <w:iCs/>
                <w:noProof/>
                <w:sz w:val="24"/>
              </w:rPr>
            </w:pPr>
            <w:r>
              <w:rPr>
                <w:rFonts w:ascii="Times New Roman" w:hAnsi="Times New Roman"/>
                <w:i/>
                <w:sz w:val="24"/>
              </w:rPr>
              <w:t>Q2 2024</w:t>
            </w:r>
          </w:p>
        </w:tc>
      </w:tr>
      <w:tr w:rsidR="00067A32" w:rsidRPr="00481482" w14:paraId="5A4B7C98" w14:textId="77777777" w:rsidTr="00615B6B">
        <w:tc>
          <w:tcPr>
            <w:tcW w:w="2735" w:type="pct"/>
          </w:tcPr>
          <w:p w14:paraId="4E2708EB" w14:textId="77777777" w:rsidR="00067A32" w:rsidRPr="00481482" w:rsidRDefault="00067A32" w:rsidP="00615B6B">
            <w:pPr>
              <w:widowControl w:val="0"/>
              <w:ind w:left="113" w:right="113"/>
              <w:jc w:val="both"/>
              <w:rPr>
                <w:rFonts w:ascii="Times New Roman" w:hAnsi="Times New Roman"/>
                <w:i/>
                <w:iCs/>
                <w:noProof/>
                <w:sz w:val="24"/>
              </w:rPr>
            </w:pPr>
            <w:r>
              <w:rPr>
                <w:rFonts w:ascii="Times New Roman" w:hAnsi="Times New Roman"/>
                <w:i/>
                <w:sz w:val="24"/>
              </w:rPr>
              <w:t>Ceturtās iemaksas daļas maksājuma pieprasījums</w:t>
            </w:r>
          </w:p>
        </w:tc>
        <w:tc>
          <w:tcPr>
            <w:tcW w:w="1551" w:type="pct"/>
          </w:tcPr>
          <w:p w14:paraId="4A8E104A" w14:textId="77777777" w:rsidR="00067A32" w:rsidRPr="00615B6B" w:rsidRDefault="00067A32" w:rsidP="00615B6B">
            <w:pPr>
              <w:widowControl w:val="0"/>
              <w:ind w:left="113" w:right="113"/>
              <w:jc w:val="right"/>
              <w:rPr>
                <w:rFonts w:ascii="Times New Roman" w:hAnsi="Times New Roman"/>
                <w:i/>
                <w:iCs/>
                <w:noProof/>
                <w:sz w:val="24"/>
                <w:szCs w:val="24"/>
              </w:rPr>
            </w:pPr>
            <w:r w:rsidRPr="00615B6B">
              <w:rPr>
                <w:rStyle w:val="IntenseEmphasis"/>
                <w:rFonts w:ascii="Times New Roman" w:hAnsi="Times New Roman"/>
                <w:color w:val="auto"/>
                <w:sz w:val="24"/>
              </w:rPr>
              <w:t>349 </w:t>
            </w:r>
            <w:r w:rsidRPr="00615B6B">
              <w:rPr>
                <w:rFonts w:ascii="Times New Roman" w:hAnsi="Times New Roman"/>
                <w:i/>
                <w:sz w:val="24"/>
              </w:rPr>
              <w:t>129 913,00 EUR</w:t>
            </w:r>
          </w:p>
        </w:tc>
        <w:tc>
          <w:tcPr>
            <w:tcW w:w="714" w:type="pct"/>
          </w:tcPr>
          <w:p w14:paraId="4713B675" w14:textId="77777777" w:rsidR="00067A32" w:rsidRPr="00481482" w:rsidRDefault="00067A32" w:rsidP="00615B6B">
            <w:pPr>
              <w:widowControl w:val="0"/>
              <w:ind w:left="113" w:right="113"/>
              <w:jc w:val="right"/>
              <w:rPr>
                <w:rFonts w:ascii="Times New Roman" w:hAnsi="Times New Roman"/>
                <w:i/>
                <w:iCs/>
                <w:noProof/>
                <w:sz w:val="24"/>
              </w:rPr>
            </w:pPr>
            <w:r>
              <w:rPr>
                <w:rFonts w:ascii="Times New Roman" w:hAnsi="Times New Roman"/>
                <w:i/>
                <w:sz w:val="24"/>
              </w:rPr>
              <w:t>Q2 2025</w:t>
            </w:r>
          </w:p>
        </w:tc>
      </w:tr>
      <w:tr w:rsidR="00067A32" w:rsidRPr="00481482" w14:paraId="64316E17" w14:textId="77777777" w:rsidTr="00615B6B">
        <w:trPr>
          <w:trHeight w:val="300"/>
        </w:trPr>
        <w:tc>
          <w:tcPr>
            <w:tcW w:w="2735" w:type="pct"/>
          </w:tcPr>
          <w:p w14:paraId="1CF7C81C" w14:textId="77777777" w:rsidR="00067A32" w:rsidRPr="00481482" w:rsidRDefault="00067A32" w:rsidP="00615B6B">
            <w:pPr>
              <w:widowControl w:val="0"/>
              <w:ind w:left="113" w:right="113"/>
              <w:jc w:val="both"/>
              <w:rPr>
                <w:rFonts w:ascii="Times New Roman" w:hAnsi="Times New Roman"/>
                <w:i/>
                <w:iCs/>
                <w:noProof/>
                <w:sz w:val="24"/>
              </w:rPr>
            </w:pPr>
            <w:r>
              <w:rPr>
                <w:rFonts w:ascii="Times New Roman" w:hAnsi="Times New Roman"/>
                <w:i/>
                <w:sz w:val="24"/>
              </w:rPr>
              <w:t>Piektās iemaksas daļas maksājuma pieprasījums</w:t>
            </w:r>
          </w:p>
        </w:tc>
        <w:tc>
          <w:tcPr>
            <w:tcW w:w="1551" w:type="pct"/>
          </w:tcPr>
          <w:p w14:paraId="68C49B6F" w14:textId="77777777" w:rsidR="00067A32" w:rsidRPr="00615B6B" w:rsidRDefault="00067A32" w:rsidP="00615B6B">
            <w:pPr>
              <w:widowControl w:val="0"/>
              <w:ind w:left="113" w:right="113"/>
              <w:jc w:val="right"/>
              <w:rPr>
                <w:rFonts w:ascii="Times New Roman" w:hAnsi="Times New Roman"/>
                <w:i/>
                <w:iCs/>
                <w:noProof/>
                <w:sz w:val="24"/>
                <w:szCs w:val="24"/>
              </w:rPr>
            </w:pPr>
            <w:r w:rsidRPr="00615B6B">
              <w:rPr>
                <w:rStyle w:val="IntenseEmphasis"/>
                <w:rFonts w:ascii="Times New Roman" w:hAnsi="Times New Roman"/>
                <w:color w:val="auto"/>
                <w:sz w:val="24"/>
              </w:rPr>
              <w:t>274 </w:t>
            </w:r>
            <w:r w:rsidRPr="00615B6B">
              <w:rPr>
                <w:rFonts w:ascii="Times New Roman" w:hAnsi="Times New Roman"/>
                <w:i/>
                <w:sz w:val="24"/>
              </w:rPr>
              <w:t>831 150,00 EUR</w:t>
            </w:r>
          </w:p>
        </w:tc>
        <w:tc>
          <w:tcPr>
            <w:tcW w:w="714" w:type="pct"/>
          </w:tcPr>
          <w:p w14:paraId="598BD32E" w14:textId="77777777" w:rsidR="00067A32" w:rsidRPr="00481482" w:rsidRDefault="00067A32" w:rsidP="00615B6B">
            <w:pPr>
              <w:widowControl w:val="0"/>
              <w:ind w:left="113" w:right="113"/>
              <w:jc w:val="right"/>
              <w:rPr>
                <w:rFonts w:ascii="Times New Roman" w:hAnsi="Times New Roman"/>
                <w:i/>
                <w:iCs/>
                <w:noProof/>
                <w:sz w:val="24"/>
              </w:rPr>
            </w:pPr>
            <w:r>
              <w:rPr>
                <w:rFonts w:ascii="Times New Roman" w:hAnsi="Times New Roman"/>
                <w:i/>
                <w:sz w:val="24"/>
              </w:rPr>
              <w:t>Q2 2026</w:t>
            </w:r>
          </w:p>
        </w:tc>
      </w:tr>
      <w:tr w:rsidR="00067A32" w:rsidRPr="00481482" w14:paraId="7043D9E0" w14:textId="77777777" w:rsidTr="00615B6B">
        <w:tc>
          <w:tcPr>
            <w:tcW w:w="2735" w:type="pct"/>
          </w:tcPr>
          <w:p w14:paraId="57595526" w14:textId="77777777" w:rsidR="00067A32" w:rsidRPr="00615B6B" w:rsidRDefault="00067A32" w:rsidP="00615B6B">
            <w:pPr>
              <w:widowControl w:val="0"/>
              <w:ind w:left="113" w:right="113"/>
              <w:jc w:val="both"/>
              <w:rPr>
                <w:rFonts w:ascii="Times New Roman" w:hAnsi="Times New Roman"/>
                <w:i/>
                <w:iCs/>
                <w:noProof/>
                <w:sz w:val="24"/>
              </w:rPr>
            </w:pPr>
            <w:r>
              <w:rPr>
                <w:rFonts w:ascii="Times New Roman" w:hAnsi="Times New Roman"/>
                <w:i/>
                <w:sz w:val="24"/>
              </w:rPr>
              <w:t>Sestās iemaksas daļas maksājuma pieprasījums</w:t>
            </w:r>
          </w:p>
        </w:tc>
        <w:tc>
          <w:tcPr>
            <w:tcW w:w="1551" w:type="pct"/>
          </w:tcPr>
          <w:p w14:paraId="1924891F" w14:textId="77777777" w:rsidR="00067A32" w:rsidRPr="00615B6B" w:rsidRDefault="00067A32" w:rsidP="00615B6B">
            <w:pPr>
              <w:widowControl w:val="0"/>
              <w:ind w:left="113" w:right="113"/>
              <w:jc w:val="right"/>
              <w:rPr>
                <w:rFonts w:ascii="Times New Roman" w:hAnsi="Times New Roman"/>
                <w:i/>
                <w:iCs/>
                <w:noProof/>
                <w:sz w:val="24"/>
                <w:szCs w:val="24"/>
              </w:rPr>
            </w:pPr>
            <w:r w:rsidRPr="00615B6B">
              <w:rPr>
                <w:rFonts w:ascii="Times New Roman" w:hAnsi="Times New Roman"/>
                <w:i/>
                <w:sz w:val="24"/>
              </w:rPr>
              <w:t>387 244 522,00 EUR</w:t>
            </w:r>
          </w:p>
        </w:tc>
        <w:tc>
          <w:tcPr>
            <w:tcW w:w="714" w:type="pct"/>
          </w:tcPr>
          <w:p w14:paraId="29AD1679" w14:textId="77777777" w:rsidR="00067A32" w:rsidRPr="00481482" w:rsidRDefault="00067A32" w:rsidP="00615B6B">
            <w:pPr>
              <w:widowControl w:val="0"/>
              <w:ind w:left="113" w:right="113"/>
              <w:jc w:val="right"/>
              <w:rPr>
                <w:rFonts w:ascii="Times New Roman" w:hAnsi="Times New Roman"/>
                <w:i/>
                <w:iCs/>
                <w:noProof/>
                <w:sz w:val="24"/>
              </w:rPr>
            </w:pPr>
            <w:r>
              <w:rPr>
                <w:rFonts w:ascii="Times New Roman" w:hAnsi="Times New Roman"/>
                <w:i/>
                <w:sz w:val="24"/>
              </w:rPr>
              <w:t>Q3 2026</w:t>
            </w:r>
          </w:p>
        </w:tc>
      </w:tr>
    </w:tbl>
    <w:p w14:paraId="760A4FDF" w14:textId="77777777" w:rsidR="00067A32" w:rsidRPr="00481482" w:rsidRDefault="00067A32" w:rsidP="00481482">
      <w:pPr>
        <w:widowControl w:val="0"/>
        <w:spacing w:after="0" w:line="240" w:lineRule="auto"/>
        <w:jc w:val="both"/>
        <w:rPr>
          <w:rFonts w:ascii="Times New Roman" w:hAnsi="Times New Roman" w:cs="Times New Roman"/>
          <w:noProof/>
          <w:sz w:val="24"/>
          <w:szCs w:val="24"/>
        </w:rPr>
      </w:pPr>
    </w:p>
    <w:p w14:paraId="04A714A1" w14:textId="370DC293" w:rsidR="00067A32" w:rsidRPr="00481482" w:rsidRDefault="00E541F9" w:rsidP="00E541F9">
      <w:pPr>
        <w:pStyle w:val="ListParagraph"/>
        <w:widowControl w:val="0"/>
        <w:spacing w:after="0" w:line="240" w:lineRule="auto"/>
        <w:ind w:left="0"/>
        <w:contextualSpacing w:val="0"/>
        <w:jc w:val="both"/>
        <w:rPr>
          <w:rFonts w:ascii="Times New Roman" w:eastAsia="Times New Roman" w:hAnsi="Times New Roman" w:cs="Times New Roman"/>
          <w:noProof/>
          <w:sz w:val="24"/>
          <w:szCs w:val="24"/>
        </w:rPr>
      </w:pPr>
      <w:r>
        <w:rPr>
          <w:rFonts w:ascii="Times New Roman" w:hAnsi="Times New Roman"/>
          <w:sz w:val="24"/>
        </w:rPr>
        <w:t>2) I pielikumā: atskaites punkti, mērķi un attiecīgie rādītāji tiek aizstāti ar turpmāko I pielikumu.</w:t>
      </w:r>
    </w:p>
    <w:p w14:paraId="393F510D" w14:textId="77777777" w:rsidR="00E541F9" w:rsidRDefault="00E541F9" w:rsidP="00E541F9">
      <w:pPr>
        <w:pStyle w:val="ListParagraph"/>
        <w:widowControl w:val="0"/>
        <w:spacing w:after="0" w:line="240" w:lineRule="auto"/>
        <w:ind w:left="0"/>
        <w:contextualSpacing w:val="0"/>
        <w:jc w:val="both"/>
        <w:rPr>
          <w:rFonts w:ascii="Times New Roman" w:eastAsia="Times New Roman" w:hAnsi="Times New Roman" w:cs="Times New Roman"/>
          <w:noProof/>
          <w:sz w:val="24"/>
          <w:szCs w:val="24"/>
          <w:lang w:val="en-GB"/>
        </w:rPr>
      </w:pPr>
    </w:p>
    <w:p w14:paraId="18CF0649" w14:textId="5501985F" w:rsidR="00067A32" w:rsidRPr="00481482" w:rsidRDefault="00E541F9" w:rsidP="00E541F9">
      <w:pPr>
        <w:pStyle w:val="ListParagraph"/>
        <w:widowControl w:val="0"/>
        <w:spacing w:after="0" w:line="240" w:lineRule="auto"/>
        <w:ind w:left="0"/>
        <w:contextualSpacing w:val="0"/>
        <w:jc w:val="both"/>
        <w:rPr>
          <w:rFonts w:ascii="Times New Roman" w:eastAsia="Times New Roman" w:hAnsi="Times New Roman" w:cs="Times New Roman"/>
          <w:noProof/>
          <w:sz w:val="24"/>
          <w:szCs w:val="24"/>
        </w:rPr>
      </w:pPr>
      <w:r>
        <w:rPr>
          <w:rFonts w:ascii="Times New Roman" w:hAnsi="Times New Roman"/>
          <w:sz w:val="24"/>
        </w:rPr>
        <w:t>3) II pielikumā: uzraudzības un īstenošanas kārtība un grafiks ir svītrots.</w:t>
      </w:r>
    </w:p>
    <w:bookmarkEnd w:id="1"/>
    <w:p w14:paraId="0B03A136" w14:textId="77777777" w:rsidR="00481482" w:rsidRPr="00481482" w:rsidRDefault="00481482" w:rsidP="00481482">
      <w:pPr>
        <w:pStyle w:val="Pagedecouverture"/>
        <w:widowControl w:val="0"/>
        <w:rPr>
          <w:noProof/>
          <w:szCs w:val="24"/>
        </w:rPr>
        <w:sectPr w:rsidR="00481482" w:rsidRPr="00481482" w:rsidSect="004431F6">
          <w:headerReference w:type="default" r:id="rId12"/>
          <w:footerReference w:type="default" r:id="rId13"/>
          <w:headerReference w:type="first" r:id="rId14"/>
          <w:footerReference w:type="first" r:id="rId15"/>
          <w:pgSz w:w="11906" w:h="16838" w:code="9"/>
          <w:pgMar w:top="1134" w:right="1134" w:bottom="1134" w:left="1701" w:header="567" w:footer="567" w:gutter="0"/>
          <w:cols w:space="720"/>
          <w:titlePg/>
          <w:docGrid w:linePitch="360"/>
        </w:sectPr>
      </w:pPr>
    </w:p>
    <w:p w14:paraId="672CBB92" w14:textId="77777777" w:rsidR="00067A32" w:rsidRDefault="00067A32" w:rsidP="00BA1D95">
      <w:pPr>
        <w:widowControl w:val="0"/>
        <w:spacing w:after="0" w:line="240" w:lineRule="auto"/>
        <w:jc w:val="center"/>
        <w:rPr>
          <w:rFonts w:ascii="Times New Roman" w:hAnsi="Times New Roman" w:cs="Times New Roman"/>
          <w:noProof/>
          <w:sz w:val="24"/>
          <w:szCs w:val="24"/>
        </w:rPr>
      </w:pPr>
      <w:r>
        <w:rPr>
          <w:rFonts w:ascii="Times New Roman" w:hAnsi="Times New Roman"/>
          <w:sz w:val="24"/>
        </w:rPr>
        <w:lastRenderedPageBreak/>
        <w:t>I pielikums</w:t>
      </w:r>
    </w:p>
    <w:p w14:paraId="3FC63026" w14:textId="77777777" w:rsidR="00BA1D95" w:rsidRPr="00481482" w:rsidRDefault="00BA1D95" w:rsidP="00BA1D95">
      <w:pPr>
        <w:widowControl w:val="0"/>
        <w:spacing w:after="0" w:line="240" w:lineRule="auto"/>
        <w:jc w:val="center"/>
        <w:rPr>
          <w:rFonts w:ascii="Times New Roman" w:hAnsi="Times New Roman" w:cs="Times New Roman"/>
          <w:noProof/>
          <w:sz w:val="24"/>
          <w:szCs w:val="24"/>
        </w:rPr>
      </w:pPr>
    </w:p>
    <w:p w14:paraId="034CEF85" w14:textId="77777777" w:rsidR="00481482" w:rsidRDefault="00067A32" w:rsidP="00BA1D95">
      <w:pPr>
        <w:widowControl w:val="0"/>
        <w:spacing w:after="0" w:line="240" w:lineRule="auto"/>
        <w:jc w:val="center"/>
        <w:rPr>
          <w:rFonts w:ascii="Times New Roman" w:hAnsi="Times New Roman" w:cs="Times New Roman"/>
          <w:noProof/>
          <w:sz w:val="24"/>
          <w:szCs w:val="24"/>
        </w:rPr>
      </w:pPr>
      <w:r>
        <w:rPr>
          <w:rFonts w:ascii="Times New Roman" w:hAnsi="Times New Roman"/>
          <w:sz w:val="24"/>
        </w:rPr>
        <w:t>Atskaites punkti, mērķi un attiecīgie rādītāji</w:t>
      </w:r>
    </w:p>
    <w:p w14:paraId="6753064F" w14:textId="77777777" w:rsidR="00BA1D95" w:rsidRPr="00481482" w:rsidRDefault="00BA1D95" w:rsidP="00481482">
      <w:pPr>
        <w:widowControl w:val="0"/>
        <w:spacing w:after="0" w:line="240" w:lineRule="auto"/>
        <w:jc w:val="both"/>
        <w:rPr>
          <w:rFonts w:ascii="Times New Roman" w:hAnsi="Times New Roman" w:cs="Times New Roman"/>
          <w:noProof/>
          <w:sz w:val="24"/>
          <w:szCs w:val="24"/>
        </w:rPr>
      </w:pPr>
    </w:p>
    <w:p w14:paraId="2D4ADAC1" w14:textId="6609068B" w:rsidR="00067A32" w:rsidRDefault="00067A32" w:rsidP="00BA1D95">
      <w:pPr>
        <w:widowControl w:val="0"/>
        <w:spacing w:after="0" w:line="240" w:lineRule="auto"/>
        <w:ind w:left="567"/>
        <w:jc w:val="both"/>
        <w:rPr>
          <w:rFonts w:ascii="Times New Roman" w:eastAsiaTheme="majorEastAsia" w:hAnsi="Times New Roman" w:cs="Times New Roman"/>
          <w:b/>
          <w:bCs/>
          <w:noProof/>
          <w:sz w:val="24"/>
          <w:szCs w:val="26"/>
        </w:rPr>
      </w:pPr>
      <w:r>
        <w:rPr>
          <w:rFonts w:ascii="Times New Roman" w:hAnsi="Times New Roman"/>
          <w:b/>
          <w:sz w:val="24"/>
        </w:rPr>
        <w:t>A. KOMPONENTS NR. 1. KLIMATA PĀRMAIŅAS UN VIDES ILGTSPĒJA</w:t>
      </w:r>
    </w:p>
    <w:p w14:paraId="038C3DA9" w14:textId="77777777" w:rsidR="00BA1D95" w:rsidRPr="00481482" w:rsidRDefault="00BA1D95" w:rsidP="00481482">
      <w:pPr>
        <w:widowControl w:val="0"/>
        <w:spacing w:after="0" w:line="240" w:lineRule="auto"/>
        <w:jc w:val="both"/>
        <w:rPr>
          <w:rFonts w:ascii="Times New Roman" w:eastAsiaTheme="majorEastAsia" w:hAnsi="Times New Roman" w:cs="Times New Roman"/>
          <w:b/>
          <w:bCs/>
          <w:noProof/>
          <w:sz w:val="24"/>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80"/>
        <w:gridCol w:w="1416"/>
        <w:gridCol w:w="851"/>
        <w:gridCol w:w="1100"/>
        <w:gridCol w:w="1595"/>
        <w:gridCol w:w="991"/>
        <w:gridCol w:w="535"/>
        <w:gridCol w:w="926"/>
        <w:gridCol w:w="523"/>
        <w:gridCol w:w="568"/>
        <w:gridCol w:w="1019"/>
        <w:gridCol w:w="996"/>
        <w:gridCol w:w="1486"/>
        <w:gridCol w:w="1707"/>
      </w:tblGrid>
      <w:tr w:rsidR="009D4819" w:rsidRPr="008635F8" w14:paraId="5A144B6E" w14:textId="77777777" w:rsidTr="0044659E">
        <w:trPr>
          <w:trHeight w:val="595"/>
          <w:tblHeader/>
        </w:trPr>
        <w:tc>
          <w:tcPr>
            <w:tcW w:w="280" w:type="dxa"/>
            <w:vMerge w:val="restart"/>
            <w:shd w:val="clear" w:color="auto" w:fill="B6DDE8" w:themeFill="accent5" w:themeFillTint="66"/>
            <w:vAlign w:val="center"/>
          </w:tcPr>
          <w:p w14:paraId="2BB6EAEB" w14:textId="3918C72A" w:rsidR="00067A32" w:rsidRPr="008635F8" w:rsidRDefault="00067A32" w:rsidP="00D6290E">
            <w:pPr>
              <w:widowControl w:val="0"/>
              <w:spacing w:after="0" w:line="240" w:lineRule="auto"/>
              <w:ind w:left="57" w:right="57"/>
              <w:jc w:val="center"/>
              <w:rPr>
                <w:rFonts w:ascii="Times New Roman" w:eastAsia="Times New Roman" w:hAnsi="Times New Roman" w:cs="Times New Roman"/>
                <w:b/>
                <w:noProof/>
                <w:sz w:val="18"/>
                <w:szCs w:val="18"/>
              </w:rPr>
            </w:pPr>
            <w:r w:rsidRPr="008635F8">
              <w:rPr>
                <w:rFonts w:ascii="Times New Roman" w:hAnsi="Times New Roman"/>
                <w:b/>
                <w:sz w:val="18"/>
                <w:szCs w:val="18"/>
              </w:rPr>
              <w:t>#</w:t>
            </w:r>
          </w:p>
        </w:tc>
        <w:tc>
          <w:tcPr>
            <w:tcW w:w="1416" w:type="dxa"/>
            <w:vMerge w:val="restart"/>
            <w:shd w:val="clear" w:color="auto" w:fill="B6DDE8" w:themeFill="accent5" w:themeFillTint="66"/>
            <w:vAlign w:val="center"/>
          </w:tcPr>
          <w:p w14:paraId="235EF3D1" w14:textId="069D6589" w:rsidR="00067A32" w:rsidRPr="008635F8" w:rsidRDefault="00067A32" w:rsidP="00D6290E">
            <w:pPr>
              <w:widowControl w:val="0"/>
              <w:spacing w:after="0" w:line="240" w:lineRule="auto"/>
              <w:ind w:left="57" w:right="57"/>
              <w:jc w:val="center"/>
              <w:rPr>
                <w:rFonts w:ascii="Times New Roman" w:eastAsia="Times New Roman" w:hAnsi="Times New Roman" w:cs="Times New Roman"/>
                <w:b/>
                <w:noProof/>
                <w:sz w:val="16"/>
                <w:szCs w:val="16"/>
              </w:rPr>
            </w:pPr>
            <w:r w:rsidRPr="008635F8">
              <w:rPr>
                <w:rFonts w:ascii="Times New Roman" w:hAnsi="Times New Roman"/>
                <w:b/>
                <w:sz w:val="16"/>
                <w:szCs w:val="16"/>
              </w:rPr>
              <w:t>Saistītais pasākums (reforma vai investīcija)</w:t>
            </w:r>
          </w:p>
        </w:tc>
        <w:tc>
          <w:tcPr>
            <w:tcW w:w="851" w:type="dxa"/>
            <w:vMerge w:val="restart"/>
            <w:shd w:val="clear" w:color="auto" w:fill="B6DDE8" w:themeFill="accent5" w:themeFillTint="66"/>
            <w:vAlign w:val="center"/>
          </w:tcPr>
          <w:p w14:paraId="0CBC667B" w14:textId="5F4CF2FD" w:rsidR="00067A32" w:rsidRPr="008635F8" w:rsidRDefault="00067A32" w:rsidP="00D6290E">
            <w:pPr>
              <w:widowControl w:val="0"/>
              <w:spacing w:after="0" w:line="240" w:lineRule="auto"/>
              <w:ind w:left="57" w:right="57"/>
              <w:jc w:val="center"/>
              <w:rPr>
                <w:rFonts w:ascii="Times New Roman" w:eastAsia="Times New Roman" w:hAnsi="Times New Roman" w:cs="Times New Roman"/>
                <w:b/>
                <w:noProof/>
                <w:sz w:val="16"/>
                <w:szCs w:val="16"/>
              </w:rPr>
            </w:pPr>
            <w:r w:rsidRPr="008635F8">
              <w:rPr>
                <w:rFonts w:ascii="Times New Roman" w:hAnsi="Times New Roman"/>
                <w:b/>
                <w:sz w:val="16"/>
                <w:szCs w:val="16"/>
              </w:rPr>
              <w:t>Atskaites punkts / mērķis</w:t>
            </w:r>
          </w:p>
        </w:tc>
        <w:tc>
          <w:tcPr>
            <w:tcW w:w="1100" w:type="dxa"/>
            <w:vMerge w:val="restart"/>
            <w:shd w:val="clear" w:color="auto" w:fill="B6DDE8" w:themeFill="accent5" w:themeFillTint="66"/>
            <w:vAlign w:val="center"/>
          </w:tcPr>
          <w:p w14:paraId="32B43016" w14:textId="2612B2EC" w:rsidR="00067A32" w:rsidRPr="008635F8" w:rsidRDefault="00067A32" w:rsidP="00D6290E">
            <w:pPr>
              <w:widowControl w:val="0"/>
              <w:spacing w:after="0" w:line="240" w:lineRule="auto"/>
              <w:ind w:left="57" w:right="57"/>
              <w:jc w:val="center"/>
              <w:rPr>
                <w:rFonts w:ascii="Times New Roman" w:eastAsia="Times New Roman" w:hAnsi="Times New Roman" w:cs="Times New Roman"/>
                <w:b/>
                <w:noProof/>
                <w:sz w:val="16"/>
                <w:szCs w:val="16"/>
              </w:rPr>
            </w:pPr>
            <w:r w:rsidRPr="008635F8">
              <w:rPr>
                <w:rFonts w:ascii="Times New Roman" w:hAnsi="Times New Roman"/>
                <w:b/>
                <w:sz w:val="16"/>
                <w:szCs w:val="16"/>
              </w:rPr>
              <w:t>Nosaukums</w:t>
            </w:r>
          </w:p>
        </w:tc>
        <w:tc>
          <w:tcPr>
            <w:tcW w:w="1595" w:type="dxa"/>
            <w:vMerge w:val="restart"/>
            <w:shd w:val="clear" w:color="auto" w:fill="B6DDE8" w:themeFill="accent5" w:themeFillTint="66"/>
            <w:vAlign w:val="center"/>
          </w:tcPr>
          <w:p w14:paraId="28C4A1AC" w14:textId="77777777" w:rsidR="00481482" w:rsidRPr="008635F8" w:rsidRDefault="00067A32" w:rsidP="00D6290E">
            <w:pPr>
              <w:widowControl w:val="0"/>
              <w:spacing w:after="0" w:line="240" w:lineRule="auto"/>
              <w:ind w:left="57" w:right="57"/>
              <w:jc w:val="center"/>
              <w:rPr>
                <w:rFonts w:ascii="Times New Roman" w:eastAsia="Times New Roman" w:hAnsi="Times New Roman" w:cs="Times New Roman"/>
                <w:b/>
                <w:noProof/>
                <w:sz w:val="16"/>
                <w:szCs w:val="16"/>
              </w:rPr>
            </w:pPr>
            <w:r w:rsidRPr="008635F8">
              <w:rPr>
                <w:rFonts w:ascii="Times New Roman" w:hAnsi="Times New Roman"/>
                <w:b/>
                <w:sz w:val="16"/>
                <w:szCs w:val="16"/>
              </w:rPr>
              <w:t>Kvalitatīvie rādītāji</w:t>
            </w:r>
          </w:p>
          <w:p w14:paraId="45A586B2" w14:textId="3666C780" w:rsidR="00067A32" w:rsidRPr="008635F8" w:rsidRDefault="00067A32" w:rsidP="00D6290E">
            <w:pPr>
              <w:widowControl w:val="0"/>
              <w:spacing w:after="0" w:line="240" w:lineRule="auto"/>
              <w:ind w:left="57" w:right="57"/>
              <w:jc w:val="center"/>
              <w:rPr>
                <w:rFonts w:ascii="Times New Roman" w:eastAsia="Times New Roman" w:hAnsi="Times New Roman" w:cs="Times New Roman"/>
                <w:b/>
                <w:noProof/>
                <w:sz w:val="16"/>
                <w:szCs w:val="16"/>
              </w:rPr>
            </w:pPr>
            <w:r w:rsidRPr="008635F8">
              <w:rPr>
                <w:rFonts w:ascii="Times New Roman" w:hAnsi="Times New Roman"/>
                <w:b/>
                <w:sz w:val="16"/>
                <w:szCs w:val="16"/>
              </w:rPr>
              <w:t>(atskaites punktiem)</w:t>
            </w:r>
          </w:p>
        </w:tc>
        <w:tc>
          <w:tcPr>
            <w:tcW w:w="2452" w:type="dxa"/>
            <w:gridSpan w:val="3"/>
            <w:shd w:val="clear" w:color="auto" w:fill="B6DDE8" w:themeFill="accent5" w:themeFillTint="66"/>
            <w:vAlign w:val="center"/>
          </w:tcPr>
          <w:p w14:paraId="0EB7EF1C" w14:textId="77777777" w:rsidR="00481482" w:rsidRPr="008635F8" w:rsidRDefault="00067A32" w:rsidP="00D6290E">
            <w:pPr>
              <w:widowControl w:val="0"/>
              <w:spacing w:after="0" w:line="240" w:lineRule="auto"/>
              <w:ind w:left="57" w:right="57"/>
              <w:jc w:val="center"/>
              <w:rPr>
                <w:rFonts w:ascii="Times New Roman" w:eastAsia="Times New Roman" w:hAnsi="Times New Roman" w:cs="Times New Roman"/>
                <w:b/>
                <w:noProof/>
                <w:sz w:val="16"/>
                <w:szCs w:val="16"/>
              </w:rPr>
            </w:pPr>
            <w:r w:rsidRPr="008635F8">
              <w:rPr>
                <w:rFonts w:ascii="Times New Roman" w:hAnsi="Times New Roman"/>
                <w:b/>
                <w:sz w:val="16"/>
                <w:szCs w:val="16"/>
              </w:rPr>
              <w:t>Kvantitatīvie rādītāji</w:t>
            </w:r>
          </w:p>
          <w:p w14:paraId="7A2D382C" w14:textId="20004315" w:rsidR="00067A32" w:rsidRPr="008635F8" w:rsidRDefault="00067A32" w:rsidP="00D6290E">
            <w:pPr>
              <w:widowControl w:val="0"/>
              <w:spacing w:after="0" w:line="240" w:lineRule="auto"/>
              <w:ind w:left="57" w:right="57"/>
              <w:jc w:val="center"/>
              <w:rPr>
                <w:rFonts w:ascii="Times New Roman" w:eastAsia="Times New Roman" w:hAnsi="Times New Roman" w:cs="Times New Roman"/>
                <w:b/>
                <w:noProof/>
                <w:sz w:val="16"/>
                <w:szCs w:val="16"/>
              </w:rPr>
            </w:pPr>
            <w:r w:rsidRPr="008635F8">
              <w:rPr>
                <w:rFonts w:ascii="Times New Roman" w:hAnsi="Times New Roman"/>
                <w:b/>
                <w:sz w:val="16"/>
                <w:szCs w:val="16"/>
              </w:rPr>
              <w:t>(mērķiem)</w:t>
            </w:r>
          </w:p>
        </w:tc>
        <w:tc>
          <w:tcPr>
            <w:tcW w:w="1091" w:type="dxa"/>
            <w:gridSpan w:val="2"/>
            <w:shd w:val="clear" w:color="auto" w:fill="B6DDE8" w:themeFill="accent5" w:themeFillTint="66"/>
            <w:vAlign w:val="center"/>
          </w:tcPr>
          <w:p w14:paraId="33D0E433" w14:textId="77777777" w:rsidR="00067A32" w:rsidRPr="008635F8" w:rsidRDefault="00067A32" w:rsidP="00D6290E">
            <w:pPr>
              <w:widowControl w:val="0"/>
              <w:spacing w:after="0" w:line="240" w:lineRule="auto"/>
              <w:ind w:left="57" w:right="57"/>
              <w:jc w:val="center"/>
              <w:rPr>
                <w:rFonts w:ascii="Times New Roman" w:eastAsia="Times New Roman" w:hAnsi="Times New Roman" w:cs="Times New Roman"/>
                <w:b/>
                <w:bCs/>
                <w:noProof/>
                <w:sz w:val="16"/>
                <w:szCs w:val="16"/>
              </w:rPr>
            </w:pPr>
            <w:r w:rsidRPr="008635F8">
              <w:rPr>
                <w:rFonts w:ascii="Times New Roman" w:hAnsi="Times New Roman"/>
                <w:b/>
                <w:sz w:val="16"/>
                <w:szCs w:val="16"/>
              </w:rPr>
              <w:t>Orientējošs pabeigšanas grafiks</w:t>
            </w:r>
          </w:p>
        </w:tc>
        <w:tc>
          <w:tcPr>
            <w:tcW w:w="1019" w:type="dxa"/>
            <w:vMerge w:val="restart"/>
            <w:shd w:val="clear" w:color="auto" w:fill="B6DDE8" w:themeFill="accent5" w:themeFillTint="66"/>
            <w:vAlign w:val="center"/>
          </w:tcPr>
          <w:p w14:paraId="6FCF47E0" w14:textId="77777777" w:rsidR="00067A32" w:rsidRPr="008635F8" w:rsidRDefault="00067A32" w:rsidP="00D6290E">
            <w:pPr>
              <w:widowControl w:val="0"/>
              <w:spacing w:after="0" w:line="240" w:lineRule="auto"/>
              <w:ind w:left="57" w:right="57"/>
              <w:jc w:val="center"/>
              <w:rPr>
                <w:rFonts w:ascii="Times New Roman" w:hAnsi="Times New Roman" w:cs="Calibri"/>
                <w:b/>
                <w:noProof/>
                <w:sz w:val="16"/>
                <w:szCs w:val="16"/>
              </w:rPr>
            </w:pPr>
            <w:r w:rsidRPr="008635F8">
              <w:rPr>
                <w:rFonts w:ascii="Times New Roman" w:hAnsi="Times New Roman"/>
                <w:b/>
                <w:sz w:val="16"/>
                <w:szCs w:val="16"/>
              </w:rPr>
              <w:t>Atbildība par ziņošanu un īstenošanu</w:t>
            </w:r>
          </w:p>
        </w:tc>
        <w:tc>
          <w:tcPr>
            <w:tcW w:w="996" w:type="dxa"/>
            <w:vMerge w:val="restart"/>
            <w:shd w:val="clear" w:color="auto" w:fill="B6DDE8" w:themeFill="accent5" w:themeFillTint="66"/>
            <w:vAlign w:val="center"/>
          </w:tcPr>
          <w:p w14:paraId="7E0543EC" w14:textId="77777777" w:rsidR="00067A32" w:rsidRPr="008635F8" w:rsidRDefault="00067A32" w:rsidP="00D6290E">
            <w:pPr>
              <w:widowControl w:val="0"/>
              <w:spacing w:after="0" w:line="240" w:lineRule="auto"/>
              <w:ind w:left="57" w:right="57"/>
              <w:jc w:val="center"/>
              <w:rPr>
                <w:rFonts w:ascii="Times New Roman" w:hAnsi="Times New Roman" w:cs="Calibri"/>
                <w:b/>
                <w:noProof/>
                <w:sz w:val="16"/>
                <w:szCs w:val="16"/>
              </w:rPr>
            </w:pPr>
            <w:r w:rsidRPr="008635F8">
              <w:rPr>
                <w:rFonts w:ascii="Times New Roman" w:hAnsi="Times New Roman"/>
                <w:b/>
                <w:sz w:val="16"/>
                <w:szCs w:val="16"/>
              </w:rPr>
              <w:t>Precizējums (ja nepieciešams)</w:t>
            </w:r>
          </w:p>
        </w:tc>
        <w:tc>
          <w:tcPr>
            <w:tcW w:w="1486" w:type="dxa"/>
            <w:vMerge w:val="restart"/>
            <w:shd w:val="clear" w:color="auto" w:fill="B6DDE8" w:themeFill="accent5" w:themeFillTint="66"/>
            <w:vAlign w:val="center"/>
          </w:tcPr>
          <w:p w14:paraId="2B0BB623" w14:textId="77777777" w:rsidR="00067A32" w:rsidRPr="008635F8" w:rsidRDefault="00067A32" w:rsidP="00D6290E">
            <w:pPr>
              <w:widowControl w:val="0"/>
              <w:spacing w:after="0" w:line="240" w:lineRule="auto"/>
              <w:ind w:left="57" w:right="57"/>
              <w:jc w:val="center"/>
              <w:rPr>
                <w:rFonts w:ascii="Times New Roman" w:hAnsi="Times New Roman" w:cs="Calibri"/>
                <w:b/>
                <w:noProof/>
                <w:sz w:val="16"/>
                <w:szCs w:val="16"/>
              </w:rPr>
            </w:pPr>
            <w:r w:rsidRPr="008635F8">
              <w:rPr>
                <w:rFonts w:ascii="Times New Roman" w:hAnsi="Times New Roman"/>
                <w:b/>
                <w:sz w:val="16"/>
                <w:szCs w:val="16"/>
              </w:rPr>
              <w:t>Pārbaudes mehānisms</w:t>
            </w:r>
          </w:p>
        </w:tc>
        <w:tc>
          <w:tcPr>
            <w:tcW w:w="1707" w:type="dxa"/>
            <w:vMerge w:val="restart"/>
            <w:shd w:val="clear" w:color="auto" w:fill="B6DDE8" w:themeFill="accent5" w:themeFillTint="66"/>
            <w:vAlign w:val="center"/>
          </w:tcPr>
          <w:p w14:paraId="7B572ADD" w14:textId="77777777" w:rsidR="00067A32" w:rsidRPr="008635F8" w:rsidRDefault="00067A32" w:rsidP="00D6290E">
            <w:pPr>
              <w:widowControl w:val="0"/>
              <w:spacing w:after="0" w:line="240" w:lineRule="auto"/>
              <w:ind w:left="57" w:right="57"/>
              <w:jc w:val="center"/>
              <w:rPr>
                <w:rFonts w:ascii="Times New Roman" w:eastAsia="Times New Roman" w:hAnsi="Times New Roman" w:cs="Times New Roman"/>
                <w:b/>
                <w:noProof/>
                <w:sz w:val="16"/>
                <w:szCs w:val="16"/>
              </w:rPr>
            </w:pPr>
            <w:r w:rsidRPr="008635F8">
              <w:rPr>
                <w:rFonts w:ascii="Times New Roman" w:hAnsi="Times New Roman"/>
                <w:b/>
                <w:sz w:val="16"/>
                <w:szCs w:val="16"/>
              </w:rPr>
              <w:t>Katra atskaites punkta un mērķa apraksts</w:t>
            </w:r>
          </w:p>
        </w:tc>
      </w:tr>
      <w:tr w:rsidR="0041037D" w:rsidRPr="008635F8" w14:paraId="428F02D1" w14:textId="77777777" w:rsidTr="0044659E">
        <w:trPr>
          <w:trHeight w:val="278"/>
          <w:tblHeader/>
        </w:trPr>
        <w:tc>
          <w:tcPr>
            <w:tcW w:w="280" w:type="dxa"/>
            <w:vMerge/>
            <w:vAlign w:val="center"/>
          </w:tcPr>
          <w:p w14:paraId="579EB192"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p>
        </w:tc>
        <w:tc>
          <w:tcPr>
            <w:tcW w:w="1416" w:type="dxa"/>
            <w:vMerge/>
            <w:vAlign w:val="center"/>
          </w:tcPr>
          <w:p w14:paraId="7E0F1C7B" w14:textId="77777777" w:rsidR="00067A32" w:rsidRPr="008635F8" w:rsidRDefault="00067A32" w:rsidP="00D6290E">
            <w:pPr>
              <w:widowControl w:val="0"/>
              <w:spacing w:after="0" w:line="240" w:lineRule="auto"/>
              <w:ind w:left="57" w:right="57"/>
              <w:jc w:val="both"/>
              <w:rPr>
                <w:rFonts w:ascii="Times New Roman" w:eastAsia="Times New Roman" w:hAnsi="Times New Roman" w:cs="Times New Roman"/>
                <w:b/>
                <w:noProof/>
                <w:sz w:val="18"/>
                <w:szCs w:val="18"/>
              </w:rPr>
            </w:pPr>
          </w:p>
        </w:tc>
        <w:tc>
          <w:tcPr>
            <w:tcW w:w="851" w:type="dxa"/>
            <w:vMerge/>
            <w:vAlign w:val="center"/>
          </w:tcPr>
          <w:p w14:paraId="24C490D9"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p>
        </w:tc>
        <w:tc>
          <w:tcPr>
            <w:tcW w:w="1100" w:type="dxa"/>
            <w:vMerge/>
            <w:vAlign w:val="center"/>
          </w:tcPr>
          <w:p w14:paraId="23F5998B"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p>
        </w:tc>
        <w:tc>
          <w:tcPr>
            <w:tcW w:w="1595" w:type="dxa"/>
            <w:vMerge/>
            <w:vAlign w:val="center"/>
          </w:tcPr>
          <w:p w14:paraId="201032A1" w14:textId="77777777" w:rsidR="00067A32" w:rsidRPr="008635F8" w:rsidRDefault="00067A32" w:rsidP="00D6290E">
            <w:pPr>
              <w:widowControl w:val="0"/>
              <w:spacing w:after="0" w:line="240" w:lineRule="auto"/>
              <w:ind w:left="57" w:right="57"/>
              <w:jc w:val="both"/>
              <w:rPr>
                <w:rFonts w:ascii="Times New Roman" w:eastAsia="Times New Roman" w:hAnsi="Times New Roman" w:cs="Times New Roman"/>
                <w:b/>
                <w:noProof/>
                <w:sz w:val="18"/>
                <w:szCs w:val="18"/>
              </w:rPr>
            </w:pPr>
          </w:p>
        </w:tc>
        <w:tc>
          <w:tcPr>
            <w:tcW w:w="991" w:type="dxa"/>
            <w:shd w:val="clear" w:color="auto" w:fill="B6DDE8" w:themeFill="accent5" w:themeFillTint="66"/>
            <w:vAlign w:val="center"/>
          </w:tcPr>
          <w:p w14:paraId="287308C1" w14:textId="451A3E57" w:rsidR="00067A32" w:rsidRPr="008635F8" w:rsidRDefault="00067A32" w:rsidP="00D6290E">
            <w:pPr>
              <w:widowControl w:val="0"/>
              <w:spacing w:after="0" w:line="240" w:lineRule="auto"/>
              <w:ind w:left="57" w:right="57"/>
              <w:jc w:val="center"/>
              <w:rPr>
                <w:rFonts w:ascii="Times New Roman" w:eastAsia="Times New Roman" w:hAnsi="Times New Roman" w:cs="Times New Roman"/>
                <w:b/>
                <w:bCs/>
                <w:noProof/>
                <w:sz w:val="16"/>
                <w:szCs w:val="16"/>
              </w:rPr>
            </w:pPr>
            <w:r w:rsidRPr="008635F8">
              <w:rPr>
                <w:rFonts w:ascii="Times New Roman" w:hAnsi="Times New Roman"/>
                <w:b/>
                <w:sz w:val="16"/>
                <w:szCs w:val="16"/>
              </w:rPr>
              <w:t>Mērvienība</w:t>
            </w:r>
          </w:p>
        </w:tc>
        <w:tc>
          <w:tcPr>
            <w:tcW w:w="535" w:type="dxa"/>
            <w:shd w:val="clear" w:color="auto" w:fill="B6DDE8" w:themeFill="accent5" w:themeFillTint="66"/>
            <w:vAlign w:val="center"/>
          </w:tcPr>
          <w:p w14:paraId="6023ABC7" w14:textId="77777777" w:rsidR="00067A32" w:rsidRPr="008635F8" w:rsidRDefault="00067A32" w:rsidP="00D6290E">
            <w:pPr>
              <w:widowControl w:val="0"/>
              <w:spacing w:after="0" w:line="240" w:lineRule="auto"/>
              <w:ind w:left="57" w:right="57"/>
              <w:jc w:val="center"/>
              <w:rPr>
                <w:rFonts w:ascii="Times New Roman" w:eastAsia="Times New Roman" w:hAnsi="Times New Roman" w:cs="Times New Roman"/>
                <w:b/>
                <w:bCs/>
                <w:noProof/>
                <w:sz w:val="16"/>
                <w:szCs w:val="16"/>
              </w:rPr>
            </w:pPr>
            <w:r w:rsidRPr="008635F8">
              <w:rPr>
                <w:rFonts w:ascii="Times New Roman" w:hAnsi="Times New Roman"/>
                <w:b/>
                <w:sz w:val="16"/>
                <w:szCs w:val="16"/>
              </w:rPr>
              <w:t>Bāze</w:t>
            </w:r>
          </w:p>
        </w:tc>
        <w:tc>
          <w:tcPr>
            <w:tcW w:w="926" w:type="dxa"/>
            <w:shd w:val="clear" w:color="auto" w:fill="B6DDE8" w:themeFill="accent5" w:themeFillTint="66"/>
            <w:vAlign w:val="center"/>
          </w:tcPr>
          <w:p w14:paraId="5381DF10" w14:textId="77777777" w:rsidR="00067A32" w:rsidRPr="008635F8" w:rsidRDefault="00067A32" w:rsidP="00D6290E">
            <w:pPr>
              <w:widowControl w:val="0"/>
              <w:spacing w:after="0" w:line="240" w:lineRule="auto"/>
              <w:ind w:left="57" w:right="57"/>
              <w:jc w:val="center"/>
              <w:rPr>
                <w:rFonts w:ascii="Times New Roman" w:eastAsia="Times New Roman" w:hAnsi="Times New Roman" w:cs="Times New Roman"/>
                <w:b/>
                <w:bCs/>
                <w:noProof/>
                <w:sz w:val="16"/>
                <w:szCs w:val="16"/>
              </w:rPr>
            </w:pPr>
            <w:r w:rsidRPr="008635F8">
              <w:rPr>
                <w:rFonts w:ascii="Times New Roman" w:hAnsi="Times New Roman"/>
                <w:b/>
                <w:sz w:val="16"/>
                <w:szCs w:val="16"/>
              </w:rPr>
              <w:t>Mērķis</w:t>
            </w:r>
          </w:p>
        </w:tc>
        <w:tc>
          <w:tcPr>
            <w:tcW w:w="523" w:type="dxa"/>
            <w:shd w:val="clear" w:color="auto" w:fill="B6DDE8" w:themeFill="accent5" w:themeFillTint="66"/>
            <w:vAlign w:val="center"/>
          </w:tcPr>
          <w:p w14:paraId="385746A0" w14:textId="77777777" w:rsidR="00067A32" w:rsidRPr="008635F8" w:rsidRDefault="00067A32" w:rsidP="00D6290E">
            <w:pPr>
              <w:widowControl w:val="0"/>
              <w:spacing w:after="0" w:line="240" w:lineRule="auto"/>
              <w:ind w:left="57" w:right="57"/>
              <w:jc w:val="center"/>
              <w:rPr>
                <w:rFonts w:ascii="Times New Roman" w:eastAsia="Times New Roman" w:hAnsi="Times New Roman" w:cs="Times New Roman"/>
                <w:b/>
                <w:bCs/>
                <w:noProof/>
                <w:sz w:val="16"/>
                <w:szCs w:val="16"/>
              </w:rPr>
            </w:pPr>
            <w:r w:rsidRPr="008635F8">
              <w:rPr>
                <w:rFonts w:ascii="Times New Roman" w:hAnsi="Times New Roman"/>
                <w:b/>
                <w:sz w:val="16"/>
                <w:szCs w:val="16"/>
              </w:rPr>
              <w:t>Ceturksnis</w:t>
            </w:r>
          </w:p>
        </w:tc>
        <w:tc>
          <w:tcPr>
            <w:tcW w:w="568" w:type="dxa"/>
            <w:shd w:val="clear" w:color="auto" w:fill="B6DDE8" w:themeFill="accent5" w:themeFillTint="66"/>
            <w:vAlign w:val="center"/>
          </w:tcPr>
          <w:p w14:paraId="073D2B7D" w14:textId="77777777" w:rsidR="00067A32" w:rsidRPr="008635F8" w:rsidRDefault="00067A32" w:rsidP="00D6290E">
            <w:pPr>
              <w:widowControl w:val="0"/>
              <w:spacing w:after="0" w:line="240" w:lineRule="auto"/>
              <w:ind w:left="57" w:right="57"/>
              <w:jc w:val="center"/>
              <w:rPr>
                <w:rFonts w:ascii="Times New Roman" w:eastAsia="Times New Roman" w:hAnsi="Times New Roman" w:cs="Times New Roman"/>
                <w:b/>
                <w:bCs/>
                <w:noProof/>
                <w:sz w:val="16"/>
                <w:szCs w:val="16"/>
              </w:rPr>
            </w:pPr>
            <w:r w:rsidRPr="008635F8">
              <w:rPr>
                <w:rFonts w:ascii="Times New Roman" w:hAnsi="Times New Roman"/>
                <w:b/>
                <w:sz w:val="16"/>
                <w:szCs w:val="16"/>
              </w:rPr>
              <w:t>Gads</w:t>
            </w:r>
          </w:p>
        </w:tc>
        <w:tc>
          <w:tcPr>
            <w:tcW w:w="1019" w:type="dxa"/>
            <w:vMerge/>
            <w:vAlign w:val="center"/>
          </w:tcPr>
          <w:p w14:paraId="50BA1933" w14:textId="77777777" w:rsidR="00067A32" w:rsidRPr="008635F8" w:rsidRDefault="00067A32" w:rsidP="00D6290E">
            <w:pPr>
              <w:widowControl w:val="0"/>
              <w:spacing w:after="0" w:line="240" w:lineRule="auto"/>
              <w:ind w:left="57" w:right="57"/>
              <w:jc w:val="both"/>
              <w:rPr>
                <w:rFonts w:ascii="Times New Roman" w:eastAsia="Times New Roman" w:hAnsi="Times New Roman" w:cs="Times New Roman"/>
                <w:b/>
                <w:noProof/>
                <w:sz w:val="18"/>
                <w:szCs w:val="18"/>
              </w:rPr>
            </w:pPr>
          </w:p>
        </w:tc>
        <w:tc>
          <w:tcPr>
            <w:tcW w:w="996" w:type="dxa"/>
            <w:vMerge/>
            <w:vAlign w:val="center"/>
          </w:tcPr>
          <w:p w14:paraId="0E659B9D" w14:textId="77777777" w:rsidR="00067A32" w:rsidRPr="008635F8" w:rsidRDefault="00067A32" w:rsidP="00D6290E">
            <w:pPr>
              <w:widowControl w:val="0"/>
              <w:spacing w:after="0" w:line="240" w:lineRule="auto"/>
              <w:ind w:left="57" w:right="57"/>
              <w:jc w:val="both"/>
              <w:rPr>
                <w:rFonts w:ascii="Times New Roman" w:eastAsia="Times New Roman" w:hAnsi="Times New Roman" w:cs="Times New Roman"/>
                <w:b/>
                <w:noProof/>
                <w:sz w:val="18"/>
                <w:szCs w:val="18"/>
              </w:rPr>
            </w:pPr>
          </w:p>
        </w:tc>
        <w:tc>
          <w:tcPr>
            <w:tcW w:w="1486" w:type="dxa"/>
            <w:vMerge/>
            <w:vAlign w:val="center"/>
          </w:tcPr>
          <w:p w14:paraId="6B0F8098" w14:textId="77777777" w:rsidR="00067A32" w:rsidRPr="008635F8" w:rsidRDefault="00067A32" w:rsidP="00D6290E">
            <w:pPr>
              <w:widowControl w:val="0"/>
              <w:spacing w:after="0" w:line="240" w:lineRule="auto"/>
              <w:ind w:left="57" w:right="57"/>
              <w:jc w:val="both"/>
              <w:rPr>
                <w:rFonts w:ascii="Times New Roman" w:eastAsia="Times New Roman" w:hAnsi="Times New Roman" w:cs="Times New Roman"/>
                <w:b/>
                <w:noProof/>
                <w:sz w:val="18"/>
                <w:szCs w:val="18"/>
                <w:lang w:eastAsia="en-IE"/>
              </w:rPr>
            </w:pPr>
          </w:p>
        </w:tc>
        <w:tc>
          <w:tcPr>
            <w:tcW w:w="1707" w:type="dxa"/>
            <w:vMerge/>
            <w:vAlign w:val="center"/>
          </w:tcPr>
          <w:p w14:paraId="4CC527A7" w14:textId="77777777" w:rsidR="00067A32" w:rsidRPr="008635F8" w:rsidRDefault="00067A32" w:rsidP="00D6290E">
            <w:pPr>
              <w:widowControl w:val="0"/>
              <w:spacing w:after="0" w:line="240" w:lineRule="auto"/>
              <w:ind w:left="57" w:right="57"/>
              <w:jc w:val="both"/>
              <w:rPr>
                <w:rFonts w:ascii="Times New Roman" w:eastAsia="Times New Roman" w:hAnsi="Times New Roman" w:cs="Times New Roman"/>
                <w:b/>
                <w:noProof/>
                <w:sz w:val="18"/>
                <w:szCs w:val="18"/>
                <w:lang w:eastAsia="en-IE"/>
              </w:rPr>
            </w:pPr>
          </w:p>
        </w:tc>
      </w:tr>
      <w:tr w:rsidR="0041037D" w:rsidRPr="008635F8" w14:paraId="6413A0E5" w14:textId="77777777" w:rsidTr="0044659E">
        <w:trPr>
          <w:trHeight w:val="1200"/>
        </w:trPr>
        <w:tc>
          <w:tcPr>
            <w:tcW w:w="280" w:type="dxa"/>
            <w:tcBorders>
              <w:top w:val="single" w:sz="4" w:space="0" w:color="auto"/>
              <w:left w:val="single" w:sz="4" w:space="0" w:color="auto"/>
              <w:bottom w:val="single" w:sz="4" w:space="0" w:color="auto"/>
              <w:right w:val="single" w:sz="4" w:space="0" w:color="auto"/>
            </w:tcBorders>
            <w:shd w:val="clear" w:color="auto" w:fill="C6EFCE"/>
          </w:tcPr>
          <w:p w14:paraId="036BDAE7"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1</w:t>
            </w:r>
          </w:p>
        </w:tc>
        <w:tc>
          <w:tcPr>
            <w:tcW w:w="1416" w:type="dxa"/>
            <w:tcBorders>
              <w:top w:val="single" w:sz="4" w:space="0" w:color="auto"/>
              <w:left w:val="single" w:sz="4" w:space="0" w:color="auto"/>
              <w:bottom w:val="single" w:sz="4" w:space="0" w:color="auto"/>
              <w:right w:val="single" w:sz="4" w:space="0" w:color="auto"/>
            </w:tcBorders>
            <w:shd w:val="clear" w:color="auto" w:fill="C6EFCE"/>
          </w:tcPr>
          <w:p w14:paraId="5BB994A0"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b/>
                <w:bCs/>
                <w:noProof/>
                <w:sz w:val="18"/>
                <w:szCs w:val="18"/>
              </w:rPr>
            </w:pPr>
            <w:r w:rsidRPr="008635F8">
              <w:rPr>
                <w:rFonts w:ascii="Times New Roman" w:hAnsi="Times New Roman"/>
                <w:b/>
                <w:sz w:val="18"/>
                <w:szCs w:val="18"/>
              </w:rPr>
              <w:t>1.1.1.r. Rīgas metropoles areāla transporta sistēmas zaļināšana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987AD9D"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Atskaites punkts</w:t>
            </w:r>
          </w:p>
        </w:tc>
        <w:tc>
          <w:tcPr>
            <w:tcW w:w="1100" w:type="dxa"/>
            <w:tcBorders>
              <w:top w:val="single" w:sz="4" w:space="0" w:color="auto"/>
              <w:left w:val="single" w:sz="4" w:space="0" w:color="auto"/>
              <w:bottom w:val="single" w:sz="4" w:space="0" w:color="auto"/>
              <w:right w:val="single" w:sz="4" w:space="0" w:color="auto"/>
            </w:tcBorders>
            <w:shd w:val="clear" w:color="auto" w:fill="C6EFCE"/>
          </w:tcPr>
          <w:p w14:paraId="651C6B06"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Koordinēta pieeja pasažieru pārvadājumu plānošanai, pasūtīšanai un organizācijai Rīgas metropoles areālā</w:t>
            </w:r>
          </w:p>
        </w:tc>
        <w:tc>
          <w:tcPr>
            <w:tcW w:w="1595" w:type="dxa"/>
            <w:tcBorders>
              <w:top w:val="single" w:sz="4" w:space="0" w:color="auto"/>
              <w:left w:val="single" w:sz="4" w:space="0" w:color="auto"/>
              <w:bottom w:val="single" w:sz="4" w:space="0" w:color="auto"/>
              <w:right w:val="single" w:sz="4" w:space="0" w:color="auto"/>
            </w:tcBorders>
            <w:shd w:val="clear" w:color="auto" w:fill="C6EFCE"/>
          </w:tcPr>
          <w:p w14:paraId="0E42C34A"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Ieviesta koordinēta pieeja pasažieru pārvadājumu plānošanai, pasūtīšanai un organizācijai Rīgas metropoles areālā</w:t>
            </w:r>
          </w:p>
        </w:tc>
        <w:tc>
          <w:tcPr>
            <w:tcW w:w="991" w:type="dxa"/>
            <w:tcBorders>
              <w:top w:val="single" w:sz="4" w:space="0" w:color="auto"/>
              <w:left w:val="single" w:sz="4" w:space="0" w:color="auto"/>
              <w:bottom w:val="single" w:sz="4" w:space="0" w:color="auto"/>
              <w:right w:val="single" w:sz="4" w:space="0" w:color="auto"/>
            </w:tcBorders>
            <w:shd w:val="clear" w:color="auto" w:fill="C6EFCE"/>
          </w:tcPr>
          <w:p w14:paraId="324A95E5"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Neattiecas</w:t>
            </w:r>
          </w:p>
        </w:tc>
        <w:tc>
          <w:tcPr>
            <w:tcW w:w="535" w:type="dxa"/>
            <w:tcBorders>
              <w:top w:val="single" w:sz="4" w:space="0" w:color="auto"/>
              <w:left w:val="single" w:sz="4" w:space="0" w:color="auto"/>
              <w:bottom w:val="single" w:sz="4" w:space="0" w:color="auto"/>
              <w:right w:val="single" w:sz="4" w:space="0" w:color="auto"/>
            </w:tcBorders>
            <w:shd w:val="clear" w:color="auto" w:fill="C6EFCE"/>
          </w:tcPr>
          <w:p w14:paraId="72654BE1"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Neattiecas</w:t>
            </w:r>
          </w:p>
        </w:tc>
        <w:tc>
          <w:tcPr>
            <w:tcW w:w="926" w:type="dxa"/>
            <w:tcBorders>
              <w:top w:val="single" w:sz="4" w:space="0" w:color="auto"/>
              <w:left w:val="single" w:sz="4" w:space="0" w:color="auto"/>
              <w:bottom w:val="single" w:sz="4" w:space="0" w:color="auto"/>
              <w:right w:val="single" w:sz="4" w:space="0" w:color="auto"/>
            </w:tcBorders>
            <w:shd w:val="clear" w:color="auto" w:fill="C6EFCE"/>
          </w:tcPr>
          <w:p w14:paraId="331CE0D6"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Neattiecas</w:t>
            </w:r>
          </w:p>
        </w:tc>
        <w:tc>
          <w:tcPr>
            <w:tcW w:w="523" w:type="dxa"/>
            <w:tcBorders>
              <w:top w:val="single" w:sz="4" w:space="0" w:color="auto"/>
              <w:left w:val="single" w:sz="4" w:space="0" w:color="auto"/>
              <w:bottom w:val="single" w:sz="4" w:space="0" w:color="auto"/>
              <w:right w:val="single" w:sz="4" w:space="0" w:color="auto"/>
            </w:tcBorders>
            <w:shd w:val="clear" w:color="auto" w:fill="C6EFCE"/>
          </w:tcPr>
          <w:p w14:paraId="75EA535F"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4. cet.</w:t>
            </w:r>
          </w:p>
        </w:tc>
        <w:tc>
          <w:tcPr>
            <w:tcW w:w="568" w:type="dxa"/>
            <w:tcBorders>
              <w:top w:val="single" w:sz="4" w:space="0" w:color="auto"/>
              <w:left w:val="single" w:sz="4" w:space="0" w:color="auto"/>
              <w:bottom w:val="single" w:sz="4" w:space="0" w:color="auto"/>
              <w:right w:val="single" w:sz="4" w:space="0" w:color="auto"/>
            </w:tcBorders>
            <w:shd w:val="clear" w:color="auto" w:fill="C6EFCE"/>
          </w:tcPr>
          <w:p w14:paraId="398D575A"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2023</w:t>
            </w:r>
          </w:p>
        </w:tc>
        <w:tc>
          <w:tcPr>
            <w:tcW w:w="1019" w:type="dxa"/>
            <w:tcBorders>
              <w:top w:val="single" w:sz="4" w:space="0" w:color="auto"/>
              <w:left w:val="single" w:sz="4" w:space="0" w:color="auto"/>
              <w:bottom w:val="single" w:sz="4" w:space="0" w:color="auto"/>
              <w:right w:val="single" w:sz="4" w:space="0" w:color="auto"/>
            </w:tcBorders>
            <w:shd w:val="clear" w:color="auto" w:fill="C6EFCE"/>
          </w:tcPr>
          <w:p w14:paraId="7E5CEAA3"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r w:rsidRPr="008635F8">
              <w:rPr>
                <w:rFonts w:ascii="Times New Roman" w:hAnsi="Times New Roman"/>
                <w:sz w:val="18"/>
                <w:szCs w:val="18"/>
              </w:rPr>
              <w:t>Satiksmes ministrija</w:t>
            </w:r>
          </w:p>
        </w:tc>
        <w:tc>
          <w:tcPr>
            <w:tcW w:w="996" w:type="dxa"/>
            <w:tcBorders>
              <w:top w:val="single" w:sz="4" w:space="0" w:color="auto"/>
              <w:left w:val="single" w:sz="4" w:space="0" w:color="auto"/>
              <w:bottom w:val="single" w:sz="4" w:space="0" w:color="auto"/>
              <w:right w:val="single" w:sz="4" w:space="0" w:color="auto"/>
            </w:tcBorders>
            <w:shd w:val="clear" w:color="auto" w:fill="C6EFCE"/>
          </w:tcPr>
          <w:p w14:paraId="4DA27257"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p>
        </w:tc>
        <w:tc>
          <w:tcPr>
            <w:tcW w:w="1486" w:type="dxa"/>
            <w:tcBorders>
              <w:top w:val="single" w:sz="4" w:space="0" w:color="auto"/>
              <w:left w:val="single" w:sz="4" w:space="0" w:color="auto"/>
              <w:bottom w:val="single" w:sz="4" w:space="0" w:color="auto"/>
              <w:right w:val="single" w:sz="4" w:space="0" w:color="auto"/>
            </w:tcBorders>
            <w:shd w:val="clear" w:color="auto" w:fill="C6EFCE"/>
          </w:tcPr>
          <w:p w14:paraId="6AE294A6" w14:textId="77777777" w:rsidR="00481482" w:rsidRPr="008635F8" w:rsidRDefault="00067A32" w:rsidP="00E147E0">
            <w:pPr>
              <w:widowControl w:val="0"/>
              <w:spacing w:after="0" w:line="240" w:lineRule="auto"/>
              <w:ind w:left="57" w:right="57"/>
              <w:rPr>
                <w:rFonts w:ascii="Times New Roman" w:eastAsiaTheme="minorEastAsia" w:hAnsi="Times New Roman" w:cs="Times New Roman"/>
                <w:noProof/>
                <w:sz w:val="18"/>
                <w:szCs w:val="18"/>
              </w:rPr>
            </w:pPr>
            <w:r w:rsidRPr="008635F8">
              <w:rPr>
                <w:rFonts w:ascii="Times New Roman" w:hAnsi="Times New Roman"/>
                <w:sz w:val="18"/>
                <w:szCs w:val="18"/>
              </w:rPr>
              <w:t>Kopsavilkuma dokuments, kurā pienācīgi pamatots, kā tika apmierinoši sasniegts atskaites punkts (tostarp visi būtiskie elementi), kopā ar atbilstošām saitēm uz pamatojošajiem pierādījumiem.</w:t>
            </w:r>
          </w:p>
          <w:p w14:paraId="481992D0" w14:textId="77777777" w:rsidR="00481482" w:rsidRPr="008635F8" w:rsidRDefault="00067A32" w:rsidP="00E147E0">
            <w:pPr>
              <w:widowControl w:val="0"/>
              <w:spacing w:after="0" w:line="240" w:lineRule="auto"/>
              <w:ind w:left="57" w:right="57"/>
              <w:rPr>
                <w:rFonts w:ascii="Times New Roman" w:eastAsiaTheme="minorEastAsia" w:hAnsi="Times New Roman" w:cs="Times New Roman"/>
                <w:noProof/>
                <w:sz w:val="18"/>
                <w:szCs w:val="18"/>
              </w:rPr>
            </w:pPr>
            <w:r w:rsidRPr="008635F8">
              <w:rPr>
                <w:rFonts w:ascii="Times New Roman" w:hAnsi="Times New Roman"/>
                <w:sz w:val="18"/>
                <w:szCs w:val="18"/>
              </w:rPr>
              <w:t>Šā dokumenta pielikumā iekļauj šādus dokumentārus pierādījumus:</w:t>
            </w:r>
          </w:p>
          <w:p w14:paraId="28D65436" w14:textId="77777777" w:rsidR="00481482" w:rsidRPr="008635F8" w:rsidRDefault="00067A32" w:rsidP="00E147E0">
            <w:pPr>
              <w:widowControl w:val="0"/>
              <w:spacing w:after="0" w:line="240" w:lineRule="auto"/>
              <w:ind w:left="57" w:right="57"/>
              <w:rPr>
                <w:rFonts w:ascii="Times New Roman" w:hAnsi="Times New Roman"/>
                <w:noProof/>
                <w:sz w:val="18"/>
                <w:szCs w:val="18"/>
              </w:rPr>
            </w:pPr>
            <w:r w:rsidRPr="008635F8">
              <w:rPr>
                <w:rFonts w:ascii="Times New Roman" w:hAnsi="Times New Roman"/>
                <w:sz w:val="18"/>
                <w:szCs w:val="18"/>
              </w:rPr>
              <w:t xml:space="preserve">a) Rīgas metropoles areāla sabiedriskā transporta plānošanas koordinācijas darba grupa protokolus un citus tās sagatavotos </w:t>
            </w:r>
            <w:r w:rsidRPr="008635F8">
              <w:rPr>
                <w:rFonts w:ascii="Times New Roman" w:hAnsi="Times New Roman"/>
                <w:sz w:val="18"/>
                <w:szCs w:val="18"/>
              </w:rPr>
              <w:lastRenderedPageBreak/>
              <w:t>stratēģiskos dokumentus;</w:t>
            </w:r>
          </w:p>
          <w:p w14:paraId="10C48198" w14:textId="4177B7E3" w:rsidR="00067A32" w:rsidRPr="008635F8" w:rsidRDefault="00067A32" w:rsidP="00E147E0">
            <w:pPr>
              <w:widowControl w:val="0"/>
              <w:spacing w:after="0" w:line="240" w:lineRule="auto"/>
              <w:ind w:left="57" w:right="57"/>
              <w:rPr>
                <w:rFonts w:ascii="Times New Roman" w:eastAsiaTheme="minorEastAsia" w:hAnsi="Times New Roman" w:cs="Times New Roman"/>
                <w:noProof/>
                <w:sz w:val="18"/>
                <w:szCs w:val="18"/>
              </w:rPr>
            </w:pPr>
            <w:r w:rsidRPr="008635F8">
              <w:rPr>
                <w:rFonts w:ascii="Times New Roman" w:hAnsi="Times New Roman"/>
                <w:sz w:val="18"/>
                <w:szCs w:val="18"/>
              </w:rPr>
              <w:t>b) sabiedriskā transporta plāna kopiju un saiti uz šo plānu, klāt pievienojot kopsavilkuma dokumentu, kurā pienācīgi pamatots, kā tika apmierinoši sasniegts atskaites punkts (tostarp visi būtiskie elementi), kopā ar atbilstošām saitēm uz pamatojošajiem pierādījumiem.</w:t>
            </w:r>
          </w:p>
        </w:tc>
        <w:tc>
          <w:tcPr>
            <w:tcW w:w="1707" w:type="dxa"/>
            <w:tcBorders>
              <w:top w:val="single" w:sz="4" w:space="0" w:color="auto"/>
              <w:left w:val="single" w:sz="4" w:space="0" w:color="auto"/>
              <w:bottom w:val="single" w:sz="4" w:space="0" w:color="auto"/>
              <w:right w:val="single" w:sz="4" w:space="0" w:color="auto"/>
            </w:tcBorders>
            <w:shd w:val="clear" w:color="auto" w:fill="C6EFCE"/>
          </w:tcPr>
          <w:p w14:paraId="5DAC6315" w14:textId="77777777" w:rsidR="00067A32" w:rsidRPr="008635F8" w:rsidRDefault="00067A32" w:rsidP="00E147E0">
            <w:pPr>
              <w:widowControl w:val="0"/>
              <w:spacing w:after="0" w:line="240" w:lineRule="auto"/>
              <w:ind w:left="57" w:right="57"/>
              <w:rPr>
                <w:rFonts w:ascii="Times New Roman" w:eastAsiaTheme="minorEastAsia" w:hAnsi="Times New Roman" w:cs="Times New Roman"/>
                <w:noProof/>
                <w:sz w:val="18"/>
                <w:szCs w:val="18"/>
              </w:rPr>
            </w:pPr>
            <w:r w:rsidRPr="008635F8">
              <w:rPr>
                <w:rFonts w:ascii="Times New Roman" w:hAnsi="Times New Roman"/>
                <w:sz w:val="18"/>
                <w:szCs w:val="18"/>
              </w:rPr>
              <w:lastRenderedPageBreak/>
              <w:t>Vajadzīgo pasākumu pabeigšana, lai ieviestu koordinēto pieeju. Šādi pasākumi citu starpā ir:</w:t>
            </w:r>
          </w:p>
          <w:p w14:paraId="396205AE" w14:textId="77777777" w:rsidR="00067A32" w:rsidRPr="008635F8" w:rsidRDefault="00067A32" w:rsidP="00E147E0">
            <w:pPr>
              <w:widowControl w:val="0"/>
              <w:spacing w:after="0" w:line="240" w:lineRule="auto"/>
              <w:ind w:left="57" w:right="57"/>
              <w:rPr>
                <w:rFonts w:ascii="Times New Roman" w:eastAsiaTheme="minorEastAsia" w:hAnsi="Times New Roman" w:cs="Times New Roman"/>
                <w:noProof/>
                <w:sz w:val="18"/>
                <w:szCs w:val="18"/>
              </w:rPr>
            </w:pPr>
            <w:r w:rsidRPr="008635F8">
              <w:rPr>
                <w:rFonts w:ascii="Times New Roman" w:hAnsi="Times New Roman"/>
                <w:sz w:val="18"/>
                <w:szCs w:val="18"/>
              </w:rPr>
              <w:t>— darba grupas izveide Rīgas metropoles areāla sabiedriskā transporta plānošanas koordinācijai;</w:t>
            </w:r>
          </w:p>
          <w:p w14:paraId="0080B104" w14:textId="77777777" w:rsidR="00067A32" w:rsidRPr="008635F8" w:rsidRDefault="00067A32" w:rsidP="00E147E0">
            <w:pPr>
              <w:widowControl w:val="0"/>
              <w:spacing w:after="0" w:line="240" w:lineRule="auto"/>
              <w:ind w:left="57" w:right="57"/>
              <w:rPr>
                <w:rFonts w:ascii="Times New Roman" w:eastAsiaTheme="minorEastAsia" w:hAnsi="Times New Roman" w:cs="Times New Roman"/>
                <w:noProof/>
                <w:sz w:val="18"/>
                <w:szCs w:val="18"/>
              </w:rPr>
            </w:pPr>
            <w:r w:rsidRPr="008635F8">
              <w:rPr>
                <w:rFonts w:ascii="Times New Roman" w:hAnsi="Times New Roman"/>
                <w:sz w:val="18"/>
                <w:szCs w:val="18"/>
              </w:rPr>
              <w:t>— Rīgas metropoles areāla sabiedriskā transporta plāna pieņemšana atbilstoši pasažieru pārvadājumu pa dzelzceļu attīstībai Latvijā.</w:t>
            </w:r>
          </w:p>
        </w:tc>
      </w:tr>
      <w:tr w:rsidR="0041037D" w:rsidRPr="008635F8" w14:paraId="29FFDCB1" w14:textId="77777777" w:rsidTr="0044659E">
        <w:trPr>
          <w:trHeight w:val="1200"/>
        </w:trPr>
        <w:tc>
          <w:tcPr>
            <w:tcW w:w="280" w:type="dxa"/>
            <w:tcBorders>
              <w:top w:val="single" w:sz="4" w:space="0" w:color="auto"/>
              <w:left w:val="single" w:sz="4" w:space="0" w:color="auto"/>
              <w:bottom w:val="single" w:sz="4" w:space="0" w:color="auto"/>
              <w:right w:val="single" w:sz="4" w:space="0" w:color="auto"/>
            </w:tcBorders>
            <w:shd w:val="clear" w:color="auto" w:fill="C6EFCE"/>
          </w:tcPr>
          <w:p w14:paraId="6010651B"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2</w:t>
            </w:r>
          </w:p>
        </w:tc>
        <w:tc>
          <w:tcPr>
            <w:tcW w:w="1416" w:type="dxa"/>
            <w:tcBorders>
              <w:top w:val="single" w:sz="4" w:space="0" w:color="auto"/>
              <w:left w:val="single" w:sz="4" w:space="0" w:color="auto"/>
              <w:bottom w:val="single" w:sz="4" w:space="0" w:color="auto"/>
              <w:right w:val="single" w:sz="4" w:space="0" w:color="auto"/>
            </w:tcBorders>
            <w:shd w:val="clear" w:color="auto" w:fill="C6EFCE"/>
          </w:tcPr>
          <w:p w14:paraId="7003A209"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b/>
                <w:bCs/>
                <w:noProof/>
                <w:sz w:val="18"/>
                <w:szCs w:val="18"/>
              </w:rPr>
            </w:pPr>
            <w:r w:rsidRPr="008635F8">
              <w:rPr>
                <w:rFonts w:ascii="Times New Roman" w:hAnsi="Times New Roman"/>
                <w:b/>
                <w:sz w:val="18"/>
                <w:szCs w:val="18"/>
              </w:rPr>
              <w:t>1.1.1.r. Rīgas metropoles areāla transporta sistēmas zaļināšana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66C1C51"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Atskaites punkts</w:t>
            </w:r>
          </w:p>
        </w:tc>
        <w:tc>
          <w:tcPr>
            <w:tcW w:w="1100" w:type="dxa"/>
            <w:tcBorders>
              <w:top w:val="single" w:sz="4" w:space="0" w:color="auto"/>
              <w:left w:val="single" w:sz="4" w:space="0" w:color="auto"/>
              <w:bottom w:val="single" w:sz="4" w:space="0" w:color="auto"/>
              <w:right w:val="single" w:sz="4" w:space="0" w:color="auto"/>
            </w:tcBorders>
            <w:shd w:val="clear" w:color="auto" w:fill="C6EFCE"/>
          </w:tcPr>
          <w:p w14:paraId="0C8742BE"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Sabiedriskā transporta reforma Rīgas metropoles areālā (RMA)</w:t>
            </w:r>
          </w:p>
        </w:tc>
        <w:tc>
          <w:tcPr>
            <w:tcW w:w="1595" w:type="dxa"/>
            <w:tcBorders>
              <w:top w:val="single" w:sz="4" w:space="0" w:color="auto"/>
              <w:left w:val="single" w:sz="4" w:space="0" w:color="auto"/>
              <w:bottom w:val="single" w:sz="4" w:space="0" w:color="auto"/>
              <w:right w:val="single" w:sz="4" w:space="0" w:color="auto"/>
            </w:tcBorders>
            <w:shd w:val="clear" w:color="auto" w:fill="C6EFCE"/>
          </w:tcPr>
          <w:p w14:paraId="3C183B68"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 xml:space="preserve">Viena multimodāla sabiedriskā transporta maršruta tīkla Rīgas metropoles areālā izveide </w:t>
            </w:r>
          </w:p>
        </w:tc>
        <w:tc>
          <w:tcPr>
            <w:tcW w:w="991" w:type="dxa"/>
            <w:tcBorders>
              <w:top w:val="single" w:sz="4" w:space="0" w:color="auto"/>
              <w:left w:val="single" w:sz="4" w:space="0" w:color="auto"/>
              <w:bottom w:val="single" w:sz="4" w:space="0" w:color="auto"/>
              <w:right w:val="single" w:sz="4" w:space="0" w:color="auto"/>
            </w:tcBorders>
            <w:shd w:val="clear" w:color="auto" w:fill="C6EFCE"/>
          </w:tcPr>
          <w:p w14:paraId="08ABCA18"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Neattiecas</w:t>
            </w:r>
          </w:p>
        </w:tc>
        <w:tc>
          <w:tcPr>
            <w:tcW w:w="535" w:type="dxa"/>
            <w:tcBorders>
              <w:top w:val="single" w:sz="4" w:space="0" w:color="auto"/>
              <w:left w:val="single" w:sz="4" w:space="0" w:color="auto"/>
              <w:bottom w:val="single" w:sz="4" w:space="0" w:color="auto"/>
              <w:right w:val="single" w:sz="4" w:space="0" w:color="auto"/>
            </w:tcBorders>
            <w:shd w:val="clear" w:color="auto" w:fill="C6EFCE"/>
          </w:tcPr>
          <w:p w14:paraId="4174AEDE"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Neattiecas</w:t>
            </w:r>
          </w:p>
        </w:tc>
        <w:tc>
          <w:tcPr>
            <w:tcW w:w="926" w:type="dxa"/>
            <w:tcBorders>
              <w:top w:val="single" w:sz="4" w:space="0" w:color="auto"/>
              <w:left w:val="single" w:sz="4" w:space="0" w:color="auto"/>
              <w:bottom w:val="single" w:sz="4" w:space="0" w:color="auto"/>
              <w:right w:val="single" w:sz="4" w:space="0" w:color="auto"/>
            </w:tcBorders>
            <w:shd w:val="clear" w:color="auto" w:fill="C6EFCE"/>
          </w:tcPr>
          <w:p w14:paraId="346564AC"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Neattiecas</w:t>
            </w:r>
          </w:p>
        </w:tc>
        <w:tc>
          <w:tcPr>
            <w:tcW w:w="523" w:type="dxa"/>
            <w:tcBorders>
              <w:top w:val="single" w:sz="4" w:space="0" w:color="auto"/>
              <w:left w:val="single" w:sz="4" w:space="0" w:color="auto"/>
              <w:bottom w:val="single" w:sz="4" w:space="0" w:color="auto"/>
              <w:right w:val="single" w:sz="4" w:space="0" w:color="auto"/>
            </w:tcBorders>
            <w:shd w:val="clear" w:color="auto" w:fill="C6EFCE"/>
          </w:tcPr>
          <w:p w14:paraId="30D3F526"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4. cet.</w:t>
            </w:r>
          </w:p>
        </w:tc>
        <w:tc>
          <w:tcPr>
            <w:tcW w:w="568" w:type="dxa"/>
            <w:tcBorders>
              <w:top w:val="single" w:sz="4" w:space="0" w:color="auto"/>
              <w:left w:val="single" w:sz="4" w:space="0" w:color="auto"/>
              <w:bottom w:val="single" w:sz="4" w:space="0" w:color="auto"/>
              <w:right w:val="single" w:sz="4" w:space="0" w:color="auto"/>
            </w:tcBorders>
            <w:shd w:val="clear" w:color="auto" w:fill="C6EFCE"/>
          </w:tcPr>
          <w:p w14:paraId="4E708467"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2025</w:t>
            </w:r>
          </w:p>
        </w:tc>
        <w:tc>
          <w:tcPr>
            <w:tcW w:w="1019" w:type="dxa"/>
            <w:tcBorders>
              <w:top w:val="single" w:sz="4" w:space="0" w:color="auto"/>
              <w:left w:val="single" w:sz="4" w:space="0" w:color="auto"/>
              <w:bottom w:val="single" w:sz="4" w:space="0" w:color="auto"/>
              <w:right w:val="single" w:sz="4" w:space="0" w:color="auto"/>
            </w:tcBorders>
            <w:shd w:val="clear" w:color="auto" w:fill="C6EFCE"/>
          </w:tcPr>
          <w:p w14:paraId="4D9435D7"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r w:rsidRPr="008635F8">
              <w:rPr>
                <w:rFonts w:ascii="Times New Roman" w:hAnsi="Times New Roman"/>
                <w:sz w:val="18"/>
                <w:szCs w:val="18"/>
              </w:rPr>
              <w:t>Satiksmes ministrija</w:t>
            </w:r>
          </w:p>
        </w:tc>
        <w:tc>
          <w:tcPr>
            <w:tcW w:w="996" w:type="dxa"/>
            <w:tcBorders>
              <w:top w:val="single" w:sz="4" w:space="0" w:color="auto"/>
              <w:left w:val="single" w:sz="4" w:space="0" w:color="auto"/>
              <w:bottom w:val="single" w:sz="4" w:space="0" w:color="auto"/>
              <w:right w:val="single" w:sz="4" w:space="0" w:color="auto"/>
            </w:tcBorders>
            <w:shd w:val="clear" w:color="auto" w:fill="C6EFCE"/>
          </w:tcPr>
          <w:p w14:paraId="49E24B74"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p>
        </w:tc>
        <w:tc>
          <w:tcPr>
            <w:tcW w:w="1486" w:type="dxa"/>
            <w:tcBorders>
              <w:top w:val="single" w:sz="4" w:space="0" w:color="auto"/>
              <w:left w:val="single" w:sz="4" w:space="0" w:color="auto"/>
              <w:bottom w:val="single" w:sz="4" w:space="0" w:color="auto"/>
              <w:right w:val="single" w:sz="4" w:space="0" w:color="auto"/>
            </w:tcBorders>
            <w:shd w:val="clear" w:color="auto" w:fill="C6EFCE"/>
          </w:tcPr>
          <w:p w14:paraId="09756C86" w14:textId="77777777" w:rsidR="00067A32" w:rsidRPr="008635F8" w:rsidRDefault="00067A32" w:rsidP="00E147E0">
            <w:pPr>
              <w:widowControl w:val="0"/>
              <w:spacing w:after="0" w:line="240" w:lineRule="auto"/>
              <w:ind w:left="57" w:right="57"/>
              <w:rPr>
                <w:rFonts w:ascii="Times New Roman" w:hAnsi="Times New Roman"/>
                <w:noProof/>
                <w:sz w:val="18"/>
                <w:szCs w:val="18"/>
              </w:rPr>
            </w:pPr>
            <w:r w:rsidRPr="008635F8">
              <w:rPr>
                <w:rFonts w:ascii="Times New Roman" w:hAnsi="Times New Roman"/>
                <w:sz w:val="18"/>
                <w:szCs w:val="18"/>
              </w:rPr>
              <w:t>Kopsavilkuma dokuments, kurā pienācīgi pamatots, kā tika apmierinoši sasniegts atskaites punkts (tostarp visi būtiskie elementi), kopā ar atbilstošām saitēm uz pamatojošajiem pierādījumiem.</w:t>
            </w:r>
          </w:p>
          <w:p w14:paraId="1348644B" w14:textId="77777777" w:rsidR="0048148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 xml:space="preserve">Šā dokumenta pielikumā iekļauj šādus dokumentārus </w:t>
            </w:r>
            <w:r w:rsidRPr="008635F8">
              <w:rPr>
                <w:rFonts w:ascii="Times New Roman" w:hAnsi="Times New Roman"/>
                <w:sz w:val="18"/>
                <w:szCs w:val="18"/>
              </w:rPr>
              <w:lastRenderedPageBreak/>
              <w:t>pierādījumus:</w:t>
            </w:r>
          </w:p>
          <w:p w14:paraId="040C960E" w14:textId="7B269C55" w:rsidR="00067A32" w:rsidRPr="008635F8" w:rsidRDefault="00067A32" w:rsidP="00E147E0">
            <w:pPr>
              <w:widowControl w:val="0"/>
              <w:spacing w:after="0" w:line="240" w:lineRule="auto"/>
              <w:ind w:left="57" w:right="57"/>
              <w:rPr>
                <w:rFonts w:ascii="Times New Roman" w:hAnsi="Times New Roman"/>
                <w:noProof/>
                <w:sz w:val="18"/>
                <w:szCs w:val="18"/>
              </w:rPr>
            </w:pPr>
            <w:r w:rsidRPr="008635F8">
              <w:rPr>
                <w:rFonts w:ascii="Times New Roman" w:hAnsi="Times New Roman"/>
                <w:sz w:val="18"/>
                <w:szCs w:val="18"/>
              </w:rPr>
              <w:t>a) vienotu, saskaņotu Rīgas metropoles areāla transporta kustības grafiku, ko apstiprinājušas iestādes, kas atbild par sabiedriskā transporta pasūtīšanu;</w:t>
            </w:r>
          </w:p>
          <w:p w14:paraId="71E5435E" w14:textId="77777777" w:rsidR="00067A3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b) dokumentu, kurā izklāstīta vienota cenu un atlaižu politika, piemēram, lietošanas pamācību / pasažiera rokasgrāmatu;</w:t>
            </w:r>
          </w:p>
          <w:p w14:paraId="03565467" w14:textId="77777777" w:rsidR="00067A3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c) Rīgas metropoles areāla integrētās sabiedriskā transporta sistēmas vienotās biļetes paraugu.</w:t>
            </w:r>
          </w:p>
        </w:tc>
        <w:tc>
          <w:tcPr>
            <w:tcW w:w="1707" w:type="dxa"/>
            <w:tcBorders>
              <w:top w:val="single" w:sz="4" w:space="0" w:color="auto"/>
              <w:left w:val="single" w:sz="4" w:space="0" w:color="auto"/>
              <w:bottom w:val="single" w:sz="4" w:space="0" w:color="auto"/>
              <w:right w:val="single" w:sz="4" w:space="0" w:color="auto"/>
            </w:tcBorders>
            <w:shd w:val="clear" w:color="auto" w:fill="C6EFCE"/>
          </w:tcPr>
          <w:p w14:paraId="21F0B296" w14:textId="77777777" w:rsidR="00067A32" w:rsidRPr="008635F8" w:rsidRDefault="00067A32" w:rsidP="00E147E0">
            <w:pPr>
              <w:widowControl w:val="0"/>
              <w:spacing w:after="0" w:line="240" w:lineRule="auto"/>
              <w:ind w:left="57" w:right="57"/>
              <w:rPr>
                <w:rFonts w:ascii="Times New Roman" w:eastAsiaTheme="minorEastAsia" w:hAnsi="Times New Roman" w:cs="Times New Roman"/>
                <w:noProof/>
                <w:sz w:val="18"/>
                <w:szCs w:val="18"/>
              </w:rPr>
            </w:pPr>
            <w:r w:rsidRPr="008635F8">
              <w:rPr>
                <w:rFonts w:ascii="Times New Roman" w:hAnsi="Times New Roman"/>
                <w:sz w:val="18"/>
                <w:szCs w:val="18"/>
              </w:rPr>
              <w:lastRenderedPageBreak/>
              <w:t>Multimodāla sabiedriskā transporta maršruta tīkla Rīgas metropoles areālā izveide ar vienotu, saskaņotu kustības grafiku, vienotu cenu un atlaižu politiku un vienotu biļeti integrētā sabiedriskā transporta sistēmā Rīgas metropoles areālā.</w:t>
            </w:r>
          </w:p>
        </w:tc>
      </w:tr>
      <w:tr w:rsidR="0041037D" w:rsidRPr="008635F8" w14:paraId="53FC9BDA" w14:textId="77777777" w:rsidTr="0044659E">
        <w:trPr>
          <w:trHeight w:val="5019"/>
        </w:trPr>
        <w:tc>
          <w:tcPr>
            <w:tcW w:w="280" w:type="dxa"/>
            <w:tcBorders>
              <w:top w:val="single" w:sz="4" w:space="0" w:color="auto"/>
              <w:left w:val="single" w:sz="4" w:space="0" w:color="auto"/>
              <w:bottom w:val="single" w:sz="4" w:space="0" w:color="auto"/>
              <w:right w:val="single" w:sz="4" w:space="0" w:color="auto"/>
            </w:tcBorders>
            <w:shd w:val="clear" w:color="auto" w:fill="C6EFCE"/>
          </w:tcPr>
          <w:p w14:paraId="57C22E9E"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lastRenderedPageBreak/>
              <w:t>3</w:t>
            </w:r>
          </w:p>
        </w:tc>
        <w:tc>
          <w:tcPr>
            <w:tcW w:w="1416" w:type="dxa"/>
            <w:tcBorders>
              <w:top w:val="single" w:sz="4" w:space="0" w:color="auto"/>
              <w:left w:val="single" w:sz="4" w:space="0" w:color="auto"/>
              <w:bottom w:val="single" w:sz="4" w:space="0" w:color="auto"/>
              <w:right w:val="single" w:sz="4" w:space="0" w:color="auto"/>
            </w:tcBorders>
            <w:shd w:val="clear" w:color="auto" w:fill="C6EFCE"/>
          </w:tcPr>
          <w:p w14:paraId="4F8345B4"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b/>
                <w:bCs/>
                <w:noProof/>
                <w:sz w:val="18"/>
                <w:szCs w:val="18"/>
              </w:rPr>
            </w:pPr>
            <w:r w:rsidRPr="008635F8">
              <w:rPr>
                <w:rFonts w:ascii="Times New Roman" w:hAnsi="Times New Roman"/>
                <w:b/>
                <w:sz w:val="18"/>
                <w:szCs w:val="18"/>
              </w:rPr>
              <w:t>1.1.1.i. Rīgas metropoles transporta infrastruktūras uzlabošana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A15F037"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Mērķis</w:t>
            </w:r>
          </w:p>
        </w:tc>
        <w:tc>
          <w:tcPr>
            <w:tcW w:w="1100" w:type="dxa"/>
            <w:tcBorders>
              <w:top w:val="single" w:sz="4" w:space="0" w:color="auto"/>
              <w:left w:val="single" w:sz="4" w:space="0" w:color="auto"/>
              <w:bottom w:val="single" w:sz="4" w:space="0" w:color="auto"/>
              <w:right w:val="single" w:sz="4" w:space="0" w:color="auto"/>
            </w:tcBorders>
            <w:shd w:val="clear" w:color="auto" w:fill="C6EFCE"/>
          </w:tcPr>
          <w:p w14:paraId="36AD686A"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Izveidoto elektrificēto dzelzceļa līniju un modernizēto esošo dzelzceļa līniju garums pasažieru pārvadāšanai</w:t>
            </w:r>
          </w:p>
        </w:tc>
        <w:tc>
          <w:tcPr>
            <w:tcW w:w="1595" w:type="dxa"/>
            <w:tcBorders>
              <w:top w:val="single" w:sz="4" w:space="0" w:color="auto"/>
              <w:left w:val="single" w:sz="4" w:space="0" w:color="auto"/>
              <w:bottom w:val="single" w:sz="4" w:space="0" w:color="auto"/>
              <w:right w:val="single" w:sz="4" w:space="0" w:color="auto"/>
            </w:tcBorders>
            <w:shd w:val="clear" w:color="auto" w:fill="C6EFCE"/>
          </w:tcPr>
          <w:p w14:paraId="358B7CDB"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C6EFCE"/>
          </w:tcPr>
          <w:p w14:paraId="4341A8F0"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km</w:t>
            </w:r>
          </w:p>
        </w:tc>
        <w:tc>
          <w:tcPr>
            <w:tcW w:w="535" w:type="dxa"/>
            <w:tcBorders>
              <w:top w:val="single" w:sz="4" w:space="0" w:color="auto"/>
              <w:left w:val="single" w:sz="4" w:space="0" w:color="auto"/>
              <w:bottom w:val="single" w:sz="4" w:space="0" w:color="auto"/>
              <w:right w:val="single" w:sz="4" w:space="0" w:color="auto"/>
            </w:tcBorders>
            <w:shd w:val="clear" w:color="auto" w:fill="C6EFCE"/>
          </w:tcPr>
          <w:p w14:paraId="48FACEB0"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0</w:t>
            </w:r>
          </w:p>
        </w:tc>
        <w:tc>
          <w:tcPr>
            <w:tcW w:w="926" w:type="dxa"/>
            <w:tcBorders>
              <w:top w:val="single" w:sz="4" w:space="0" w:color="auto"/>
              <w:left w:val="single" w:sz="4" w:space="0" w:color="auto"/>
              <w:bottom w:val="single" w:sz="4" w:space="0" w:color="auto"/>
              <w:right w:val="single" w:sz="4" w:space="0" w:color="auto"/>
            </w:tcBorders>
            <w:shd w:val="clear" w:color="auto" w:fill="C6EFCE"/>
          </w:tcPr>
          <w:p w14:paraId="58D80510"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100</w:t>
            </w:r>
          </w:p>
        </w:tc>
        <w:tc>
          <w:tcPr>
            <w:tcW w:w="523" w:type="dxa"/>
            <w:tcBorders>
              <w:top w:val="single" w:sz="4" w:space="0" w:color="auto"/>
              <w:left w:val="single" w:sz="4" w:space="0" w:color="auto"/>
              <w:bottom w:val="single" w:sz="4" w:space="0" w:color="auto"/>
              <w:right w:val="single" w:sz="4" w:space="0" w:color="auto"/>
            </w:tcBorders>
            <w:shd w:val="clear" w:color="auto" w:fill="C6EFCE"/>
          </w:tcPr>
          <w:p w14:paraId="72470975"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1. cet.</w:t>
            </w:r>
          </w:p>
        </w:tc>
        <w:tc>
          <w:tcPr>
            <w:tcW w:w="568" w:type="dxa"/>
            <w:tcBorders>
              <w:top w:val="single" w:sz="4" w:space="0" w:color="auto"/>
              <w:left w:val="single" w:sz="4" w:space="0" w:color="auto"/>
              <w:bottom w:val="single" w:sz="4" w:space="0" w:color="auto"/>
              <w:right w:val="single" w:sz="4" w:space="0" w:color="auto"/>
            </w:tcBorders>
            <w:shd w:val="clear" w:color="auto" w:fill="C6EFCE"/>
          </w:tcPr>
          <w:p w14:paraId="2A42B4C2"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2026</w:t>
            </w:r>
          </w:p>
        </w:tc>
        <w:tc>
          <w:tcPr>
            <w:tcW w:w="1019" w:type="dxa"/>
            <w:tcBorders>
              <w:top w:val="single" w:sz="4" w:space="0" w:color="auto"/>
              <w:left w:val="single" w:sz="4" w:space="0" w:color="auto"/>
              <w:bottom w:val="single" w:sz="4" w:space="0" w:color="auto"/>
              <w:right w:val="single" w:sz="4" w:space="0" w:color="auto"/>
            </w:tcBorders>
            <w:shd w:val="clear" w:color="auto" w:fill="C6EFCE"/>
          </w:tcPr>
          <w:p w14:paraId="5C1D35A4"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r w:rsidRPr="008635F8">
              <w:rPr>
                <w:rFonts w:ascii="Times New Roman" w:hAnsi="Times New Roman"/>
                <w:sz w:val="18"/>
                <w:szCs w:val="18"/>
              </w:rPr>
              <w:t>Satiksmes ministrija</w:t>
            </w:r>
          </w:p>
        </w:tc>
        <w:tc>
          <w:tcPr>
            <w:tcW w:w="996" w:type="dxa"/>
            <w:tcBorders>
              <w:top w:val="single" w:sz="4" w:space="0" w:color="auto"/>
              <w:left w:val="single" w:sz="4" w:space="0" w:color="auto"/>
              <w:bottom w:val="single" w:sz="4" w:space="0" w:color="auto"/>
              <w:right w:val="single" w:sz="4" w:space="0" w:color="auto"/>
            </w:tcBorders>
            <w:shd w:val="clear" w:color="auto" w:fill="C6EFCE"/>
          </w:tcPr>
          <w:p w14:paraId="679FB323"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p>
        </w:tc>
        <w:tc>
          <w:tcPr>
            <w:tcW w:w="1486" w:type="dxa"/>
            <w:tcBorders>
              <w:top w:val="single" w:sz="4" w:space="0" w:color="auto"/>
              <w:left w:val="single" w:sz="4" w:space="0" w:color="auto"/>
              <w:bottom w:val="single" w:sz="4" w:space="0" w:color="auto"/>
              <w:right w:val="single" w:sz="4" w:space="0" w:color="auto"/>
            </w:tcBorders>
            <w:shd w:val="clear" w:color="auto" w:fill="C6EFCE"/>
          </w:tcPr>
          <w:p w14:paraId="7227E279" w14:textId="77777777" w:rsidR="0048148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Kopsavilkuma dokuments, kurā pienācīgi pamatots, kā tika apmierinoši sasniegts mērķis (tostarp visi būtiskie elementi), kopā ar atbilstošām saitēm uz pamatojošajiem pierādījumiem.</w:t>
            </w:r>
          </w:p>
          <w:p w14:paraId="72228CFF" w14:textId="4C5BA077" w:rsidR="00067A3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Šā dokumenta pielikumā iekļauj sarakstu, kurā norādīti visi projekti, kam piešķirts finansējums šajā pasākumā, tostarp sniegta šāda informācija:</w:t>
            </w:r>
          </w:p>
          <w:p w14:paraId="1567C8BA" w14:textId="77777777" w:rsidR="0048148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a) to devums no jauna izveidoto un/vai modernizēto elektrificēto dzelzceļa līniju garuma ziņā;</w:t>
            </w:r>
          </w:p>
          <w:p w14:paraId="6484AF71" w14:textId="77777777" w:rsidR="0048148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b) projekta apraksts un</w:t>
            </w:r>
          </w:p>
          <w:p w14:paraId="1C22547A" w14:textId="77777777" w:rsidR="0048148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c) projektu kategorija, kā noteikts mērķī, t. i.:</w:t>
            </w:r>
          </w:p>
          <w:p w14:paraId="75845F8A" w14:textId="5319A83E" w:rsidR="00067A32" w:rsidRPr="008635F8" w:rsidRDefault="00067A32" w:rsidP="009335AE">
            <w:pPr>
              <w:widowControl w:val="0"/>
              <w:spacing w:after="0" w:line="240" w:lineRule="auto"/>
              <w:ind w:left="57" w:right="57"/>
              <w:rPr>
                <w:rFonts w:ascii="Times New Roman" w:hAnsi="Times New Roman"/>
                <w:noProof/>
                <w:sz w:val="18"/>
                <w:szCs w:val="18"/>
              </w:rPr>
            </w:pPr>
            <w:r w:rsidRPr="008635F8">
              <w:rPr>
                <w:rFonts w:ascii="Times New Roman" w:hAnsi="Times New Roman"/>
                <w:sz w:val="18"/>
                <w:szCs w:val="18"/>
              </w:rPr>
              <w:t xml:space="preserve">elektrifikācija </w:t>
            </w:r>
            <w:r w:rsidRPr="008635F8">
              <w:rPr>
                <w:rFonts w:ascii="Times New Roman" w:hAnsi="Times New Roman"/>
                <w:sz w:val="18"/>
                <w:szCs w:val="18"/>
              </w:rPr>
              <w:lastRenderedPageBreak/>
              <w:t>(kontakttīkla maiņa pārejai uz 25 kV elektrifikācijas sistēmu, elektrificēto līniju kopējā garuma palielināšana), saistītās darbības (esošo vilcienu satiksmes vadības sistēmu un signalizācijas sistēmu (</w:t>
            </w:r>
            <w:r w:rsidRPr="008635F8">
              <w:rPr>
                <w:rFonts w:ascii="Times New Roman" w:hAnsi="Times New Roman"/>
                <w:i/>
                <w:iCs/>
                <w:sz w:val="18"/>
                <w:szCs w:val="18"/>
              </w:rPr>
              <w:t>SCB</w:t>
            </w:r>
            <w:r w:rsidRPr="008635F8">
              <w:rPr>
                <w:rFonts w:ascii="Times New Roman" w:hAnsi="Times New Roman"/>
                <w:sz w:val="18"/>
                <w:szCs w:val="18"/>
              </w:rPr>
              <w:t xml:space="preserve">) atjaunošana, ceļu pārvadu un tiltu atjaunošana (t. sk. pārāk lielu inženierbūvju būvniecības novēršana), </w:t>
            </w:r>
            <w:r w:rsidRPr="008635F8">
              <w:rPr>
                <w:rFonts w:ascii="Times New Roman" w:hAnsi="Times New Roman"/>
                <w:i/>
                <w:iCs/>
                <w:sz w:val="18"/>
                <w:szCs w:val="18"/>
              </w:rPr>
              <w:t>SCADA</w:t>
            </w:r>
            <w:r w:rsidRPr="008635F8">
              <w:rPr>
                <w:rFonts w:ascii="Times New Roman" w:hAnsi="Times New Roman"/>
                <w:sz w:val="18"/>
                <w:szCs w:val="18"/>
              </w:rPr>
              <w:t xml:space="preserve"> un telekomunikāciju līniju un sistēmu izbūve, kabeļu un kabeļu sadalītāju atjaunošana vai nomaiņa vidēja sprieguma un augstsprieguma līnijās u. c.).</w:t>
            </w:r>
          </w:p>
        </w:tc>
        <w:tc>
          <w:tcPr>
            <w:tcW w:w="1707" w:type="dxa"/>
            <w:tcBorders>
              <w:top w:val="single" w:sz="4" w:space="0" w:color="auto"/>
              <w:left w:val="single" w:sz="4" w:space="0" w:color="auto"/>
              <w:bottom w:val="single" w:sz="4" w:space="0" w:color="auto"/>
              <w:right w:val="single" w:sz="4" w:space="0" w:color="auto"/>
            </w:tcBorders>
            <w:shd w:val="clear" w:color="auto" w:fill="C6EFCE"/>
          </w:tcPr>
          <w:p w14:paraId="72522259" w14:textId="77777777" w:rsidR="00067A32" w:rsidRPr="008635F8" w:rsidRDefault="00067A32" w:rsidP="00E147E0">
            <w:pPr>
              <w:widowControl w:val="0"/>
              <w:spacing w:after="0" w:line="240" w:lineRule="auto"/>
              <w:ind w:left="57" w:right="57"/>
              <w:rPr>
                <w:rFonts w:ascii="Times New Roman" w:eastAsiaTheme="minorEastAsia" w:hAnsi="Times New Roman" w:cs="Times New Roman"/>
                <w:noProof/>
                <w:sz w:val="18"/>
                <w:szCs w:val="18"/>
              </w:rPr>
            </w:pPr>
            <w:r w:rsidRPr="008635F8">
              <w:rPr>
                <w:rFonts w:ascii="Times New Roman" w:hAnsi="Times New Roman"/>
                <w:sz w:val="18"/>
                <w:szCs w:val="18"/>
              </w:rPr>
              <w:lastRenderedPageBreak/>
              <w:t>Elektrifikācija (kontakttīkla maiņa pārejai uz 25 kV elektrifikācijas sistēmu, elektrificēto līniju kopējā garuma palielināšana) un saistītās darbības (elektrisko sliežu ceļa posmu būvniecība, signalizācijas sistēmu pielāgošana).</w:t>
            </w:r>
          </w:p>
        </w:tc>
      </w:tr>
      <w:tr w:rsidR="0041037D" w:rsidRPr="008635F8" w14:paraId="5E6D78EF" w14:textId="77777777" w:rsidTr="0044659E">
        <w:trPr>
          <w:trHeight w:val="1200"/>
        </w:trPr>
        <w:tc>
          <w:tcPr>
            <w:tcW w:w="280" w:type="dxa"/>
            <w:tcBorders>
              <w:top w:val="single" w:sz="4" w:space="0" w:color="auto"/>
              <w:left w:val="single" w:sz="4" w:space="0" w:color="auto"/>
              <w:bottom w:val="single" w:sz="4" w:space="0" w:color="auto"/>
              <w:right w:val="single" w:sz="4" w:space="0" w:color="auto"/>
            </w:tcBorders>
            <w:shd w:val="clear" w:color="auto" w:fill="C6EFCE"/>
          </w:tcPr>
          <w:p w14:paraId="1CF3ED36"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4</w:t>
            </w:r>
          </w:p>
        </w:tc>
        <w:tc>
          <w:tcPr>
            <w:tcW w:w="1416" w:type="dxa"/>
            <w:tcBorders>
              <w:top w:val="single" w:sz="4" w:space="0" w:color="auto"/>
              <w:left w:val="single" w:sz="4" w:space="0" w:color="auto"/>
              <w:bottom w:val="single" w:sz="4" w:space="0" w:color="auto"/>
              <w:right w:val="single" w:sz="4" w:space="0" w:color="auto"/>
            </w:tcBorders>
            <w:shd w:val="clear" w:color="auto" w:fill="C6EFCE"/>
          </w:tcPr>
          <w:p w14:paraId="54E0037D"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b/>
                <w:bCs/>
                <w:noProof/>
                <w:sz w:val="18"/>
                <w:szCs w:val="18"/>
              </w:rPr>
            </w:pPr>
            <w:r w:rsidRPr="008635F8">
              <w:rPr>
                <w:rFonts w:ascii="Times New Roman" w:hAnsi="Times New Roman"/>
                <w:b/>
                <w:sz w:val="18"/>
                <w:szCs w:val="18"/>
              </w:rPr>
              <w:t>1.1.1.i. Rīgas metropoles transporta infrastruktūras uzlabošana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30F2A834"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Atskaites punkts</w:t>
            </w:r>
          </w:p>
        </w:tc>
        <w:tc>
          <w:tcPr>
            <w:tcW w:w="1100" w:type="dxa"/>
            <w:tcBorders>
              <w:top w:val="single" w:sz="4" w:space="0" w:color="auto"/>
              <w:left w:val="single" w:sz="4" w:space="0" w:color="auto"/>
              <w:bottom w:val="single" w:sz="4" w:space="0" w:color="auto"/>
              <w:right w:val="single" w:sz="4" w:space="0" w:color="auto"/>
            </w:tcBorders>
            <w:shd w:val="clear" w:color="auto" w:fill="C6EFCE"/>
          </w:tcPr>
          <w:p w14:paraId="682BABE7"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Līgumu par Rīgas Centrālās dzelzceļa stacijas modernizāci</w:t>
            </w:r>
            <w:r w:rsidRPr="008635F8">
              <w:rPr>
                <w:rFonts w:ascii="Times New Roman" w:hAnsi="Times New Roman"/>
                <w:sz w:val="18"/>
                <w:szCs w:val="18"/>
              </w:rPr>
              <w:lastRenderedPageBreak/>
              <w:t>ju parakstīšana</w:t>
            </w:r>
          </w:p>
        </w:tc>
        <w:tc>
          <w:tcPr>
            <w:tcW w:w="1595" w:type="dxa"/>
            <w:tcBorders>
              <w:top w:val="single" w:sz="4" w:space="0" w:color="auto"/>
              <w:left w:val="single" w:sz="4" w:space="0" w:color="auto"/>
              <w:bottom w:val="single" w:sz="4" w:space="0" w:color="auto"/>
              <w:right w:val="single" w:sz="4" w:space="0" w:color="auto"/>
            </w:tcBorders>
            <w:shd w:val="clear" w:color="auto" w:fill="C6EFCE"/>
          </w:tcPr>
          <w:p w14:paraId="6E6EB507"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lastRenderedPageBreak/>
              <w:t>Parakstīti līgumi</w:t>
            </w:r>
          </w:p>
        </w:tc>
        <w:tc>
          <w:tcPr>
            <w:tcW w:w="991" w:type="dxa"/>
            <w:tcBorders>
              <w:top w:val="single" w:sz="4" w:space="0" w:color="auto"/>
              <w:left w:val="single" w:sz="4" w:space="0" w:color="auto"/>
              <w:bottom w:val="single" w:sz="4" w:space="0" w:color="auto"/>
              <w:right w:val="single" w:sz="4" w:space="0" w:color="auto"/>
            </w:tcBorders>
            <w:shd w:val="clear" w:color="auto" w:fill="C6EFCE"/>
          </w:tcPr>
          <w:p w14:paraId="2823ADE7"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Neattiecas</w:t>
            </w:r>
          </w:p>
        </w:tc>
        <w:tc>
          <w:tcPr>
            <w:tcW w:w="535" w:type="dxa"/>
            <w:tcBorders>
              <w:top w:val="single" w:sz="4" w:space="0" w:color="auto"/>
              <w:left w:val="single" w:sz="4" w:space="0" w:color="auto"/>
              <w:bottom w:val="single" w:sz="4" w:space="0" w:color="auto"/>
              <w:right w:val="single" w:sz="4" w:space="0" w:color="auto"/>
            </w:tcBorders>
            <w:shd w:val="clear" w:color="auto" w:fill="C6EFCE"/>
          </w:tcPr>
          <w:p w14:paraId="7BD3412B"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Neattiecas</w:t>
            </w:r>
          </w:p>
        </w:tc>
        <w:tc>
          <w:tcPr>
            <w:tcW w:w="926" w:type="dxa"/>
            <w:tcBorders>
              <w:top w:val="single" w:sz="4" w:space="0" w:color="auto"/>
              <w:left w:val="single" w:sz="4" w:space="0" w:color="auto"/>
              <w:bottom w:val="single" w:sz="4" w:space="0" w:color="auto"/>
              <w:right w:val="single" w:sz="4" w:space="0" w:color="auto"/>
            </w:tcBorders>
            <w:shd w:val="clear" w:color="auto" w:fill="C6EFCE"/>
          </w:tcPr>
          <w:p w14:paraId="72780F0C"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Neattiecas</w:t>
            </w:r>
          </w:p>
        </w:tc>
        <w:tc>
          <w:tcPr>
            <w:tcW w:w="523" w:type="dxa"/>
            <w:tcBorders>
              <w:top w:val="single" w:sz="4" w:space="0" w:color="auto"/>
              <w:left w:val="single" w:sz="4" w:space="0" w:color="auto"/>
              <w:bottom w:val="single" w:sz="4" w:space="0" w:color="auto"/>
              <w:right w:val="single" w:sz="4" w:space="0" w:color="auto"/>
            </w:tcBorders>
            <w:shd w:val="clear" w:color="auto" w:fill="C6EFCE"/>
          </w:tcPr>
          <w:p w14:paraId="02E62617"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1. cet.</w:t>
            </w:r>
          </w:p>
        </w:tc>
        <w:tc>
          <w:tcPr>
            <w:tcW w:w="568" w:type="dxa"/>
            <w:tcBorders>
              <w:top w:val="single" w:sz="4" w:space="0" w:color="auto"/>
              <w:left w:val="single" w:sz="4" w:space="0" w:color="auto"/>
              <w:bottom w:val="single" w:sz="4" w:space="0" w:color="auto"/>
              <w:right w:val="single" w:sz="4" w:space="0" w:color="auto"/>
            </w:tcBorders>
            <w:shd w:val="clear" w:color="auto" w:fill="C6EFCE"/>
          </w:tcPr>
          <w:p w14:paraId="524FF507"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2025</w:t>
            </w:r>
          </w:p>
        </w:tc>
        <w:tc>
          <w:tcPr>
            <w:tcW w:w="1019" w:type="dxa"/>
            <w:tcBorders>
              <w:top w:val="single" w:sz="4" w:space="0" w:color="auto"/>
              <w:left w:val="single" w:sz="4" w:space="0" w:color="auto"/>
              <w:bottom w:val="single" w:sz="4" w:space="0" w:color="auto"/>
              <w:right w:val="single" w:sz="4" w:space="0" w:color="auto"/>
            </w:tcBorders>
            <w:shd w:val="clear" w:color="auto" w:fill="C6EFCE"/>
          </w:tcPr>
          <w:p w14:paraId="607801FB"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r w:rsidRPr="008635F8">
              <w:rPr>
                <w:rFonts w:ascii="Times New Roman" w:hAnsi="Times New Roman"/>
                <w:sz w:val="18"/>
                <w:szCs w:val="18"/>
              </w:rPr>
              <w:t>Satiksmes ministrija</w:t>
            </w:r>
          </w:p>
        </w:tc>
        <w:tc>
          <w:tcPr>
            <w:tcW w:w="996" w:type="dxa"/>
            <w:tcBorders>
              <w:top w:val="single" w:sz="4" w:space="0" w:color="auto"/>
              <w:left w:val="single" w:sz="4" w:space="0" w:color="auto"/>
              <w:bottom w:val="single" w:sz="4" w:space="0" w:color="auto"/>
              <w:right w:val="single" w:sz="4" w:space="0" w:color="auto"/>
            </w:tcBorders>
            <w:shd w:val="clear" w:color="auto" w:fill="C6EFCE"/>
          </w:tcPr>
          <w:p w14:paraId="76F0F55D"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p>
        </w:tc>
        <w:tc>
          <w:tcPr>
            <w:tcW w:w="1486" w:type="dxa"/>
            <w:tcBorders>
              <w:top w:val="single" w:sz="4" w:space="0" w:color="auto"/>
              <w:left w:val="single" w:sz="4" w:space="0" w:color="auto"/>
              <w:bottom w:val="single" w:sz="4" w:space="0" w:color="auto"/>
              <w:right w:val="single" w:sz="4" w:space="0" w:color="auto"/>
            </w:tcBorders>
            <w:shd w:val="clear" w:color="auto" w:fill="C6EFCE"/>
          </w:tcPr>
          <w:p w14:paraId="373F1497" w14:textId="77777777" w:rsidR="00481482" w:rsidRPr="008635F8" w:rsidRDefault="00067A32" w:rsidP="00E147E0">
            <w:pPr>
              <w:widowControl w:val="0"/>
              <w:spacing w:after="0" w:line="240" w:lineRule="auto"/>
              <w:ind w:left="57" w:right="57"/>
              <w:rPr>
                <w:rFonts w:ascii="Times New Roman" w:hAnsi="Times New Roman"/>
                <w:noProof/>
                <w:sz w:val="18"/>
                <w:szCs w:val="18"/>
              </w:rPr>
            </w:pPr>
            <w:r w:rsidRPr="008635F8">
              <w:rPr>
                <w:rFonts w:ascii="Times New Roman" w:hAnsi="Times New Roman"/>
                <w:sz w:val="18"/>
                <w:szCs w:val="18"/>
              </w:rPr>
              <w:t xml:space="preserve">Kopsavilkuma dokuments, kurā pienācīgi pamatots, kā tika apmierinoši sasniegts mērķis </w:t>
            </w:r>
            <w:r w:rsidRPr="008635F8">
              <w:rPr>
                <w:rFonts w:ascii="Times New Roman" w:hAnsi="Times New Roman"/>
                <w:sz w:val="18"/>
                <w:szCs w:val="18"/>
              </w:rPr>
              <w:lastRenderedPageBreak/>
              <w:t>(tostarp visi būtiskie elementi), kopā ar atbilstošām saitēm uz pamatojošajiem pierādījumiem.</w:t>
            </w:r>
          </w:p>
          <w:p w14:paraId="04538502" w14:textId="7EE1CB3E" w:rsidR="00067A32" w:rsidRPr="008635F8" w:rsidRDefault="00067A32" w:rsidP="00E147E0">
            <w:pPr>
              <w:widowControl w:val="0"/>
              <w:spacing w:after="0" w:line="240" w:lineRule="auto"/>
              <w:ind w:left="57" w:right="57"/>
              <w:rPr>
                <w:rFonts w:ascii="Times New Roman" w:eastAsiaTheme="minorEastAsia" w:hAnsi="Times New Roman"/>
                <w:noProof/>
                <w:sz w:val="18"/>
                <w:szCs w:val="18"/>
              </w:rPr>
            </w:pPr>
            <w:r w:rsidRPr="008635F8">
              <w:rPr>
                <w:rFonts w:ascii="Times New Roman" w:hAnsi="Times New Roman"/>
                <w:sz w:val="18"/>
                <w:szCs w:val="18"/>
              </w:rPr>
              <w:t>Šā dokumenta pielikumā iekļauj darbuzņēmēja(-u) un līgumslēdzējas(-u) iestādes(-žu) parakstītus līgumus par atskaites punkta aprakstā minētajiem būvdarbiem un par to būvuzraudzību.</w:t>
            </w:r>
          </w:p>
        </w:tc>
        <w:tc>
          <w:tcPr>
            <w:tcW w:w="1707" w:type="dxa"/>
            <w:tcBorders>
              <w:top w:val="single" w:sz="4" w:space="0" w:color="auto"/>
              <w:left w:val="single" w:sz="4" w:space="0" w:color="auto"/>
              <w:bottom w:val="single" w:sz="4" w:space="0" w:color="auto"/>
              <w:right w:val="single" w:sz="4" w:space="0" w:color="auto"/>
            </w:tcBorders>
            <w:shd w:val="clear" w:color="auto" w:fill="C6EFCE"/>
          </w:tcPr>
          <w:p w14:paraId="27DC9AB1" w14:textId="77777777" w:rsidR="00067A32" w:rsidRPr="008635F8" w:rsidRDefault="00067A32" w:rsidP="00E147E0">
            <w:pPr>
              <w:widowControl w:val="0"/>
              <w:spacing w:after="0" w:line="240" w:lineRule="auto"/>
              <w:ind w:left="57" w:right="57"/>
              <w:rPr>
                <w:rFonts w:ascii="Times New Roman" w:eastAsiaTheme="minorEastAsia" w:hAnsi="Times New Roman" w:cs="Times New Roman"/>
                <w:noProof/>
                <w:sz w:val="18"/>
                <w:szCs w:val="18"/>
              </w:rPr>
            </w:pPr>
            <w:r w:rsidRPr="008635F8">
              <w:rPr>
                <w:rFonts w:ascii="Times New Roman" w:hAnsi="Times New Roman"/>
                <w:sz w:val="18"/>
                <w:szCs w:val="18"/>
              </w:rPr>
              <w:lastRenderedPageBreak/>
              <w:t xml:space="preserve">Līgumu par būvdarbiem Rīgas Centrālās dzelzceļa stacijas dienvidu daļā un to būvuzraudzību </w:t>
            </w:r>
            <w:r w:rsidRPr="008635F8">
              <w:rPr>
                <w:rFonts w:ascii="Times New Roman" w:hAnsi="Times New Roman"/>
                <w:sz w:val="18"/>
                <w:szCs w:val="18"/>
              </w:rPr>
              <w:lastRenderedPageBreak/>
              <w:t>parakstīšana. Būvdarbi Rīgas Centrālās dzelzceļa stacijas dienvidu daļā ietver jumta likšanu, fasādes būvniecību, platformas nojumes jumta būvniecību, apdares darbus, pasažieru piekļuves infrastruktūru, mehāniskos, elektromontāžas un sanitārtehniskos darbus.</w:t>
            </w:r>
          </w:p>
          <w:p w14:paraId="55274421" w14:textId="77777777" w:rsidR="00067A32" w:rsidRPr="008635F8" w:rsidRDefault="00067A32" w:rsidP="00E147E0">
            <w:pPr>
              <w:widowControl w:val="0"/>
              <w:spacing w:after="0" w:line="240" w:lineRule="auto"/>
              <w:ind w:left="57" w:right="57"/>
              <w:rPr>
                <w:rFonts w:ascii="Times New Roman" w:eastAsiaTheme="minorEastAsia" w:hAnsi="Times New Roman" w:cs="Times New Roman"/>
                <w:noProof/>
                <w:sz w:val="18"/>
                <w:szCs w:val="18"/>
              </w:rPr>
            </w:pPr>
          </w:p>
        </w:tc>
      </w:tr>
      <w:tr w:rsidR="0041037D" w:rsidRPr="008635F8" w14:paraId="22B4EA5E" w14:textId="77777777" w:rsidTr="0044659E">
        <w:trPr>
          <w:trHeight w:val="1200"/>
        </w:trPr>
        <w:tc>
          <w:tcPr>
            <w:tcW w:w="280" w:type="dxa"/>
            <w:tcBorders>
              <w:top w:val="single" w:sz="4" w:space="0" w:color="auto"/>
              <w:left w:val="single" w:sz="4" w:space="0" w:color="auto"/>
              <w:bottom w:val="single" w:sz="4" w:space="0" w:color="auto"/>
              <w:right w:val="single" w:sz="4" w:space="0" w:color="auto"/>
            </w:tcBorders>
            <w:shd w:val="clear" w:color="auto" w:fill="C6EFCE"/>
          </w:tcPr>
          <w:p w14:paraId="28C54596"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lastRenderedPageBreak/>
              <w:t>4a</w:t>
            </w:r>
          </w:p>
        </w:tc>
        <w:tc>
          <w:tcPr>
            <w:tcW w:w="1416" w:type="dxa"/>
            <w:tcBorders>
              <w:top w:val="single" w:sz="4" w:space="0" w:color="auto"/>
              <w:left w:val="single" w:sz="4" w:space="0" w:color="auto"/>
              <w:bottom w:val="single" w:sz="4" w:space="0" w:color="auto"/>
              <w:right w:val="single" w:sz="4" w:space="0" w:color="auto"/>
            </w:tcBorders>
            <w:shd w:val="clear" w:color="auto" w:fill="C6EFCE"/>
          </w:tcPr>
          <w:p w14:paraId="330B6063"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b/>
                <w:bCs/>
                <w:noProof/>
                <w:sz w:val="18"/>
                <w:szCs w:val="18"/>
              </w:rPr>
            </w:pPr>
            <w:r w:rsidRPr="008635F8">
              <w:rPr>
                <w:rFonts w:ascii="Times New Roman" w:hAnsi="Times New Roman"/>
                <w:b/>
                <w:sz w:val="18"/>
                <w:szCs w:val="18"/>
              </w:rPr>
              <w:t>1.1.1.i. Rīgas metropoles transporta infrastruktūras uzlabošana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67D8816"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Atskaites punkts</w:t>
            </w:r>
          </w:p>
        </w:tc>
        <w:tc>
          <w:tcPr>
            <w:tcW w:w="1100" w:type="dxa"/>
            <w:tcBorders>
              <w:top w:val="single" w:sz="4" w:space="0" w:color="auto"/>
              <w:left w:val="single" w:sz="4" w:space="0" w:color="auto"/>
              <w:bottom w:val="single" w:sz="4" w:space="0" w:color="auto"/>
              <w:right w:val="single" w:sz="4" w:space="0" w:color="auto"/>
            </w:tcBorders>
            <w:shd w:val="clear" w:color="auto" w:fill="C6EFCE"/>
          </w:tcPr>
          <w:p w14:paraId="28DA90D5"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Modernizēta Rīgas Centrālā dzelzceļa stacija</w:t>
            </w:r>
          </w:p>
        </w:tc>
        <w:tc>
          <w:tcPr>
            <w:tcW w:w="1595" w:type="dxa"/>
            <w:tcBorders>
              <w:top w:val="single" w:sz="4" w:space="0" w:color="auto"/>
              <w:left w:val="single" w:sz="4" w:space="0" w:color="auto"/>
              <w:bottom w:val="single" w:sz="4" w:space="0" w:color="auto"/>
              <w:right w:val="single" w:sz="4" w:space="0" w:color="auto"/>
            </w:tcBorders>
            <w:shd w:val="clear" w:color="auto" w:fill="C6EFCE"/>
          </w:tcPr>
          <w:p w14:paraId="63F2F0E0"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Pabeigti būvdarbi Rīgas Centrālajā dzelzceļa stacijā</w:t>
            </w:r>
          </w:p>
        </w:tc>
        <w:tc>
          <w:tcPr>
            <w:tcW w:w="991" w:type="dxa"/>
            <w:tcBorders>
              <w:top w:val="single" w:sz="4" w:space="0" w:color="auto"/>
              <w:left w:val="single" w:sz="4" w:space="0" w:color="auto"/>
              <w:bottom w:val="single" w:sz="4" w:space="0" w:color="auto"/>
              <w:right w:val="single" w:sz="4" w:space="0" w:color="auto"/>
            </w:tcBorders>
            <w:shd w:val="clear" w:color="auto" w:fill="C6EFCE"/>
          </w:tcPr>
          <w:p w14:paraId="7A0FB5BC"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Neattiecas</w:t>
            </w:r>
          </w:p>
        </w:tc>
        <w:tc>
          <w:tcPr>
            <w:tcW w:w="535" w:type="dxa"/>
            <w:tcBorders>
              <w:top w:val="single" w:sz="4" w:space="0" w:color="auto"/>
              <w:left w:val="single" w:sz="4" w:space="0" w:color="auto"/>
              <w:bottom w:val="single" w:sz="4" w:space="0" w:color="auto"/>
              <w:right w:val="single" w:sz="4" w:space="0" w:color="auto"/>
            </w:tcBorders>
            <w:shd w:val="clear" w:color="auto" w:fill="C6EFCE"/>
          </w:tcPr>
          <w:p w14:paraId="47BBF0DF" w14:textId="77777777" w:rsidR="00067A32" w:rsidRPr="008635F8" w:rsidDel="00111C97"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Neattiecas</w:t>
            </w:r>
          </w:p>
        </w:tc>
        <w:tc>
          <w:tcPr>
            <w:tcW w:w="926" w:type="dxa"/>
            <w:tcBorders>
              <w:top w:val="single" w:sz="4" w:space="0" w:color="auto"/>
              <w:left w:val="single" w:sz="4" w:space="0" w:color="auto"/>
              <w:bottom w:val="single" w:sz="4" w:space="0" w:color="auto"/>
              <w:right w:val="single" w:sz="4" w:space="0" w:color="auto"/>
            </w:tcBorders>
            <w:shd w:val="clear" w:color="auto" w:fill="C6EFCE"/>
          </w:tcPr>
          <w:p w14:paraId="1014735B"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Neattiecas</w:t>
            </w:r>
          </w:p>
        </w:tc>
        <w:tc>
          <w:tcPr>
            <w:tcW w:w="523" w:type="dxa"/>
            <w:tcBorders>
              <w:top w:val="single" w:sz="4" w:space="0" w:color="auto"/>
              <w:left w:val="single" w:sz="4" w:space="0" w:color="auto"/>
              <w:bottom w:val="single" w:sz="4" w:space="0" w:color="auto"/>
              <w:right w:val="single" w:sz="4" w:space="0" w:color="auto"/>
            </w:tcBorders>
            <w:shd w:val="clear" w:color="auto" w:fill="C6EFCE"/>
          </w:tcPr>
          <w:p w14:paraId="7B9A2373"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3. cet.</w:t>
            </w:r>
          </w:p>
        </w:tc>
        <w:tc>
          <w:tcPr>
            <w:tcW w:w="568" w:type="dxa"/>
            <w:tcBorders>
              <w:top w:val="single" w:sz="4" w:space="0" w:color="auto"/>
              <w:left w:val="single" w:sz="4" w:space="0" w:color="auto"/>
              <w:bottom w:val="single" w:sz="4" w:space="0" w:color="auto"/>
              <w:right w:val="single" w:sz="4" w:space="0" w:color="auto"/>
            </w:tcBorders>
            <w:shd w:val="clear" w:color="auto" w:fill="C6EFCE"/>
          </w:tcPr>
          <w:p w14:paraId="634EF839"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2026</w:t>
            </w:r>
          </w:p>
        </w:tc>
        <w:tc>
          <w:tcPr>
            <w:tcW w:w="1019" w:type="dxa"/>
            <w:tcBorders>
              <w:top w:val="single" w:sz="4" w:space="0" w:color="auto"/>
              <w:left w:val="single" w:sz="4" w:space="0" w:color="auto"/>
              <w:bottom w:val="single" w:sz="4" w:space="0" w:color="auto"/>
              <w:right w:val="single" w:sz="4" w:space="0" w:color="auto"/>
            </w:tcBorders>
            <w:shd w:val="clear" w:color="auto" w:fill="C6EFCE"/>
          </w:tcPr>
          <w:p w14:paraId="67958FE0"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r w:rsidRPr="008635F8">
              <w:rPr>
                <w:rFonts w:ascii="Times New Roman" w:hAnsi="Times New Roman"/>
                <w:sz w:val="18"/>
                <w:szCs w:val="18"/>
              </w:rPr>
              <w:t>Satiksmes ministrija</w:t>
            </w:r>
          </w:p>
        </w:tc>
        <w:tc>
          <w:tcPr>
            <w:tcW w:w="996" w:type="dxa"/>
            <w:tcBorders>
              <w:top w:val="single" w:sz="4" w:space="0" w:color="auto"/>
              <w:left w:val="single" w:sz="4" w:space="0" w:color="auto"/>
              <w:bottom w:val="single" w:sz="4" w:space="0" w:color="auto"/>
              <w:right w:val="single" w:sz="4" w:space="0" w:color="auto"/>
            </w:tcBorders>
            <w:shd w:val="clear" w:color="auto" w:fill="C6EFCE"/>
          </w:tcPr>
          <w:p w14:paraId="6FBD772A"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p>
        </w:tc>
        <w:tc>
          <w:tcPr>
            <w:tcW w:w="1486" w:type="dxa"/>
            <w:tcBorders>
              <w:top w:val="single" w:sz="4" w:space="0" w:color="auto"/>
              <w:left w:val="single" w:sz="4" w:space="0" w:color="auto"/>
              <w:bottom w:val="single" w:sz="4" w:space="0" w:color="auto"/>
              <w:right w:val="single" w:sz="4" w:space="0" w:color="auto"/>
            </w:tcBorders>
            <w:shd w:val="clear" w:color="auto" w:fill="C6EFCE"/>
          </w:tcPr>
          <w:p w14:paraId="5D0F120D" w14:textId="77777777" w:rsidR="0048148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Kopsavilkuma dokuments, kurā pienācīgi pamatots, kā tika apmierinoši sasniegts atskaites punkts (tostarp visi būtiskie elementi), kopā ar atbilstošām saitēm uz pamatojošajiem pierādījumiem.</w:t>
            </w:r>
          </w:p>
          <w:p w14:paraId="2FB2DEB9" w14:textId="448929A2" w:rsidR="00067A3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 xml:space="preserve">Šā dokumenta pielikumā iekļauj kopiju </w:t>
            </w:r>
            <w:r w:rsidRPr="008635F8">
              <w:rPr>
                <w:rFonts w:ascii="Times New Roman" w:hAnsi="Times New Roman"/>
                <w:sz w:val="18"/>
                <w:szCs w:val="18"/>
              </w:rPr>
              <w:lastRenderedPageBreak/>
              <w:t>darbuzņēmēja(-u) un līgumslēdzējas(-u) iestādes(-žu) parakstītam(-u) apliecinājumam(-iem) par atskaites punkta aprakstā minēto būvdarbu pabeigšanu.</w:t>
            </w:r>
          </w:p>
        </w:tc>
        <w:tc>
          <w:tcPr>
            <w:tcW w:w="1707" w:type="dxa"/>
            <w:tcBorders>
              <w:top w:val="single" w:sz="4" w:space="0" w:color="auto"/>
              <w:left w:val="single" w:sz="4" w:space="0" w:color="auto"/>
              <w:bottom w:val="single" w:sz="4" w:space="0" w:color="auto"/>
              <w:right w:val="single" w:sz="4" w:space="0" w:color="auto"/>
            </w:tcBorders>
            <w:shd w:val="clear" w:color="auto" w:fill="C6EFCE"/>
          </w:tcPr>
          <w:p w14:paraId="7C173E10" w14:textId="77777777" w:rsidR="00067A32" w:rsidRPr="008635F8" w:rsidRDefault="00067A32" w:rsidP="00E147E0">
            <w:pPr>
              <w:widowControl w:val="0"/>
              <w:spacing w:after="0" w:line="240" w:lineRule="auto"/>
              <w:ind w:left="57" w:right="57"/>
              <w:rPr>
                <w:rFonts w:ascii="Times New Roman" w:eastAsiaTheme="minorEastAsia" w:hAnsi="Times New Roman" w:cs="Times New Roman"/>
                <w:noProof/>
                <w:sz w:val="18"/>
                <w:szCs w:val="18"/>
              </w:rPr>
            </w:pPr>
            <w:r w:rsidRPr="008635F8">
              <w:rPr>
                <w:rFonts w:ascii="Times New Roman" w:hAnsi="Times New Roman"/>
                <w:sz w:val="18"/>
                <w:szCs w:val="18"/>
              </w:rPr>
              <w:lastRenderedPageBreak/>
              <w:t>Pabeigti būvdarbi Rīgas Centrālās dzelzceļa stacijas dienvidu daļā: jumts, fasāde, platformas nojumes jumts, apdares darbi, pasažieru piekļuve, mehāniskie, elektromontāžas un sanitārtehniskie darbi.</w:t>
            </w:r>
          </w:p>
        </w:tc>
      </w:tr>
      <w:tr w:rsidR="0041037D" w:rsidRPr="008635F8" w14:paraId="31CA858A" w14:textId="77777777" w:rsidTr="0044659E">
        <w:trPr>
          <w:trHeight w:val="1200"/>
        </w:trPr>
        <w:tc>
          <w:tcPr>
            <w:tcW w:w="280" w:type="dxa"/>
            <w:tcBorders>
              <w:top w:val="single" w:sz="4" w:space="0" w:color="auto"/>
              <w:left w:val="single" w:sz="4" w:space="0" w:color="auto"/>
              <w:bottom w:val="single" w:sz="4" w:space="0" w:color="auto"/>
              <w:right w:val="single" w:sz="4" w:space="0" w:color="auto"/>
            </w:tcBorders>
            <w:shd w:val="clear" w:color="auto" w:fill="C6EFCE"/>
          </w:tcPr>
          <w:p w14:paraId="118FEA0C"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5</w:t>
            </w:r>
          </w:p>
        </w:tc>
        <w:tc>
          <w:tcPr>
            <w:tcW w:w="1416" w:type="dxa"/>
            <w:tcBorders>
              <w:top w:val="single" w:sz="4" w:space="0" w:color="auto"/>
              <w:left w:val="single" w:sz="4" w:space="0" w:color="auto"/>
              <w:bottom w:val="single" w:sz="4" w:space="0" w:color="auto"/>
              <w:right w:val="single" w:sz="4" w:space="0" w:color="auto"/>
            </w:tcBorders>
            <w:shd w:val="clear" w:color="auto" w:fill="C6EFCE"/>
          </w:tcPr>
          <w:p w14:paraId="5912964A" w14:textId="77777777" w:rsidR="00067A32" w:rsidRPr="008635F8" w:rsidRDefault="00067A32" w:rsidP="00D6290E">
            <w:pPr>
              <w:widowControl w:val="0"/>
              <w:spacing w:after="0" w:line="240" w:lineRule="auto"/>
              <w:ind w:left="57" w:right="57"/>
              <w:jc w:val="both"/>
              <w:rPr>
                <w:rFonts w:ascii="Times New Roman" w:hAnsi="Times New Roman" w:cs="Times New Roman"/>
                <w:b/>
                <w:bCs/>
                <w:noProof/>
                <w:sz w:val="18"/>
                <w:szCs w:val="18"/>
              </w:rPr>
            </w:pPr>
            <w:r w:rsidRPr="008635F8">
              <w:rPr>
                <w:rFonts w:ascii="Times New Roman" w:hAnsi="Times New Roman"/>
                <w:b/>
                <w:sz w:val="18"/>
                <w:szCs w:val="18"/>
              </w:rPr>
              <w:t xml:space="preserve">1.1.1.i. Rīgas metropoles transporta infrastruktūras uzlabošana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391C7D1C" w14:textId="77777777" w:rsidR="00067A32" w:rsidRPr="008635F8" w:rsidRDefault="00067A32" w:rsidP="00D6290E">
            <w:pPr>
              <w:widowControl w:val="0"/>
              <w:spacing w:after="0" w:line="240" w:lineRule="auto"/>
              <w:ind w:left="57" w:right="57"/>
              <w:jc w:val="both"/>
              <w:rPr>
                <w:rFonts w:ascii="Times New Roman" w:eastAsia="Times New Roman" w:hAnsi="Times New Roman" w:cs="Times New Roman"/>
                <w:noProof/>
                <w:sz w:val="18"/>
                <w:szCs w:val="18"/>
              </w:rPr>
            </w:pPr>
            <w:r w:rsidRPr="008635F8">
              <w:rPr>
                <w:rFonts w:ascii="Times New Roman" w:hAnsi="Times New Roman"/>
                <w:sz w:val="18"/>
                <w:szCs w:val="18"/>
              </w:rPr>
              <w:t>Mērķis</w:t>
            </w:r>
          </w:p>
        </w:tc>
        <w:tc>
          <w:tcPr>
            <w:tcW w:w="1100" w:type="dxa"/>
            <w:tcBorders>
              <w:top w:val="single" w:sz="4" w:space="0" w:color="auto"/>
              <w:left w:val="single" w:sz="4" w:space="0" w:color="auto"/>
              <w:bottom w:val="single" w:sz="4" w:space="0" w:color="auto"/>
              <w:right w:val="single" w:sz="4" w:space="0" w:color="auto"/>
            </w:tcBorders>
            <w:shd w:val="clear" w:color="auto" w:fill="C6EFCE"/>
          </w:tcPr>
          <w:p w14:paraId="14F8680D" w14:textId="77777777" w:rsidR="00067A32" w:rsidRPr="008635F8" w:rsidRDefault="00067A32" w:rsidP="00D6290E">
            <w:pPr>
              <w:widowControl w:val="0"/>
              <w:spacing w:after="0" w:line="240" w:lineRule="auto"/>
              <w:ind w:left="57" w:right="57"/>
              <w:jc w:val="both"/>
              <w:rPr>
                <w:rFonts w:ascii="Times New Roman" w:hAnsi="Times New Roman"/>
                <w:noProof/>
                <w:sz w:val="18"/>
                <w:szCs w:val="18"/>
              </w:rPr>
            </w:pPr>
            <w:r w:rsidRPr="008635F8">
              <w:rPr>
                <w:rFonts w:ascii="Times New Roman" w:hAnsi="Times New Roman"/>
                <w:sz w:val="18"/>
                <w:szCs w:val="18"/>
              </w:rPr>
              <w:t>Investīcijas elektrotransportā (elektroautobusi un uzlādes stacijas)</w:t>
            </w:r>
          </w:p>
        </w:tc>
        <w:tc>
          <w:tcPr>
            <w:tcW w:w="1595" w:type="dxa"/>
            <w:tcBorders>
              <w:top w:val="single" w:sz="4" w:space="0" w:color="auto"/>
              <w:left w:val="single" w:sz="4" w:space="0" w:color="auto"/>
              <w:bottom w:val="single" w:sz="4" w:space="0" w:color="auto"/>
              <w:right w:val="single" w:sz="4" w:space="0" w:color="auto"/>
            </w:tcBorders>
            <w:shd w:val="clear" w:color="auto" w:fill="C6EFCE"/>
          </w:tcPr>
          <w:p w14:paraId="18BC7C23" w14:textId="77777777" w:rsidR="00067A32" w:rsidRPr="008635F8" w:rsidRDefault="00067A32" w:rsidP="00D6290E">
            <w:pPr>
              <w:widowControl w:val="0"/>
              <w:spacing w:after="0" w:line="240" w:lineRule="auto"/>
              <w:ind w:left="57" w:right="57"/>
              <w:jc w:val="both"/>
              <w:rPr>
                <w:rFonts w:ascii="Times New Roman" w:eastAsia="Times New Roman" w:hAnsi="Times New Roman" w:cs="Times New Roman"/>
                <w:noProof/>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C6EFCE"/>
          </w:tcPr>
          <w:p w14:paraId="11F31426" w14:textId="77777777" w:rsidR="00067A32" w:rsidRPr="008635F8" w:rsidRDefault="00067A32" w:rsidP="00D6290E">
            <w:pPr>
              <w:widowControl w:val="0"/>
              <w:spacing w:after="0" w:line="240" w:lineRule="auto"/>
              <w:ind w:left="57" w:right="57"/>
              <w:jc w:val="both"/>
              <w:rPr>
                <w:rFonts w:ascii="Times New Roman" w:eastAsia="Times New Roman" w:hAnsi="Times New Roman" w:cs="Times New Roman"/>
                <w:noProof/>
                <w:sz w:val="18"/>
                <w:szCs w:val="18"/>
              </w:rPr>
            </w:pPr>
            <w:r w:rsidRPr="008635F8">
              <w:rPr>
                <w:rFonts w:ascii="Times New Roman" w:hAnsi="Times New Roman"/>
                <w:sz w:val="18"/>
                <w:szCs w:val="18"/>
              </w:rPr>
              <w:t>Skaits</w:t>
            </w:r>
          </w:p>
        </w:tc>
        <w:tc>
          <w:tcPr>
            <w:tcW w:w="535" w:type="dxa"/>
            <w:tcBorders>
              <w:top w:val="single" w:sz="4" w:space="0" w:color="auto"/>
              <w:left w:val="single" w:sz="4" w:space="0" w:color="auto"/>
              <w:bottom w:val="single" w:sz="4" w:space="0" w:color="auto"/>
              <w:right w:val="single" w:sz="4" w:space="0" w:color="auto"/>
            </w:tcBorders>
            <w:shd w:val="clear" w:color="auto" w:fill="C6EFCE"/>
          </w:tcPr>
          <w:p w14:paraId="3558A995" w14:textId="77777777" w:rsidR="00067A32" w:rsidRPr="008635F8" w:rsidRDefault="00067A32" w:rsidP="00D6290E">
            <w:pPr>
              <w:widowControl w:val="0"/>
              <w:spacing w:after="0" w:line="240" w:lineRule="auto"/>
              <w:ind w:left="57" w:right="57"/>
              <w:jc w:val="both"/>
              <w:rPr>
                <w:rFonts w:ascii="Times New Roman" w:eastAsia="Times New Roman" w:hAnsi="Times New Roman" w:cs="Times New Roman"/>
                <w:noProof/>
                <w:sz w:val="18"/>
                <w:szCs w:val="18"/>
              </w:rPr>
            </w:pPr>
            <w:r w:rsidRPr="008635F8">
              <w:rPr>
                <w:rFonts w:ascii="Times New Roman" w:hAnsi="Times New Roman"/>
                <w:sz w:val="18"/>
                <w:szCs w:val="18"/>
              </w:rPr>
              <w:t>0</w:t>
            </w:r>
          </w:p>
        </w:tc>
        <w:tc>
          <w:tcPr>
            <w:tcW w:w="926" w:type="dxa"/>
            <w:tcBorders>
              <w:top w:val="single" w:sz="4" w:space="0" w:color="auto"/>
              <w:left w:val="single" w:sz="4" w:space="0" w:color="auto"/>
              <w:bottom w:val="single" w:sz="4" w:space="0" w:color="auto"/>
              <w:right w:val="single" w:sz="4" w:space="0" w:color="auto"/>
            </w:tcBorders>
            <w:shd w:val="clear" w:color="auto" w:fill="C6EFCE"/>
          </w:tcPr>
          <w:p w14:paraId="256E8050" w14:textId="77777777" w:rsidR="00067A32" w:rsidRPr="008635F8" w:rsidRDefault="00067A32" w:rsidP="00D6290E">
            <w:pPr>
              <w:widowControl w:val="0"/>
              <w:spacing w:after="0" w:line="240" w:lineRule="auto"/>
              <w:ind w:left="57" w:right="57"/>
              <w:jc w:val="both"/>
              <w:rPr>
                <w:rFonts w:ascii="Times New Roman" w:eastAsia="Times New Roman" w:hAnsi="Times New Roman" w:cs="Times New Roman"/>
                <w:noProof/>
                <w:sz w:val="18"/>
                <w:szCs w:val="18"/>
              </w:rPr>
            </w:pPr>
            <w:r w:rsidRPr="008635F8">
              <w:rPr>
                <w:rFonts w:ascii="Times New Roman" w:hAnsi="Times New Roman"/>
                <w:sz w:val="18"/>
                <w:szCs w:val="18"/>
              </w:rPr>
              <w:t>24</w:t>
            </w:r>
          </w:p>
        </w:tc>
        <w:tc>
          <w:tcPr>
            <w:tcW w:w="523" w:type="dxa"/>
            <w:tcBorders>
              <w:top w:val="single" w:sz="4" w:space="0" w:color="auto"/>
              <w:left w:val="single" w:sz="4" w:space="0" w:color="auto"/>
              <w:bottom w:val="single" w:sz="4" w:space="0" w:color="auto"/>
              <w:right w:val="single" w:sz="4" w:space="0" w:color="auto"/>
            </w:tcBorders>
            <w:shd w:val="clear" w:color="auto" w:fill="C6EFCE"/>
          </w:tcPr>
          <w:p w14:paraId="1B3D45F8" w14:textId="77777777" w:rsidR="00067A32" w:rsidRPr="008635F8" w:rsidRDefault="00067A32" w:rsidP="00D6290E">
            <w:pPr>
              <w:widowControl w:val="0"/>
              <w:spacing w:after="0" w:line="240" w:lineRule="auto"/>
              <w:ind w:left="57" w:right="57"/>
              <w:jc w:val="both"/>
              <w:rPr>
                <w:rFonts w:ascii="Times New Roman" w:eastAsia="Times New Roman" w:hAnsi="Times New Roman" w:cs="Times New Roman"/>
                <w:noProof/>
                <w:sz w:val="18"/>
                <w:szCs w:val="18"/>
              </w:rPr>
            </w:pPr>
            <w:r w:rsidRPr="008635F8">
              <w:rPr>
                <w:rFonts w:ascii="Times New Roman" w:hAnsi="Times New Roman"/>
                <w:sz w:val="18"/>
                <w:szCs w:val="18"/>
              </w:rPr>
              <w:t>3. cet.</w:t>
            </w:r>
          </w:p>
        </w:tc>
        <w:tc>
          <w:tcPr>
            <w:tcW w:w="568" w:type="dxa"/>
            <w:tcBorders>
              <w:top w:val="single" w:sz="4" w:space="0" w:color="auto"/>
              <w:left w:val="single" w:sz="4" w:space="0" w:color="auto"/>
              <w:bottom w:val="single" w:sz="4" w:space="0" w:color="auto"/>
              <w:right w:val="single" w:sz="4" w:space="0" w:color="auto"/>
            </w:tcBorders>
            <w:shd w:val="clear" w:color="auto" w:fill="C6EFCE"/>
          </w:tcPr>
          <w:p w14:paraId="18B20AD2" w14:textId="77777777" w:rsidR="00067A32" w:rsidRPr="008635F8" w:rsidRDefault="00067A32" w:rsidP="00D6290E">
            <w:pPr>
              <w:widowControl w:val="0"/>
              <w:spacing w:after="0" w:line="240" w:lineRule="auto"/>
              <w:ind w:left="57" w:right="57"/>
              <w:jc w:val="both"/>
              <w:rPr>
                <w:rFonts w:ascii="Times New Roman" w:eastAsia="Times New Roman" w:hAnsi="Times New Roman" w:cs="Times New Roman"/>
                <w:noProof/>
                <w:sz w:val="18"/>
                <w:szCs w:val="18"/>
              </w:rPr>
            </w:pPr>
            <w:r w:rsidRPr="008635F8">
              <w:rPr>
                <w:rFonts w:ascii="Times New Roman" w:hAnsi="Times New Roman"/>
                <w:sz w:val="18"/>
                <w:szCs w:val="18"/>
              </w:rPr>
              <w:t>2026</w:t>
            </w:r>
          </w:p>
        </w:tc>
        <w:tc>
          <w:tcPr>
            <w:tcW w:w="1019" w:type="dxa"/>
            <w:tcBorders>
              <w:top w:val="single" w:sz="4" w:space="0" w:color="auto"/>
              <w:left w:val="single" w:sz="4" w:space="0" w:color="auto"/>
              <w:bottom w:val="single" w:sz="4" w:space="0" w:color="auto"/>
              <w:right w:val="single" w:sz="4" w:space="0" w:color="auto"/>
            </w:tcBorders>
            <w:shd w:val="clear" w:color="auto" w:fill="C6EFCE"/>
          </w:tcPr>
          <w:p w14:paraId="0155D7F6"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r w:rsidRPr="008635F8">
              <w:rPr>
                <w:rFonts w:ascii="Times New Roman" w:hAnsi="Times New Roman"/>
                <w:sz w:val="18"/>
                <w:szCs w:val="18"/>
              </w:rPr>
              <w:t>Satiksmes ministrija</w:t>
            </w:r>
          </w:p>
        </w:tc>
        <w:tc>
          <w:tcPr>
            <w:tcW w:w="996" w:type="dxa"/>
            <w:tcBorders>
              <w:top w:val="single" w:sz="4" w:space="0" w:color="auto"/>
              <w:left w:val="single" w:sz="4" w:space="0" w:color="auto"/>
              <w:bottom w:val="single" w:sz="4" w:space="0" w:color="auto"/>
              <w:right w:val="single" w:sz="4" w:space="0" w:color="auto"/>
            </w:tcBorders>
            <w:shd w:val="clear" w:color="auto" w:fill="C6EFCE"/>
          </w:tcPr>
          <w:p w14:paraId="554A9849" w14:textId="77777777" w:rsidR="00067A32" w:rsidRPr="008635F8" w:rsidRDefault="00067A32" w:rsidP="00D6290E">
            <w:pPr>
              <w:widowControl w:val="0"/>
              <w:spacing w:after="0" w:line="240" w:lineRule="auto"/>
              <w:ind w:left="57" w:right="57"/>
              <w:jc w:val="both"/>
              <w:rPr>
                <w:rFonts w:ascii="Times New Roman" w:eastAsia="Times New Roman" w:hAnsi="Times New Roman" w:cs="Times New Roman"/>
                <w:noProof/>
                <w:sz w:val="18"/>
                <w:szCs w:val="18"/>
              </w:rPr>
            </w:pPr>
          </w:p>
        </w:tc>
        <w:tc>
          <w:tcPr>
            <w:tcW w:w="1486" w:type="dxa"/>
            <w:tcBorders>
              <w:top w:val="single" w:sz="4" w:space="0" w:color="auto"/>
              <w:left w:val="single" w:sz="4" w:space="0" w:color="auto"/>
              <w:bottom w:val="single" w:sz="4" w:space="0" w:color="auto"/>
              <w:right w:val="single" w:sz="4" w:space="0" w:color="auto"/>
            </w:tcBorders>
            <w:shd w:val="clear" w:color="auto" w:fill="C6EFCE"/>
          </w:tcPr>
          <w:p w14:paraId="112CFB17" w14:textId="77777777" w:rsidR="0048148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Kopsavilkuma dokuments, kurā pienācīgi pamatots, kā tika apmierinoši sasniegts mērķis (tostarp visi būtiskie elementi), kopā ar atbilstošām saitēm uz pamatojošajiem pierādījumiem.</w:t>
            </w:r>
          </w:p>
          <w:p w14:paraId="6EB20777" w14:textId="00FD5185" w:rsidR="00067A3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Šā dokumenta pielikumā iekļauj:</w:t>
            </w:r>
          </w:p>
          <w:p w14:paraId="3ED55E1C" w14:textId="77777777" w:rsidR="00067A3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a) apliecinājumu par 17 elektroautobusu piegādi;</w:t>
            </w:r>
          </w:p>
          <w:p w14:paraId="1A883802" w14:textId="77777777" w:rsidR="00067A3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b) apliecinājumu par septiņu autobusu uzlādes staciju būvniecības pabeigšanu.</w:t>
            </w:r>
          </w:p>
        </w:tc>
        <w:tc>
          <w:tcPr>
            <w:tcW w:w="1707" w:type="dxa"/>
            <w:tcBorders>
              <w:top w:val="single" w:sz="4" w:space="0" w:color="auto"/>
              <w:left w:val="single" w:sz="4" w:space="0" w:color="auto"/>
              <w:bottom w:val="single" w:sz="4" w:space="0" w:color="auto"/>
              <w:right w:val="single" w:sz="4" w:space="0" w:color="auto"/>
            </w:tcBorders>
            <w:shd w:val="clear" w:color="auto" w:fill="C6EFCE"/>
          </w:tcPr>
          <w:p w14:paraId="76D9646A" w14:textId="77777777" w:rsidR="00067A32" w:rsidRPr="008635F8" w:rsidRDefault="00067A32" w:rsidP="00E147E0">
            <w:pPr>
              <w:widowControl w:val="0"/>
              <w:spacing w:after="0" w:line="240" w:lineRule="auto"/>
              <w:ind w:left="57" w:right="57"/>
              <w:rPr>
                <w:rFonts w:ascii="Times New Roman" w:eastAsia="Times New Roman" w:hAnsi="Times New Roman" w:cs="Times New Roman"/>
                <w:noProof/>
                <w:sz w:val="18"/>
                <w:szCs w:val="18"/>
              </w:rPr>
            </w:pPr>
            <w:r w:rsidRPr="008635F8">
              <w:rPr>
                <w:rFonts w:ascii="Times New Roman" w:hAnsi="Times New Roman"/>
                <w:sz w:val="18"/>
                <w:szCs w:val="18"/>
              </w:rPr>
              <w:t>Pabeidz šādas investīcijas bezizmešu transportā:</w:t>
            </w:r>
          </w:p>
          <w:p w14:paraId="0CEE1F7C" w14:textId="77777777" w:rsidR="00067A32" w:rsidRPr="008635F8" w:rsidRDefault="00067A32" w:rsidP="00E147E0">
            <w:pPr>
              <w:widowControl w:val="0"/>
              <w:spacing w:after="0" w:line="240" w:lineRule="auto"/>
              <w:ind w:left="57" w:right="57"/>
              <w:rPr>
                <w:rFonts w:ascii="Times New Roman" w:eastAsia="Times New Roman" w:hAnsi="Times New Roman" w:cs="Times New Roman"/>
                <w:noProof/>
                <w:sz w:val="18"/>
                <w:szCs w:val="18"/>
              </w:rPr>
            </w:pPr>
            <w:r w:rsidRPr="008635F8">
              <w:rPr>
                <w:rFonts w:ascii="Times New Roman" w:hAnsi="Times New Roman"/>
                <w:sz w:val="18"/>
                <w:szCs w:val="18"/>
              </w:rPr>
              <w:t>- 17 elektroautobusu piegāde;</w:t>
            </w:r>
          </w:p>
          <w:p w14:paraId="263A9DF5" w14:textId="77777777" w:rsidR="00067A32" w:rsidRPr="008635F8" w:rsidRDefault="00067A32" w:rsidP="00E147E0">
            <w:pPr>
              <w:widowControl w:val="0"/>
              <w:spacing w:after="0" w:line="240" w:lineRule="auto"/>
              <w:ind w:left="57" w:right="57"/>
              <w:rPr>
                <w:rFonts w:ascii="Times New Roman" w:eastAsia="Times New Roman" w:hAnsi="Times New Roman" w:cs="Times New Roman"/>
                <w:noProof/>
                <w:sz w:val="18"/>
                <w:szCs w:val="18"/>
              </w:rPr>
            </w:pPr>
            <w:r w:rsidRPr="008635F8">
              <w:rPr>
                <w:rFonts w:ascii="Times New Roman" w:hAnsi="Times New Roman"/>
                <w:sz w:val="18"/>
                <w:szCs w:val="18"/>
              </w:rPr>
              <w:t>- septiņu autobusu uzlādes staciju būvniecība.</w:t>
            </w:r>
          </w:p>
        </w:tc>
      </w:tr>
      <w:tr w:rsidR="0041037D" w:rsidRPr="008635F8" w14:paraId="232DFF5B" w14:textId="77777777" w:rsidTr="0044659E">
        <w:trPr>
          <w:trHeight w:val="1200"/>
        </w:trPr>
        <w:tc>
          <w:tcPr>
            <w:tcW w:w="280" w:type="dxa"/>
            <w:tcBorders>
              <w:top w:val="single" w:sz="4" w:space="0" w:color="auto"/>
              <w:left w:val="single" w:sz="4" w:space="0" w:color="auto"/>
              <w:bottom w:val="single" w:sz="4" w:space="0" w:color="auto"/>
              <w:right w:val="single" w:sz="4" w:space="0" w:color="auto"/>
            </w:tcBorders>
            <w:shd w:val="clear" w:color="auto" w:fill="C6EFCE"/>
          </w:tcPr>
          <w:p w14:paraId="4171C830"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lastRenderedPageBreak/>
              <w:t>5a</w:t>
            </w:r>
          </w:p>
        </w:tc>
        <w:tc>
          <w:tcPr>
            <w:tcW w:w="1416" w:type="dxa"/>
            <w:tcBorders>
              <w:top w:val="single" w:sz="4" w:space="0" w:color="auto"/>
              <w:left w:val="single" w:sz="4" w:space="0" w:color="auto"/>
              <w:bottom w:val="single" w:sz="4" w:space="0" w:color="auto"/>
              <w:right w:val="single" w:sz="4" w:space="0" w:color="auto"/>
            </w:tcBorders>
            <w:shd w:val="clear" w:color="auto" w:fill="C6EFCE"/>
          </w:tcPr>
          <w:p w14:paraId="4519B719" w14:textId="77777777" w:rsidR="00067A32" w:rsidRPr="008635F8" w:rsidRDefault="00067A32" w:rsidP="00D6290E">
            <w:pPr>
              <w:widowControl w:val="0"/>
              <w:spacing w:after="0" w:line="240" w:lineRule="auto"/>
              <w:ind w:left="57" w:right="57"/>
              <w:jc w:val="both"/>
              <w:rPr>
                <w:rFonts w:ascii="Times New Roman" w:hAnsi="Times New Roman" w:cs="Times New Roman"/>
                <w:b/>
                <w:bCs/>
                <w:noProof/>
                <w:sz w:val="18"/>
                <w:szCs w:val="18"/>
              </w:rPr>
            </w:pPr>
            <w:r w:rsidRPr="008635F8">
              <w:rPr>
                <w:rFonts w:ascii="Times New Roman" w:hAnsi="Times New Roman"/>
                <w:b/>
                <w:sz w:val="18"/>
                <w:szCs w:val="18"/>
              </w:rPr>
              <w:t>1.1.1.i. Rīgas metropoles transporta infrastruktūras uzlabošana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069215DF" w14:textId="77777777" w:rsidR="00067A32" w:rsidRPr="008635F8" w:rsidRDefault="00067A32" w:rsidP="00D6290E">
            <w:pPr>
              <w:widowControl w:val="0"/>
              <w:spacing w:after="0" w:line="240" w:lineRule="auto"/>
              <w:ind w:left="57" w:right="57"/>
              <w:jc w:val="both"/>
              <w:rPr>
                <w:rFonts w:ascii="Times New Roman" w:eastAsia="Times New Roman" w:hAnsi="Times New Roman" w:cs="Times New Roman"/>
                <w:noProof/>
                <w:sz w:val="18"/>
                <w:szCs w:val="18"/>
              </w:rPr>
            </w:pPr>
            <w:r w:rsidRPr="008635F8">
              <w:rPr>
                <w:rFonts w:ascii="Times New Roman" w:hAnsi="Times New Roman"/>
                <w:sz w:val="18"/>
                <w:szCs w:val="18"/>
              </w:rPr>
              <w:t>Atskaites punkts</w:t>
            </w:r>
          </w:p>
        </w:tc>
        <w:tc>
          <w:tcPr>
            <w:tcW w:w="1100" w:type="dxa"/>
            <w:tcBorders>
              <w:top w:val="single" w:sz="4" w:space="0" w:color="auto"/>
              <w:left w:val="single" w:sz="4" w:space="0" w:color="auto"/>
              <w:bottom w:val="single" w:sz="4" w:space="0" w:color="auto"/>
              <w:right w:val="single" w:sz="4" w:space="0" w:color="auto"/>
            </w:tcBorders>
            <w:shd w:val="clear" w:color="auto" w:fill="C6EFCE"/>
          </w:tcPr>
          <w:p w14:paraId="2D5DD30C" w14:textId="77777777" w:rsidR="00067A32" w:rsidRPr="008635F8" w:rsidRDefault="00067A32" w:rsidP="00D6290E">
            <w:pPr>
              <w:widowControl w:val="0"/>
              <w:spacing w:after="0" w:line="240" w:lineRule="auto"/>
              <w:ind w:left="57" w:right="57"/>
              <w:jc w:val="both"/>
              <w:rPr>
                <w:rFonts w:ascii="Times New Roman" w:eastAsia="Times New Roman" w:hAnsi="Times New Roman" w:cs="Times New Roman"/>
                <w:noProof/>
                <w:sz w:val="18"/>
                <w:szCs w:val="18"/>
              </w:rPr>
            </w:pPr>
            <w:r w:rsidRPr="008635F8">
              <w:rPr>
                <w:rFonts w:ascii="Times New Roman" w:hAnsi="Times New Roman"/>
                <w:sz w:val="18"/>
                <w:szCs w:val="18"/>
              </w:rPr>
              <w:t>Pabeigti sabiedriskā transporta infrastruktūras projekti</w:t>
            </w:r>
          </w:p>
        </w:tc>
        <w:tc>
          <w:tcPr>
            <w:tcW w:w="1595" w:type="dxa"/>
            <w:tcBorders>
              <w:top w:val="single" w:sz="4" w:space="0" w:color="auto"/>
              <w:left w:val="single" w:sz="4" w:space="0" w:color="auto"/>
              <w:bottom w:val="single" w:sz="4" w:space="0" w:color="auto"/>
              <w:right w:val="single" w:sz="4" w:space="0" w:color="auto"/>
            </w:tcBorders>
            <w:shd w:val="clear" w:color="auto" w:fill="C6EFCE"/>
          </w:tcPr>
          <w:p w14:paraId="03762E55" w14:textId="77777777" w:rsidR="00067A32" w:rsidRPr="008635F8" w:rsidRDefault="00067A32" w:rsidP="00D6290E">
            <w:pPr>
              <w:widowControl w:val="0"/>
              <w:spacing w:after="0" w:line="240" w:lineRule="auto"/>
              <w:ind w:left="57" w:right="57"/>
              <w:jc w:val="both"/>
              <w:rPr>
                <w:rFonts w:ascii="Times New Roman" w:eastAsia="Times New Roman" w:hAnsi="Times New Roman" w:cs="Times New Roman"/>
                <w:noProof/>
                <w:sz w:val="18"/>
                <w:szCs w:val="18"/>
              </w:rPr>
            </w:pPr>
            <w:r w:rsidRPr="008635F8">
              <w:rPr>
                <w:rFonts w:ascii="Times New Roman" w:hAnsi="Times New Roman"/>
                <w:sz w:val="18"/>
                <w:szCs w:val="18"/>
              </w:rPr>
              <w:t>Pabeigtie projekti</w:t>
            </w:r>
          </w:p>
        </w:tc>
        <w:tc>
          <w:tcPr>
            <w:tcW w:w="991" w:type="dxa"/>
            <w:tcBorders>
              <w:top w:val="single" w:sz="4" w:space="0" w:color="auto"/>
              <w:left w:val="single" w:sz="4" w:space="0" w:color="auto"/>
              <w:bottom w:val="single" w:sz="4" w:space="0" w:color="auto"/>
              <w:right w:val="single" w:sz="4" w:space="0" w:color="auto"/>
            </w:tcBorders>
            <w:shd w:val="clear" w:color="auto" w:fill="C6EFCE"/>
          </w:tcPr>
          <w:p w14:paraId="67DC247B" w14:textId="77777777" w:rsidR="00067A32" w:rsidRPr="008635F8" w:rsidRDefault="00067A32" w:rsidP="00D6290E">
            <w:pPr>
              <w:widowControl w:val="0"/>
              <w:spacing w:after="0" w:line="240" w:lineRule="auto"/>
              <w:ind w:left="57" w:right="57"/>
              <w:jc w:val="both"/>
              <w:rPr>
                <w:rFonts w:ascii="Times New Roman" w:eastAsia="Times New Roman" w:hAnsi="Times New Roman" w:cs="Times New Roman"/>
                <w:noProof/>
                <w:sz w:val="18"/>
                <w:szCs w:val="18"/>
              </w:rPr>
            </w:pPr>
            <w:r w:rsidRPr="008635F8">
              <w:rPr>
                <w:rFonts w:ascii="Times New Roman" w:hAnsi="Times New Roman"/>
                <w:sz w:val="18"/>
                <w:szCs w:val="18"/>
              </w:rPr>
              <w:t>Neattiecas</w:t>
            </w:r>
          </w:p>
        </w:tc>
        <w:tc>
          <w:tcPr>
            <w:tcW w:w="535" w:type="dxa"/>
            <w:tcBorders>
              <w:top w:val="single" w:sz="4" w:space="0" w:color="auto"/>
              <w:left w:val="single" w:sz="4" w:space="0" w:color="auto"/>
              <w:bottom w:val="single" w:sz="4" w:space="0" w:color="auto"/>
              <w:right w:val="single" w:sz="4" w:space="0" w:color="auto"/>
            </w:tcBorders>
            <w:shd w:val="clear" w:color="auto" w:fill="C6EFCE"/>
          </w:tcPr>
          <w:p w14:paraId="037065F8" w14:textId="77777777" w:rsidR="00067A32" w:rsidRPr="008635F8" w:rsidRDefault="00067A32" w:rsidP="00D6290E">
            <w:pPr>
              <w:widowControl w:val="0"/>
              <w:spacing w:after="0" w:line="240" w:lineRule="auto"/>
              <w:ind w:left="57" w:right="57"/>
              <w:jc w:val="both"/>
              <w:rPr>
                <w:rFonts w:ascii="Times New Roman" w:eastAsia="Times New Roman" w:hAnsi="Times New Roman" w:cs="Times New Roman"/>
                <w:noProof/>
                <w:sz w:val="18"/>
                <w:szCs w:val="18"/>
              </w:rPr>
            </w:pPr>
            <w:r w:rsidRPr="008635F8">
              <w:rPr>
                <w:rFonts w:ascii="Times New Roman" w:hAnsi="Times New Roman"/>
                <w:sz w:val="18"/>
                <w:szCs w:val="18"/>
              </w:rPr>
              <w:t>Neattiecas</w:t>
            </w:r>
          </w:p>
        </w:tc>
        <w:tc>
          <w:tcPr>
            <w:tcW w:w="926" w:type="dxa"/>
            <w:tcBorders>
              <w:top w:val="single" w:sz="4" w:space="0" w:color="auto"/>
              <w:left w:val="single" w:sz="4" w:space="0" w:color="auto"/>
              <w:bottom w:val="single" w:sz="4" w:space="0" w:color="auto"/>
              <w:right w:val="single" w:sz="4" w:space="0" w:color="auto"/>
            </w:tcBorders>
            <w:shd w:val="clear" w:color="auto" w:fill="C6EFCE"/>
          </w:tcPr>
          <w:p w14:paraId="0A04820F" w14:textId="77777777" w:rsidR="00067A32" w:rsidRPr="008635F8" w:rsidRDefault="00067A32" w:rsidP="00D6290E">
            <w:pPr>
              <w:widowControl w:val="0"/>
              <w:spacing w:after="0" w:line="240" w:lineRule="auto"/>
              <w:ind w:left="57" w:right="57"/>
              <w:jc w:val="both"/>
              <w:rPr>
                <w:rFonts w:ascii="Times New Roman" w:eastAsia="Times New Roman" w:hAnsi="Times New Roman" w:cs="Times New Roman"/>
                <w:noProof/>
                <w:sz w:val="18"/>
                <w:szCs w:val="18"/>
              </w:rPr>
            </w:pPr>
            <w:r w:rsidRPr="008635F8">
              <w:rPr>
                <w:rFonts w:ascii="Times New Roman" w:hAnsi="Times New Roman"/>
                <w:sz w:val="18"/>
                <w:szCs w:val="18"/>
              </w:rPr>
              <w:t>Neattiecas</w:t>
            </w:r>
          </w:p>
        </w:tc>
        <w:tc>
          <w:tcPr>
            <w:tcW w:w="523" w:type="dxa"/>
            <w:tcBorders>
              <w:top w:val="single" w:sz="4" w:space="0" w:color="auto"/>
              <w:left w:val="single" w:sz="4" w:space="0" w:color="auto"/>
              <w:bottom w:val="single" w:sz="4" w:space="0" w:color="auto"/>
              <w:right w:val="single" w:sz="4" w:space="0" w:color="auto"/>
            </w:tcBorders>
            <w:shd w:val="clear" w:color="auto" w:fill="C6EFCE"/>
          </w:tcPr>
          <w:p w14:paraId="69FE3E4E" w14:textId="77777777" w:rsidR="00067A32" w:rsidRPr="008635F8" w:rsidRDefault="00067A32" w:rsidP="00D6290E">
            <w:pPr>
              <w:widowControl w:val="0"/>
              <w:spacing w:after="0" w:line="240" w:lineRule="auto"/>
              <w:ind w:left="57" w:right="57"/>
              <w:jc w:val="both"/>
              <w:rPr>
                <w:rFonts w:ascii="Times New Roman" w:eastAsia="Times New Roman" w:hAnsi="Times New Roman" w:cs="Times New Roman"/>
                <w:noProof/>
                <w:sz w:val="18"/>
                <w:szCs w:val="18"/>
              </w:rPr>
            </w:pPr>
            <w:r w:rsidRPr="008635F8">
              <w:rPr>
                <w:rFonts w:ascii="Times New Roman" w:hAnsi="Times New Roman"/>
                <w:sz w:val="18"/>
                <w:szCs w:val="18"/>
              </w:rPr>
              <w:t>3. cet.</w:t>
            </w:r>
          </w:p>
        </w:tc>
        <w:tc>
          <w:tcPr>
            <w:tcW w:w="568" w:type="dxa"/>
            <w:tcBorders>
              <w:top w:val="single" w:sz="4" w:space="0" w:color="auto"/>
              <w:left w:val="single" w:sz="4" w:space="0" w:color="auto"/>
              <w:bottom w:val="single" w:sz="4" w:space="0" w:color="auto"/>
              <w:right w:val="single" w:sz="4" w:space="0" w:color="auto"/>
            </w:tcBorders>
            <w:shd w:val="clear" w:color="auto" w:fill="C6EFCE"/>
          </w:tcPr>
          <w:p w14:paraId="59A933C4" w14:textId="77777777" w:rsidR="00067A32" w:rsidRPr="008635F8" w:rsidRDefault="00067A32" w:rsidP="00D6290E">
            <w:pPr>
              <w:widowControl w:val="0"/>
              <w:spacing w:after="0" w:line="240" w:lineRule="auto"/>
              <w:ind w:left="57" w:right="57"/>
              <w:jc w:val="both"/>
              <w:rPr>
                <w:rFonts w:ascii="Times New Roman" w:eastAsia="Times New Roman" w:hAnsi="Times New Roman" w:cs="Times New Roman"/>
                <w:noProof/>
                <w:sz w:val="18"/>
                <w:szCs w:val="18"/>
              </w:rPr>
            </w:pPr>
            <w:r w:rsidRPr="008635F8">
              <w:rPr>
                <w:rFonts w:ascii="Times New Roman" w:hAnsi="Times New Roman"/>
                <w:sz w:val="18"/>
                <w:szCs w:val="18"/>
              </w:rPr>
              <w:t>2026</w:t>
            </w:r>
          </w:p>
        </w:tc>
        <w:tc>
          <w:tcPr>
            <w:tcW w:w="1019" w:type="dxa"/>
            <w:tcBorders>
              <w:top w:val="single" w:sz="4" w:space="0" w:color="auto"/>
              <w:left w:val="single" w:sz="4" w:space="0" w:color="auto"/>
              <w:bottom w:val="single" w:sz="4" w:space="0" w:color="auto"/>
              <w:right w:val="single" w:sz="4" w:space="0" w:color="auto"/>
            </w:tcBorders>
            <w:shd w:val="clear" w:color="auto" w:fill="C6EFCE"/>
          </w:tcPr>
          <w:p w14:paraId="4B33C297"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r w:rsidRPr="008635F8">
              <w:rPr>
                <w:rFonts w:ascii="Times New Roman" w:hAnsi="Times New Roman"/>
                <w:sz w:val="18"/>
                <w:szCs w:val="18"/>
              </w:rPr>
              <w:t>Satiksmes ministrija</w:t>
            </w:r>
          </w:p>
        </w:tc>
        <w:tc>
          <w:tcPr>
            <w:tcW w:w="996" w:type="dxa"/>
            <w:tcBorders>
              <w:top w:val="single" w:sz="4" w:space="0" w:color="auto"/>
              <w:left w:val="single" w:sz="4" w:space="0" w:color="auto"/>
              <w:bottom w:val="single" w:sz="4" w:space="0" w:color="auto"/>
              <w:right w:val="single" w:sz="4" w:space="0" w:color="auto"/>
            </w:tcBorders>
            <w:shd w:val="clear" w:color="auto" w:fill="C6EFCE"/>
          </w:tcPr>
          <w:p w14:paraId="1BBCF346" w14:textId="77777777" w:rsidR="00067A32" w:rsidRPr="008635F8" w:rsidRDefault="00067A32" w:rsidP="00D6290E">
            <w:pPr>
              <w:widowControl w:val="0"/>
              <w:spacing w:after="0" w:line="240" w:lineRule="auto"/>
              <w:ind w:left="57" w:right="57"/>
              <w:jc w:val="both"/>
              <w:rPr>
                <w:rFonts w:ascii="Times New Roman" w:eastAsia="Times New Roman" w:hAnsi="Times New Roman" w:cs="Times New Roman"/>
                <w:noProof/>
                <w:sz w:val="18"/>
                <w:szCs w:val="18"/>
              </w:rPr>
            </w:pPr>
          </w:p>
        </w:tc>
        <w:tc>
          <w:tcPr>
            <w:tcW w:w="1486" w:type="dxa"/>
            <w:tcBorders>
              <w:top w:val="single" w:sz="4" w:space="0" w:color="auto"/>
              <w:left w:val="single" w:sz="4" w:space="0" w:color="auto"/>
              <w:bottom w:val="single" w:sz="4" w:space="0" w:color="auto"/>
              <w:right w:val="single" w:sz="4" w:space="0" w:color="auto"/>
            </w:tcBorders>
            <w:shd w:val="clear" w:color="auto" w:fill="C6EFCE"/>
          </w:tcPr>
          <w:p w14:paraId="5DEC4BA3" w14:textId="77777777" w:rsidR="0048148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Kopsavilkuma dokuments, kurā pienācīgi pamatots, kā tika apmierinoši sasniegts atskaites punkts (tostarp visi būtiskie elementi), kopā ar atbilstošām saitēm uz pamatojošajiem pierādījumiem.</w:t>
            </w:r>
          </w:p>
          <w:p w14:paraId="796C3AB5" w14:textId="3340F463" w:rsidR="00067A3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Šā dokumenta pielikumā iekļauj apliecinājumus par atskaites punkta aprakstā minēto projektu pabeigšanu.</w:t>
            </w:r>
          </w:p>
        </w:tc>
        <w:tc>
          <w:tcPr>
            <w:tcW w:w="1707" w:type="dxa"/>
            <w:tcBorders>
              <w:top w:val="single" w:sz="4" w:space="0" w:color="auto"/>
              <w:left w:val="single" w:sz="4" w:space="0" w:color="auto"/>
              <w:bottom w:val="single" w:sz="4" w:space="0" w:color="auto"/>
              <w:right w:val="single" w:sz="4" w:space="0" w:color="auto"/>
            </w:tcBorders>
            <w:shd w:val="clear" w:color="auto" w:fill="C6EFCE"/>
          </w:tcPr>
          <w:p w14:paraId="48151F39" w14:textId="77777777" w:rsidR="00067A32" w:rsidRPr="008635F8" w:rsidRDefault="00067A32" w:rsidP="00E147E0">
            <w:pPr>
              <w:widowControl w:val="0"/>
              <w:spacing w:after="0" w:line="240" w:lineRule="auto"/>
              <w:ind w:left="57" w:right="57"/>
              <w:rPr>
                <w:rFonts w:ascii="Times New Roman" w:eastAsia="Times New Roman" w:hAnsi="Times New Roman" w:cs="Times New Roman"/>
                <w:noProof/>
                <w:sz w:val="18"/>
                <w:szCs w:val="18"/>
              </w:rPr>
            </w:pPr>
            <w:r w:rsidRPr="008635F8">
              <w:rPr>
                <w:rFonts w:ascii="Times New Roman" w:hAnsi="Times New Roman"/>
                <w:sz w:val="18"/>
                <w:szCs w:val="18"/>
              </w:rPr>
              <w:t>Pabeidz šādu transporta infrastruktūru:</w:t>
            </w:r>
          </w:p>
          <w:p w14:paraId="4240E8A8" w14:textId="77777777" w:rsidR="00481482" w:rsidRPr="008635F8" w:rsidRDefault="00067A32" w:rsidP="00E147E0">
            <w:pPr>
              <w:widowControl w:val="0"/>
              <w:spacing w:after="0" w:line="240" w:lineRule="auto"/>
              <w:ind w:left="57" w:right="57"/>
              <w:rPr>
                <w:rFonts w:ascii="Times New Roman" w:eastAsia="Times New Roman" w:hAnsi="Times New Roman" w:cs="Times New Roman"/>
                <w:noProof/>
                <w:sz w:val="18"/>
                <w:szCs w:val="18"/>
              </w:rPr>
            </w:pPr>
            <w:r w:rsidRPr="008635F8">
              <w:rPr>
                <w:rFonts w:ascii="Times New Roman" w:hAnsi="Times New Roman"/>
                <w:sz w:val="18"/>
                <w:szCs w:val="18"/>
              </w:rPr>
              <w:t>- viens sabiedriskā transporta mezgls (autobuss/elektroautobuss, tramvajs un trolejbuss);</w:t>
            </w:r>
          </w:p>
          <w:p w14:paraId="2C4DB496" w14:textId="208FA886" w:rsidR="00067A32" w:rsidRPr="008635F8" w:rsidRDefault="00067A32" w:rsidP="00E147E0">
            <w:pPr>
              <w:widowControl w:val="0"/>
              <w:spacing w:after="0" w:line="240" w:lineRule="auto"/>
              <w:ind w:left="57" w:right="57"/>
              <w:rPr>
                <w:rFonts w:ascii="Times New Roman" w:eastAsia="Times New Roman" w:hAnsi="Times New Roman" w:cs="Times New Roman"/>
                <w:noProof/>
                <w:sz w:val="18"/>
                <w:szCs w:val="18"/>
              </w:rPr>
            </w:pPr>
            <w:r w:rsidRPr="008635F8">
              <w:rPr>
                <w:rFonts w:ascii="Times New Roman" w:hAnsi="Times New Roman"/>
                <w:sz w:val="18"/>
                <w:szCs w:val="18"/>
              </w:rPr>
              <w:t>- astoņi mobilitātes punkti;</w:t>
            </w:r>
          </w:p>
          <w:p w14:paraId="3C15A8BF" w14:textId="77777777" w:rsidR="00067A32" w:rsidRPr="008635F8" w:rsidRDefault="00067A32" w:rsidP="00E147E0">
            <w:pPr>
              <w:widowControl w:val="0"/>
              <w:spacing w:after="0" w:line="240" w:lineRule="auto"/>
              <w:ind w:left="57" w:right="57"/>
              <w:rPr>
                <w:rFonts w:ascii="Times New Roman" w:eastAsia="Times New Roman" w:hAnsi="Times New Roman" w:cs="Times New Roman"/>
                <w:noProof/>
                <w:sz w:val="18"/>
                <w:szCs w:val="18"/>
              </w:rPr>
            </w:pPr>
            <w:r w:rsidRPr="008635F8">
              <w:rPr>
                <w:rFonts w:ascii="Times New Roman" w:hAnsi="Times New Roman"/>
                <w:sz w:val="18"/>
                <w:szCs w:val="18"/>
              </w:rPr>
              <w:t>- tramvaja līnijas pagarinājums par 2,2 km;</w:t>
            </w:r>
          </w:p>
          <w:p w14:paraId="25F78174" w14:textId="77777777" w:rsidR="00067A32" w:rsidRPr="008635F8" w:rsidRDefault="00067A32" w:rsidP="00E147E0">
            <w:pPr>
              <w:widowControl w:val="0"/>
              <w:spacing w:after="0" w:line="240" w:lineRule="auto"/>
              <w:ind w:left="57" w:right="57"/>
              <w:rPr>
                <w:rFonts w:ascii="Times New Roman" w:eastAsia="Times New Roman" w:hAnsi="Times New Roman" w:cs="Times New Roman"/>
                <w:noProof/>
                <w:sz w:val="18"/>
                <w:szCs w:val="18"/>
              </w:rPr>
            </w:pPr>
            <w:r w:rsidRPr="008635F8">
              <w:rPr>
                <w:rFonts w:ascii="Times New Roman" w:hAnsi="Times New Roman"/>
                <w:sz w:val="18"/>
                <w:szCs w:val="18"/>
              </w:rPr>
              <w:t>- trolejbusa līnijas pagarinājums par 0,3 km.</w:t>
            </w:r>
          </w:p>
        </w:tc>
      </w:tr>
      <w:tr w:rsidR="0041037D" w:rsidRPr="008635F8" w14:paraId="27E196F1" w14:textId="77777777" w:rsidTr="0044659E">
        <w:trPr>
          <w:trHeight w:val="1200"/>
        </w:trPr>
        <w:tc>
          <w:tcPr>
            <w:tcW w:w="280" w:type="dxa"/>
            <w:tcBorders>
              <w:top w:val="single" w:sz="4" w:space="0" w:color="auto"/>
              <w:left w:val="single" w:sz="4" w:space="0" w:color="auto"/>
              <w:bottom w:val="single" w:sz="4" w:space="0" w:color="auto"/>
              <w:right w:val="single" w:sz="4" w:space="0" w:color="auto"/>
            </w:tcBorders>
            <w:shd w:val="clear" w:color="auto" w:fill="C6EFCE"/>
          </w:tcPr>
          <w:p w14:paraId="36AA1316"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6</w:t>
            </w:r>
          </w:p>
        </w:tc>
        <w:tc>
          <w:tcPr>
            <w:tcW w:w="1416" w:type="dxa"/>
            <w:tcBorders>
              <w:top w:val="single" w:sz="4" w:space="0" w:color="auto"/>
              <w:left w:val="single" w:sz="4" w:space="0" w:color="auto"/>
              <w:bottom w:val="single" w:sz="4" w:space="0" w:color="auto"/>
              <w:right w:val="single" w:sz="4" w:space="0" w:color="auto"/>
            </w:tcBorders>
            <w:shd w:val="clear" w:color="auto" w:fill="C6EFCE"/>
          </w:tcPr>
          <w:p w14:paraId="35AB0258" w14:textId="77777777" w:rsidR="00067A32" w:rsidRPr="008635F8" w:rsidRDefault="00067A32" w:rsidP="00D6290E">
            <w:pPr>
              <w:widowControl w:val="0"/>
              <w:spacing w:after="0" w:line="240" w:lineRule="auto"/>
              <w:ind w:left="57" w:right="57"/>
              <w:jc w:val="both"/>
              <w:rPr>
                <w:rFonts w:ascii="Times New Roman" w:hAnsi="Times New Roman" w:cs="Times New Roman"/>
                <w:b/>
                <w:bCs/>
                <w:noProof/>
                <w:sz w:val="18"/>
                <w:szCs w:val="18"/>
              </w:rPr>
            </w:pPr>
            <w:r w:rsidRPr="008635F8">
              <w:rPr>
                <w:rFonts w:ascii="Times New Roman" w:hAnsi="Times New Roman"/>
                <w:b/>
                <w:sz w:val="18"/>
                <w:szCs w:val="18"/>
              </w:rPr>
              <w:t>1.1.1.i. Rīgas metropoles transporta infrastruktūras uzlabošana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C85AB27" w14:textId="77777777" w:rsidR="00067A32" w:rsidRPr="008635F8" w:rsidRDefault="00067A32" w:rsidP="00D6290E">
            <w:pPr>
              <w:widowControl w:val="0"/>
              <w:spacing w:after="0" w:line="240" w:lineRule="auto"/>
              <w:ind w:left="57" w:right="57"/>
              <w:jc w:val="both"/>
              <w:rPr>
                <w:rFonts w:ascii="Times New Roman" w:eastAsia="Times New Roman" w:hAnsi="Times New Roman" w:cs="Times New Roman"/>
                <w:noProof/>
                <w:sz w:val="18"/>
                <w:szCs w:val="18"/>
              </w:rPr>
            </w:pPr>
            <w:r w:rsidRPr="008635F8">
              <w:rPr>
                <w:rFonts w:ascii="Times New Roman" w:hAnsi="Times New Roman"/>
                <w:sz w:val="18"/>
                <w:szCs w:val="18"/>
              </w:rPr>
              <w:t>Mērķis</w:t>
            </w:r>
          </w:p>
        </w:tc>
        <w:tc>
          <w:tcPr>
            <w:tcW w:w="1100" w:type="dxa"/>
            <w:tcBorders>
              <w:top w:val="single" w:sz="4" w:space="0" w:color="auto"/>
              <w:left w:val="single" w:sz="4" w:space="0" w:color="auto"/>
              <w:bottom w:val="single" w:sz="4" w:space="0" w:color="auto"/>
              <w:right w:val="single" w:sz="4" w:space="0" w:color="auto"/>
            </w:tcBorders>
            <w:shd w:val="clear" w:color="auto" w:fill="C6EFCE"/>
          </w:tcPr>
          <w:p w14:paraId="2F03F86C" w14:textId="77777777" w:rsidR="00067A32" w:rsidRPr="008635F8" w:rsidRDefault="00067A32" w:rsidP="00D6290E">
            <w:pPr>
              <w:widowControl w:val="0"/>
              <w:spacing w:after="0" w:line="240" w:lineRule="auto"/>
              <w:ind w:left="57" w:right="57"/>
              <w:jc w:val="both"/>
              <w:rPr>
                <w:rFonts w:ascii="Times New Roman" w:eastAsia="Times New Roman" w:hAnsi="Times New Roman" w:cs="Times New Roman"/>
                <w:noProof/>
                <w:sz w:val="18"/>
                <w:szCs w:val="18"/>
              </w:rPr>
            </w:pPr>
            <w:r w:rsidRPr="008635F8">
              <w:rPr>
                <w:rFonts w:ascii="Times New Roman" w:hAnsi="Times New Roman"/>
                <w:sz w:val="18"/>
                <w:szCs w:val="18"/>
              </w:rPr>
              <w:t>Jaunizbūvētās vai pārbūvētās veloinfrastruktūras garums Rīgas pilsētā un Pierīgā (daļa no Rīgas metropoles areāla)</w:t>
            </w:r>
          </w:p>
        </w:tc>
        <w:tc>
          <w:tcPr>
            <w:tcW w:w="1595" w:type="dxa"/>
            <w:tcBorders>
              <w:top w:val="single" w:sz="4" w:space="0" w:color="auto"/>
              <w:left w:val="single" w:sz="4" w:space="0" w:color="auto"/>
              <w:bottom w:val="single" w:sz="4" w:space="0" w:color="auto"/>
              <w:right w:val="single" w:sz="4" w:space="0" w:color="auto"/>
            </w:tcBorders>
            <w:shd w:val="clear" w:color="auto" w:fill="C6EFCE"/>
          </w:tcPr>
          <w:p w14:paraId="465E0773" w14:textId="77777777" w:rsidR="00067A32" w:rsidRPr="008635F8" w:rsidRDefault="00067A32" w:rsidP="00D6290E">
            <w:pPr>
              <w:widowControl w:val="0"/>
              <w:spacing w:after="0" w:line="240" w:lineRule="auto"/>
              <w:ind w:left="57" w:right="57"/>
              <w:jc w:val="both"/>
              <w:rPr>
                <w:rFonts w:ascii="Times New Roman" w:eastAsia="Times New Roman" w:hAnsi="Times New Roman" w:cs="Times New Roman"/>
                <w:noProof/>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C6EFCE"/>
          </w:tcPr>
          <w:p w14:paraId="205093CE" w14:textId="77777777" w:rsidR="00067A32" w:rsidRPr="008635F8" w:rsidRDefault="00067A32" w:rsidP="00D6290E">
            <w:pPr>
              <w:widowControl w:val="0"/>
              <w:spacing w:after="0" w:line="240" w:lineRule="auto"/>
              <w:ind w:left="57" w:right="57"/>
              <w:jc w:val="both"/>
              <w:rPr>
                <w:rFonts w:ascii="Times New Roman" w:eastAsia="Times New Roman" w:hAnsi="Times New Roman" w:cs="Times New Roman"/>
                <w:noProof/>
                <w:sz w:val="18"/>
                <w:szCs w:val="18"/>
              </w:rPr>
            </w:pPr>
            <w:r w:rsidRPr="008635F8">
              <w:rPr>
                <w:rFonts w:ascii="Times New Roman" w:hAnsi="Times New Roman"/>
                <w:sz w:val="18"/>
                <w:szCs w:val="18"/>
              </w:rPr>
              <w:t>km</w:t>
            </w:r>
          </w:p>
        </w:tc>
        <w:tc>
          <w:tcPr>
            <w:tcW w:w="535" w:type="dxa"/>
            <w:tcBorders>
              <w:top w:val="single" w:sz="4" w:space="0" w:color="auto"/>
              <w:left w:val="single" w:sz="4" w:space="0" w:color="auto"/>
              <w:bottom w:val="single" w:sz="4" w:space="0" w:color="auto"/>
              <w:right w:val="single" w:sz="4" w:space="0" w:color="auto"/>
            </w:tcBorders>
            <w:shd w:val="clear" w:color="auto" w:fill="C6EFCE"/>
          </w:tcPr>
          <w:p w14:paraId="4E43152F" w14:textId="77777777" w:rsidR="00067A32" w:rsidRPr="008635F8" w:rsidRDefault="00067A32" w:rsidP="00D6290E">
            <w:pPr>
              <w:widowControl w:val="0"/>
              <w:spacing w:after="0" w:line="240" w:lineRule="auto"/>
              <w:ind w:left="57" w:right="57"/>
              <w:jc w:val="both"/>
              <w:rPr>
                <w:rFonts w:ascii="Times New Roman" w:eastAsia="Times New Roman" w:hAnsi="Times New Roman" w:cs="Times New Roman"/>
                <w:noProof/>
                <w:sz w:val="18"/>
                <w:szCs w:val="18"/>
              </w:rPr>
            </w:pPr>
            <w:r w:rsidRPr="008635F8">
              <w:rPr>
                <w:rFonts w:ascii="Times New Roman" w:hAnsi="Times New Roman"/>
                <w:sz w:val="18"/>
                <w:szCs w:val="18"/>
              </w:rPr>
              <w:t>0</w:t>
            </w:r>
          </w:p>
        </w:tc>
        <w:tc>
          <w:tcPr>
            <w:tcW w:w="926" w:type="dxa"/>
            <w:tcBorders>
              <w:top w:val="single" w:sz="4" w:space="0" w:color="auto"/>
              <w:left w:val="single" w:sz="4" w:space="0" w:color="auto"/>
              <w:bottom w:val="single" w:sz="4" w:space="0" w:color="auto"/>
              <w:right w:val="single" w:sz="4" w:space="0" w:color="auto"/>
            </w:tcBorders>
            <w:shd w:val="clear" w:color="auto" w:fill="C6EFCE"/>
          </w:tcPr>
          <w:p w14:paraId="7E90939F" w14:textId="77777777" w:rsidR="00067A32" w:rsidRPr="008635F8" w:rsidRDefault="00067A32" w:rsidP="00D6290E">
            <w:pPr>
              <w:widowControl w:val="0"/>
              <w:spacing w:after="0" w:line="240" w:lineRule="auto"/>
              <w:ind w:left="57" w:right="57"/>
              <w:jc w:val="both"/>
              <w:rPr>
                <w:rFonts w:ascii="Times New Roman" w:eastAsia="Times New Roman" w:hAnsi="Times New Roman" w:cs="Times New Roman"/>
                <w:noProof/>
                <w:sz w:val="18"/>
                <w:szCs w:val="18"/>
              </w:rPr>
            </w:pPr>
            <w:r w:rsidRPr="008635F8">
              <w:rPr>
                <w:rFonts w:ascii="Times New Roman" w:hAnsi="Times New Roman"/>
                <w:sz w:val="18"/>
                <w:szCs w:val="18"/>
              </w:rPr>
              <w:t>52</w:t>
            </w:r>
          </w:p>
        </w:tc>
        <w:tc>
          <w:tcPr>
            <w:tcW w:w="523" w:type="dxa"/>
            <w:tcBorders>
              <w:top w:val="single" w:sz="4" w:space="0" w:color="auto"/>
              <w:left w:val="single" w:sz="4" w:space="0" w:color="auto"/>
              <w:bottom w:val="single" w:sz="4" w:space="0" w:color="auto"/>
              <w:right w:val="single" w:sz="4" w:space="0" w:color="auto"/>
            </w:tcBorders>
            <w:shd w:val="clear" w:color="auto" w:fill="C6EFCE"/>
          </w:tcPr>
          <w:p w14:paraId="0B7C3C04" w14:textId="77777777" w:rsidR="00067A32" w:rsidRPr="008635F8" w:rsidRDefault="00067A32" w:rsidP="00D6290E">
            <w:pPr>
              <w:widowControl w:val="0"/>
              <w:spacing w:after="0" w:line="240" w:lineRule="auto"/>
              <w:ind w:left="57" w:right="57"/>
              <w:jc w:val="both"/>
              <w:rPr>
                <w:rFonts w:ascii="Times New Roman" w:eastAsia="Times New Roman" w:hAnsi="Times New Roman" w:cs="Times New Roman"/>
                <w:noProof/>
                <w:sz w:val="18"/>
                <w:szCs w:val="18"/>
              </w:rPr>
            </w:pPr>
            <w:r w:rsidRPr="008635F8">
              <w:rPr>
                <w:rFonts w:ascii="Times New Roman" w:hAnsi="Times New Roman"/>
                <w:sz w:val="18"/>
                <w:szCs w:val="18"/>
              </w:rPr>
              <w:t>3. cet.</w:t>
            </w:r>
          </w:p>
        </w:tc>
        <w:tc>
          <w:tcPr>
            <w:tcW w:w="568" w:type="dxa"/>
            <w:tcBorders>
              <w:top w:val="single" w:sz="4" w:space="0" w:color="auto"/>
              <w:left w:val="single" w:sz="4" w:space="0" w:color="auto"/>
              <w:bottom w:val="single" w:sz="4" w:space="0" w:color="auto"/>
              <w:right w:val="single" w:sz="4" w:space="0" w:color="auto"/>
            </w:tcBorders>
            <w:shd w:val="clear" w:color="auto" w:fill="C6EFCE"/>
          </w:tcPr>
          <w:p w14:paraId="381725AB" w14:textId="77777777" w:rsidR="00067A32" w:rsidRPr="008635F8" w:rsidRDefault="00067A32" w:rsidP="00D6290E">
            <w:pPr>
              <w:widowControl w:val="0"/>
              <w:spacing w:after="0" w:line="240" w:lineRule="auto"/>
              <w:ind w:left="57" w:right="57"/>
              <w:jc w:val="both"/>
              <w:rPr>
                <w:rFonts w:ascii="Times New Roman" w:eastAsia="Times New Roman" w:hAnsi="Times New Roman" w:cs="Times New Roman"/>
                <w:noProof/>
                <w:sz w:val="18"/>
                <w:szCs w:val="18"/>
              </w:rPr>
            </w:pPr>
            <w:r w:rsidRPr="008635F8">
              <w:rPr>
                <w:rFonts w:ascii="Times New Roman" w:hAnsi="Times New Roman"/>
                <w:sz w:val="18"/>
                <w:szCs w:val="18"/>
              </w:rPr>
              <w:t>2026</w:t>
            </w:r>
          </w:p>
        </w:tc>
        <w:tc>
          <w:tcPr>
            <w:tcW w:w="1019" w:type="dxa"/>
            <w:tcBorders>
              <w:top w:val="single" w:sz="4" w:space="0" w:color="auto"/>
              <w:left w:val="single" w:sz="4" w:space="0" w:color="auto"/>
              <w:bottom w:val="single" w:sz="4" w:space="0" w:color="auto"/>
              <w:right w:val="single" w:sz="4" w:space="0" w:color="auto"/>
            </w:tcBorders>
            <w:shd w:val="clear" w:color="auto" w:fill="C6EFCE"/>
          </w:tcPr>
          <w:p w14:paraId="6B0CDE25"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r w:rsidRPr="008635F8">
              <w:rPr>
                <w:rFonts w:ascii="Times New Roman" w:hAnsi="Times New Roman"/>
                <w:sz w:val="18"/>
                <w:szCs w:val="18"/>
              </w:rPr>
              <w:t>Satiksmes ministrija</w:t>
            </w:r>
          </w:p>
        </w:tc>
        <w:tc>
          <w:tcPr>
            <w:tcW w:w="996" w:type="dxa"/>
            <w:tcBorders>
              <w:top w:val="single" w:sz="4" w:space="0" w:color="auto"/>
              <w:left w:val="single" w:sz="4" w:space="0" w:color="auto"/>
              <w:bottom w:val="single" w:sz="4" w:space="0" w:color="auto"/>
              <w:right w:val="single" w:sz="4" w:space="0" w:color="auto"/>
            </w:tcBorders>
            <w:shd w:val="clear" w:color="auto" w:fill="C6EFCE"/>
          </w:tcPr>
          <w:p w14:paraId="67B32727" w14:textId="77777777" w:rsidR="00067A32" w:rsidRPr="008635F8" w:rsidRDefault="00067A32" w:rsidP="00D6290E">
            <w:pPr>
              <w:widowControl w:val="0"/>
              <w:spacing w:after="0" w:line="240" w:lineRule="auto"/>
              <w:ind w:left="57" w:right="57"/>
              <w:jc w:val="both"/>
              <w:rPr>
                <w:rFonts w:ascii="Times New Roman" w:eastAsia="Times New Roman" w:hAnsi="Times New Roman" w:cs="Times New Roman"/>
                <w:noProof/>
                <w:sz w:val="18"/>
                <w:szCs w:val="18"/>
              </w:rPr>
            </w:pPr>
          </w:p>
        </w:tc>
        <w:tc>
          <w:tcPr>
            <w:tcW w:w="1486" w:type="dxa"/>
            <w:tcBorders>
              <w:top w:val="single" w:sz="4" w:space="0" w:color="auto"/>
              <w:left w:val="single" w:sz="4" w:space="0" w:color="auto"/>
              <w:bottom w:val="single" w:sz="4" w:space="0" w:color="auto"/>
              <w:right w:val="single" w:sz="4" w:space="0" w:color="auto"/>
            </w:tcBorders>
            <w:shd w:val="clear" w:color="auto" w:fill="C6EFCE"/>
          </w:tcPr>
          <w:p w14:paraId="1B717105" w14:textId="77777777" w:rsidR="0048148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Kopsavilkuma dokuments, kurā pienācīgi pamatots, kā tika apmierinoši sasniegts mērķis (tostarp visi būtiskie elementi), kopā ar atbilstošām saitēm uz pamatojošajiem pierādījumiem.</w:t>
            </w:r>
          </w:p>
          <w:p w14:paraId="01C94F9B" w14:textId="6B82FEAF" w:rsidR="00067A3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Šā dokumenta pielikumā iekļauj:</w:t>
            </w:r>
          </w:p>
          <w:p w14:paraId="22FFA954" w14:textId="77777777" w:rsidR="00067A32" w:rsidRPr="008635F8" w:rsidRDefault="00067A32" w:rsidP="00E147E0">
            <w:pPr>
              <w:widowControl w:val="0"/>
              <w:spacing w:after="0" w:line="240" w:lineRule="auto"/>
              <w:ind w:left="57" w:right="57"/>
              <w:rPr>
                <w:rFonts w:ascii="Times New Roman" w:hAnsi="Times New Roman"/>
                <w:noProof/>
                <w:sz w:val="18"/>
                <w:szCs w:val="18"/>
              </w:rPr>
            </w:pPr>
            <w:r w:rsidRPr="008635F8">
              <w:rPr>
                <w:rFonts w:ascii="Times New Roman" w:hAnsi="Times New Roman"/>
                <w:sz w:val="18"/>
                <w:szCs w:val="18"/>
              </w:rPr>
              <w:t xml:space="preserve">a) sarakstu, kurā norādīti visi </w:t>
            </w:r>
            <w:r w:rsidRPr="008635F8">
              <w:rPr>
                <w:rFonts w:ascii="Times New Roman" w:hAnsi="Times New Roman"/>
                <w:sz w:val="18"/>
                <w:szCs w:val="18"/>
              </w:rPr>
              <w:lastRenderedPageBreak/>
              <w:t>projekti, norādot garumu kilometros un veidu (pārbūve vai jauna būvniecība);</w:t>
            </w:r>
          </w:p>
          <w:p w14:paraId="450FC1F3" w14:textId="1B3778BD" w:rsidR="00067A3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b) apliecinājumu par jaunizbūvētās vai pārbūvētās veloinfrastruktūras nodošanu ekspluatācijā.</w:t>
            </w:r>
          </w:p>
        </w:tc>
        <w:tc>
          <w:tcPr>
            <w:tcW w:w="1707" w:type="dxa"/>
            <w:tcBorders>
              <w:top w:val="single" w:sz="4" w:space="0" w:color="auto"/>
              <w:left w:val="single" w:sz="4" w:space="0" w:color="auto"/>
              <w:bottom w:val="single" w:sz="4" w:space="0" w:color="auto"/>
              <w:right w:val="single" w:sz="4" w:space="0" w:color="auto"/>
            </w:tcBorders>
            <w:shd w:val="clear" w:color="auto" w:fill="C6EFCE"/>
          </w:tcPr>
          <w:p w14:paraId="08906E3C" w14:textId="77777777" w:rsidR="00067A32" w:rsidRPr="008635F8" w:rsidRDefault="00067A32" w:rsidP="00E147E0">
            <w:pPr>
              <w:widowControl w:val="0"/>
              <w:spacing w:after="0" w:line="240" w:lineRule="auto"/>
              <w:ind w:left="57" w:right="57"/>
              <w:rPr>
                <w:rFonts w:ascii="Times New Roman" w:eastAsia="Times New Roman" w:hAnsi="Times New Roman" w:cs="Times New Roman"/>
                <w:noProof/>
                <w:sz w:val="18"/>
                <w:szCs w:val="18"/>
              </w:rPr>
            </w:pPr>
            <w:r w:rsidRPr="008635F8">
              <w:rPr>
                <w:rFonts w:ascii="Times New Roman" w:hAnsi="Times New Roman"/>
                <w:sz w:val="18"/>
                <w:szCs w:val="18"/>
              </w:rPr>
              <w:lastRenderedPageBreak/>
              <w:t>Jaunizbūvētās vai pārbūvētās veloinfrastruktūras nodošana ekspluatācijā.</w:t>
            </w:r>
          </w:p>
        </w:tc>
      </w:tr>
      <w:tr w:rsidR="0041037D" w:rsidRPr="008635F8" w14:paraId="17D85FB7" w14:textId="77777777" w:rsidTr="0044659E">
        <w:trPr>
          <w:trHeight w:val="1200"/>
        </w:trPr>
        <w:tc>
          <w:tcPr>
            <w:tcW w:w="280" w:type="dxa"/>
            <w:tcBorders>
              <w:top w:val="single" w:sz="4" w:space="0" w:color="auto"/>
              <w:left w:val="single" w:sz="4" w:space="0" w:color="auto"/>
              <w:bottom w:val="single" w:sz="4" w:space="0" w:color="auto"/>
              <w:right w:val="single" w:sz="4" w:space="0" w:color="auto"/>
            </w:tcBorders>
            <w:shd w:val="clear" w:color="auto" w:fill="C6EFCE"/>
          </w:tcPr>
          <w:p w14:paraId="1468564C"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7</w:t>
            </w:r>
          </w:p>
        </w:tc>
        <w:tc>
          <w:tcPr>
            <w:tcW w:w="1416" w:type="dxa"/>
            <w:tcBorders>
              <w:top w:val="single" w:sz="4" w:space="0" w:color="auto"/>
              <w:left w:val="single" w:sz="4" w:space="0" w:color="auto"/>
              <w:bottom w:val="single" w:sz="4" w:space="0" w:color="auto"/>
              <w:right w:val="single" w:sz="4" w:space="0" w:color="auto"/>
            </w:tcBorders>
            <w:shd w:val="clear" w:color="auto" w:fill="C6EFCE"/>
          </w:tcPr>
          <w:p w14:paraId="01C364AD"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b/>
                <w:bCs/>
                <w:noProof/>
                <w:sz w:val="18"/>
                <w:szCs w:val="18"/>
              </w:rPr>
            </w:pPr>
            <w:r w:rsidRPr="008635F8">
              <w:rPr>
                <w:rFonts w:ascii="Times New Roman" w:hAnsi="Times New Roman"/>
                <w:b/>
                <w:sz w:val="18"/>
                <w:szCs w:val="18"/>
              </w:rPr>
              <w:t>1.2.1.1.i. Daudzdzīvokļu māju energoefektivitātes uzlabošana un pāreja uz atjaunojamo energoresursu tehnoloģiju izmantošanu</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3FF9E3C4"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Atskaites punkts</w:t>
            </w:r>
          </w:p>
        </w:tc>
        <w:tc>
          <w:tcPr>
            <w:tcW w:w="1100" w:type="dxa"/>
            <w:tcBorders>
              <w:top w:val="single" w:sz="4" w:space="0" w:color="auto"/>
              <w:left w:val="single" w:sz="4" w:space="0" w:color="auto"/>
              <w:bottom w:val="single" w:sz="4" w:space="0" w:color="auto"/>
              <w:right w:val="single" w:sz="4" w:space="0" w:color="auto"/>
            </w:tcBorders>
            <w:shd w:val="clear" w:color="auto" w:fill="C6EFCE"/>
          </w:tcPr>
          <w:p w14:paraId="70A3A268"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 xml:space="preserve">Dzīvojamo ēku energoefektivitātes uzlabošanas atbalsta programmas stāšanās spēkā </w:t>
            </w:r>
          </w:p>
        </w:tc>
        <w:tc>
          <w:tcPr>
            <w:tcW w:w="1595" w:type="dxa"/>
            <w:tcBorders>
              <w:top w:val="single" w:sz="4" w:space="0" w:color="auto"/>
              <w:left w:val="single" w:sz="4" w:space="0" w:color="auto"/>
              <w:bottom w:val="single" w:sz="4" w:space="0" w:color="auto"/>
              <w:right w:val="single" w:sz="4" w:space="0" w:color="auto"/>
            </w:tcBorders>
            <w:shd w:val="clear" w:color="auto" w:fill="C6EFCE"/>
          </w:tcPr>
          <w:p w14:paraId="509A5635"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 xml:space="preserve">Dzīvojamo ēku energoefektivitātes uzlabošanas atbalsta programmas stāšanās spēkā </w:t>
            </w:r>
          </w:p>
        </w:tc>
        <w:tc>
          <w:tcPr>
            <w:tcW w:w="991" w:type="dxa"/>
            <w:tcBorders>
              <w:top w:val="single" w:sz="4" w:space="0" w:color="auto"/>
              <w:left w:val="single" w:sz="4" w:space="0" w:color="auto"/>
              <w:bottom w:val="single" w:sz="4" w:space="0" w:color="auto"/>
              <w:right w:val="single" w:sz="4" w:space="0" w:color="auto"/>
            </w:tcBorders>
            <w:shd w:val="clear" w:color="auto" w:fill="C6EFCE"/>
          </w:tcPr>
          <w:p w14:paraId="4BEA14C8"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Neattiecas</w:t>
            </w:r>
          </w:p>
        </w:tc>
        <w:tc>
          <w:tcPr>
            <w:tcW w:w="535" w:type="dxa"/>
            <w:tcBorders>
              <w:top w:val="single" w:sz="4" w:space="0" w:color="auto"/>
              <w:left w:val="single" w:sz="4" w:space="0" w:color="auto"/>
              <w:bottom w:val="single" w:sz="4" w:space="0" w:color="auto"/>
              <w:right w:val="single" w:sz="4" w:space="0" w:color="auto"/>
            </w:tcBorders>
            <w:shd w:val="clear" w:color="auto" w:fill="C6EFCE"/>
          </w:tcPr>
          <w:p w14:paraId="6E2C1B37"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Neattiecas</w:t>
            </w:r>
          </w:p>
        </w:tc>
        <w:tc>
          <w:tcPr>
            <w:tcW w:w="926" w:type="dxa"/>
            <w:tcBorders>
              <w:top w:val="single" w:sz="4" w:space="0" w:color="auto"/>
              <w:left w:val="single" w:sz="4" w:space="0" w:color="auto"/>
              <w:bottom w:val="single" w:sz="4" w:space="0" w:color="auto"/>
              <w:right w:val="single" w:sz="4" w:space="0" w:color="auto"/>
            </w:tcBorders>
            <w:shd w:val="clear" w:color="auto" w:fill="C6EFCE"/>
          </w:tcPr>
          <w:p w14:paraId="2D1CEFAA"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Neattiecas</w:t>
            </w:r>
          </w:p>
        </w:tc>
        <w:tc>
          <w:tcPr>
            <w:tcW w:w="523" w:type="dxa"/>
            <w:tcBorders>
              <w:top w:val="single" w:sz="4" w:space="0" w:color="auto"/>
              <w:left w:val="single" w:sz="4" w:space="0" w:color="auto"/>
              <w:bottom w:val="single" w:sz="4" w:space="0" w:color="auto"/>
              <w:right w:val="single" w:sz="4" w:space="0" w:color="auto"/>
            </w:tcBorders>
            <w:shd w:val="clear" w:color="auto" w:fill="C6EFCE"/>
          </w:tcPr>
          <w:p w14:paraId="4A2308C6"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1. cet.</w:t>
            </w:r>
          </w:p>
        </w:tc>
        <w:tc>
          <w:tcPr>
            <w:tcW w:w="568" w:type="dxa"/>
            <w:tcBorders>
              <w:top w:val="single" w:sz="4" w:space="0" w:color="auto"/>
              <w:left w:val="single" w:sz="4" w:space="0" w:color="auto"/>
              <w:bottom w:val="single" w:sz="4" w:space="0" w:color="auto"/>
              <w:right w:val="single" w:sz="4" w:space="0" w:color="auto"/>
            </w:tcBorders>
            <w:shd w:val="clear" w:color="auto" w:fill="C6EFCE"/>
          </w:tcPr>
          <w:p w14:paraId="3D1480BA"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2022</w:t>
            </w:r>
          </w:p>
        </w:tc>
        <w:tc>
          <w:tcPr>
            <w:tcW w:w="1019" w:type="dxa"/>
            <w:tcBorders>
              <w:top w:val="single" w:sz="4" w:space="0" w:color="auto"/>
              <w:left w:val="single" w:sz="4" w:space="0" w:color="auto"/>
              <w:bottom w:val="single" w:sz="4" w:space="0" w:color="auto"/>
              <w:right w:val="single" w:sz="4" w:space="0" w:color="auto"/>
            </w:tcBorders>
            <w:shd w:val="clear" w:color="auto" w:fill="C6EFCE"/>
          </w:tcPr>
          <w:p w14:paraId="569B2F85"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r w:rsidRPr="008635F8">
              <w:rPr>
                <w:rFonts w:ascii="Times New Roman" w:hAnsi="Times New Roman"/>
                <w:sz w:val="18"/>
                <w:szCs w:val="18"/>
              </w:rPr>
              <w:t>Ekonomikas ministrija</w:t>
            </w:r>
          </w:p>
        </w:tc>
        <w:tc>
          <w:tcPr>
            <w:tcW w:w="996" w:type="dxa"/>
            <w:tcBorders>
              <w:top w:val="single" w:sz="4" w:space="0" w:color="auto"/>
              <w:left w:val="single" w:sz="4" w:space="0" w:color="auto"/>
              <w:bottom w:val="single" w:sz="4" w:space="0" w:color="auto"/>
              <w:right w:val="single" w:sz="4" w:space="0" w:color="auto"/>
            </w:tcBorders>
            <w:shd w:val="clear" w:color="auto" w:fill="C6EFCE"/>
          </w:tcPr>
          <w:p w14:paraId="1A7AD3E4"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p>
        </w:tc>
        <w:tc>
          <w:tcPr>
            <w:tcW w:w="1486" w:type="dxa"/>
            <w:tcBorders>
              <w:top w:val="single" w:sz="4" w:space="0" w:color="auto"/>
              <w:left w:val="single" w:sz="4" w:space="0" w:color="auto"/>
              <w:bottom w:val="single" w:sz="4" w:space="0" w:color="auto"/>
              <w:right w:val="single" w:sz="4" w:space="0" w:color="auto"/>
            </w:tcBorders>
            <w:shd w:val="clear" w:color="auto" w:fill="C6EFCE"/>
          </w:tcPr>
          <w:p w14:paraId="751F8BBF" w14:textId="77777777" w:rsidR="00067A32" w:rsidRPr="008635F8" w:rsidRDefault="00067A32" w:rsidP="00E147E0">
            <w:pPr>
              <w:widowControl w:val="0"/>
              <w:spacing w:after="0" w:line="240" w:lineRule="auto"/>
              <w:ind w:left="57" w:right="57"/>
              <w:rPr>
                <w:rFonts w:ascii="Times New Roman" w:hAnsi="Times New Roman"/>
                <w:noProof/>
                <w:sz w:val="18"/>
                <w:szCs w:val="18"/>
              </w:rPr>
            </w:pPr>
            <w:r w:rsidRPr="008635F8">
              <w:rPr>
                <w:rFonts w:ascii="Times New Roman" w:hAnsi="Times New Roman"/>
                <w:sz w:val="18"/>
                <w:szCs w:val="18"/>
              </w:rPr>
              <w:t xml:space="preserve">Atbalsta programmas noteikumu kopija un saite uz publikāciju oficiālajā izdevumā, tostarp atsauce uz noteikumu, kurā norādīta stāšanās spēkā, kam pievienots kopsavilkuma dokuments, kurā pienācīgi pamatots, kā tika apmierinoši sasniegts atskaites punkts (tostarp izpildītas piemērojamās 025a intervences jomas prasības), kopā ar atbilstošām </w:t>
            </w:r>
            <w:r w:rsidRPr="008635F8">
              <w:rPr>
                <w:rFonts w:ascii="Times New Roman" w:hAnsi="Times New Roman"/>
                <w:sz w:val="18"/>
                <w:szCs w:val="18"/>
              </w:rPr>
              <w:lastRenderedPageBreak/>
              <w:t>saitēm uz pamatojošajiem pierādījumiem.</w:t>
            </w:r>
          </w:p>
        </w:tc>
        <w:tc>
          <w:tcPr>
            <w:tcW w:w="1707" w:type="dxa"/>
            <w:tcBorders>
              <w:top w:val="single" w:sz="4" w:space="0" w:color="auto"/>
              <w:left w:val="single" w:sz="4" w:space="0" w:color="auto"/>
              <w:bottom w:val="single" w:sz="4" w:space="0" w:color="auto"/>
              <w:right w:val="single" w:sz="4" w:space="0" w:color="auto"/>
            </w:tcBorders>
            <w:shd w:val="clear" w:color="auto" w:fill="C6EFCE"/>
          </w:tcPr>
          <w:p w14:paraId="564107E2" w14:textId="77777777" w:rsidR="00067A32" w:rsidRPr="008635F8" w:rsidRDefault="00067A32" w:rsidP="00E147E0">
            <w:pPr>
              <w:widowControl w:val="0"/>
              <w:spacing w:after="0" w:line="240" w:lineRule="auto"/>
              <w:ind w:left="57" w:right="57"/>
              <w:rPr>
                <w:rFonts w:ascii="Times New Roman" w:eastAsiaTheme="minorEastAsia" w:hAnsi="Times New Roman" w:cs="Times New Roman"/>
                <w:noProof/>
                <w:sz w:val="18"/>
                <w:szCs w:val="18"/>
              </w:rPr>
            </w:pPr>
            <w:r w:rsidRPr="008635F8">
              <w:rPr>
                <w:rFonts w:ascii="Times New Roman" w:hAnsi="Times New Roman"/>
                <w:sz w:val="18"/>
                <w:szCs w:val="18"/>
              </w:rPr>
              <w:lastRenderedPageBreak/>
              <w:t>Atbalsta programmas dzīvojamo ēku energoefektivitātes uzlabošanai stāšanās spēkā, nosakot atbilstības kritērijus, lai atspoguļotu ANM regulas VI pielikuma piemērojamās intervences jomas “025a. Esošu mājokļu atjaunošana energoefektivitātes uzlabošanai, demonstrējuma projekti un atbalsta pasākumi, kas atbilst energoefektivitātes kritērijiem” prasības.</w:t>
            </w:r>
          </w:p>
        </w:tc>
      </w:tr>
      <w:tr w:rsidR="0041037D" w:rsidRPr="008635F8" w14:paraId="1F1C50E8" w14:textId="77777777" w:rsidTr="0044659E">
        <w:trPr>
          <w:trHeight w:val="541"/>
        </w:trPr>
        <w:tc>
          <w:tcPr>
            <w:tcW w:w="280" w:type="dxa"/>
            <w:tcBorders>
              <w:top w:val="single" w:sz="4" w:space="0" w:color="auto"/>
              <w:left w:val="single" w:sz="4" w:space="0" w:color="auto"/>
              <w:bottom w:val="single" w:sz="4" w:space="0" w:color="auto"/>
              <w:right w:val="single" w:sz="4" w:space="0" w:color="auto"/>
            </w:tcBorders>
            <w:shd w:val="clear" w:color="auto" w:fill="C6EFCE"/>
          </w:tcPr>
          <w:p w14:paraId="62DCB78F"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8</w:t>
            </w:r>
          </w:p>
        </w:tc>
        <w:tc>
          <w:tcPr>
            <w:tcW w:w="1416" w:type="dxa"/>
            <w:tcBorders>
              <w:top w:val="single" w:sz="4" w:space="0" w:color="auto"/>
              <w:left w:val="single" w:sz="4" w:space="0" w:color="auto"/>
              <w:bottom w:val="single" w:sz="4" w:space="0" w:color="auto"/>
              <w:right w:val="single" w:sz="4" w:space="0" w:color="auto"/>
            </w:tcBorders>
            <w:shd w:val="clear" w:color="auto" w:fill="C6EFCE"/>
          </w:tcPr>
          <w:p w14:paraId="487ADF1C"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b/>
                <w:bCs/>
                <w:noProof/>
                <w:sz w:val="18"/>
                <w:szCs w:val="18"/>
              </w:rPr>
            </w:pPr>
            <w:r w:rsidRPr="008635F8">
              <w:rPr>
                <w:rFonts w:ascii="Times New Roman" w:hAnsi="Times New Roman"/>
                <w:b/>
                <w:sz w:val="18"/>
                <w:szCs w:val="18"/>
              </w:rPr>
              <w:t>1.2.1.1.i. Daudzdzīvokļu māju energoefektivitātes uzlabošana un pāreja uz atjaunojamo energoresursu tehnoloģiju izmantošanu</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2CCE202C"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Mērķis</w:t>
            </w:r>
          </w:p>
        </w:tc>
        <w:tc>
          <w:tcPr>
            <w:tcW w:w="1100" w:type="dxa"/>
            <w:tcBorders>
              <w:top w:val="single" w:sz="4" w:space="0" w:color="auto"/>
              <w:left w:val="single" w:sz="4" w:space="0" w:color="auto"/>
              <w:bottom w:val="single" w:sz="4" w:space="0" w:color="auto"/>
              <w:right w:val="single" w:sz="4" w:space="0" w:color="auto"/>
            </w:tcBorders>
            <w:shd w:val="clear" w:color="auto" w:fill="C6EFCE"/>
          </w:tcPr>
          <w:p w14:paraId="7AB4FA25"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 xml:space="preserve">Apstiprināti projekti par vismaz 40 097 400 EUR </w:t>
            </w:r>
          </w:p>
        </w:tc>
        <w:tc>
          <w:tcPr>
            <w:tcW w:w="1595" w:type="dxa"/>
            <w:tcBorders>
              <w:top w:val="single" w:sz="4" w:space="0" w:color="auto"/>
              <w:left w:val="single" w:sz="4" w:space="0" w:color="auto"/>
              <w:bottom w:val="single" w:sz="4" w:space="0" w:color="auto"/>
              <w:right w:val="single" w:sz="4" w:space="0" w:color="auto"/>
            </w:tcBorders>
            <w:shd w:val="clear" w:color="auto" w:fill="C6EFCE"/>
          </w:tcPr>
          <w:p w14:paraId="0BED4632"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C6EFCE"/>
          </w:tcPr>
          <w:p w14:paraId="28AA9D3E"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EUR</w:t>
            </w:r>
          </w:p>
        </w:tc>
        <w:tc>
          <w:tcPr>
            <w:tcW w:w="535" w:type="dxa"/>
            <w:tcBorders>
              <w:top w:val="single" w:sz="4" w:space="0" w:color="auto"/>
              <w:left w:val="single" w:sz="4" w:space="0" w:color="auto"/>
              <w:bottom w:val="single" w:sz="4" w:space="0" w:color="auto"/>
              <w:right w:val="single" w:sz="4" w:space="0" w:color="auto"/>
            </w:tcBorders>
            <w:shd w:val="clear" w:color="auto" w:fill="C6EFCE"/>
          </w:tcPr>
          <w:p w14:paraId="345F2C64"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0</w:t>
            </w:r>
          </w:p>
        </w:tc>
        <w:tc>
          <w:tcPr>
            <w:tcW w:w="926" w:type="dxa"/>
            <w:tcBorders>
              <w:top w:val="single" w:sz="4" w:space="0" w:color="auto"/>
              <w:left w:val="single" w:sz="4" w:space="0" w:color="auto"/>
              <w:bottom w:val="single" w:sz="4" w:space="0" w:color="auto"/>
              <w:right w:val="single" w:sz="4" w:space="0" w:color="auto"/>
            </w:tcBorders>
            <w:shd w:val="clear" w:color="auto" w:fill="C6EFCE"/>
          </w:tcPr>
          <w:p w14:paraId="4236BC23"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40 097 400</w:t>
            </w:r>
          </w:p>
        </w:tc>
        <w:tc>
          <w:tcPr>
            <w:tcW w:w="523" w:type="dxa"/>
            <w:tcBorders>
              <w:top w:val="single" w:sz="4" w:space="0" w:color="auto"/>
              <w:left w:val="single" w:sz="4" w:space="0" w:color="auto"/>
              <w:bottom w:val="single" w:sz="4" w:space="0" w:color="auto"/>
              <w:right w:val="single" w:sz="4" w:space="0" w:color="auto"/>
            </w:tcBorders>
            <w:shd w:val="clear" w:color="auto" w:fill="C6EFCE"/>
          </w:tcPr>
          <w:p w14:paraId="48DC7351"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3. cet.</w:t>
            </w:r>
          </w:p>
        </w:tc>
        <w:tc>
          <w:tcPr>
            <w:tcW w:w="568" w:type="dxa"/>
            <w:tcBorders>
              <w:top w:val="single" w:sz="4" w:space="0" w:color="auto"/>
              <w:left w:val="single" w:sz="4" w:space="0" w:color="auto"/>
              <w:bottom w:val="single" w:sz="4" w:space="0" w:color="auto"/>
              <w:right w:val="single" w:sz="4" w:space="0" w:color="auto"/>
            </w:tcBorders>
            <w:shd w:val="clear" w:color="auto" w:fill="C6EFCE"/>
          </w:tcPr>
          <w:p w14:paraId="4C40B3C8"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2024</w:t>
            </w:r>
          </w:p>
        </w:tc>
        <w:tc>
          <w:tcPr>
            <w:tcW w:w="1019" w:type="dxa"/>
            <w:tcBorders>
              <w:top w:val="single" w:sz="4" w:space="0" w:color="auto"/>
              <w:left w:val="single" w:sz="4" w:space="0" w:color="auto"/>
              <w:bottom w:val="single" w:sz="4" w:space="0" w:color="auto"/>
              <w:right w:val="single" w:sz="4" w:space="0" w:color="auto"/>
            </w:tcBorders>
            <w:shd w:val="clear" w:color="auto" w:fill="C6EFCE"/>
          </w:tcPr>
          <w:p w14:paraId="693DD2D3"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r w:rsidRPr="008635F8">
              <w:rPr>
                <w:rFonts w:ascii="Times New Roman" w:hAnsi="Times New Roman"/>
                <w:sz w:val="18"/>
                <w:szCs w:val="18"/>
              </w:rPr>
              <w:t>Ekonomikas ministrija</w:t>
            </w:r>
          </w:p>
        </w:tc>
        <w:tc>
          <w:tcPr>
            <w:tcW w:w="996" w:type="dxa"/>
            <w:tcBorders>
              <w:top w:val="single" w:sz="4" w:space="0" w:color="auto"/>
              <w:left w:val="single" w:sz="4" w:space="0" w:color="auto"/>
              <w:bottom w:val="single" w:sz="4" w:space="0" w:color="auto"/>
              <w:right w:val="single" w:sz="4" w:space="0" w:color="auto"/>
            </w:tcBorders>
            <w:shd w:val="clear" w:color="auto" w:fill="C6EFCE"/>
          </w:tcPr>
          <w:p w14:paraId="03CDDA53"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p>
        </w:tc>
        <w:tc>
          <w:tcPr>
            <w:tcW w:w="1486" w:type="dxa"/>
            <w:tcBorders>
              <w:top w:val="single" w:sz="4" w:space="0" w:color="auto"/>
              <w:left w:val="single" w:sz="4" w:space="0" w:color="auto"/>
              <w:bottom w:val="single" w:sz="4" w:space="0" w:color="auto"/>
              <w:right w:val="single" w:sz="4" w:space="0" w:color="auto"/>
            </w:tcBorders>
            <w:shd w:val="clear" w:color="auto" w:fill="C6EFCE"/>
          </w:tcPr>
          <w:p w14:paraId="0B3D4453" w14:textId="77777777" w:rsidR="00067A3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Kopsavilkuma dokuments, kurā pienācīgi pamatots, kā tika apmierinoši sasniegts mērķis (tostarp visi būtiskie elementi), kopā ar atbilstošām saitēm uz pamatojošajiem pierādījumiem, tostarp apstiprināto projektu un to summu saraksts.</w:t>
            </w:r>
          </w:p>
        </w:tc>
        <w:tc>
          <w:tcPr>
            <w:tcW w:w="1707" w:type="dxa"/>
            <w:tcBorders>
              <w:top w:val="single" w:sz="4" w:space="0" w:color="auto"/>
              <w:left w:val="single" w:sz="4" w:space="0" w:color="auto"/>
              <w:bottom w:val="single" w:sz="4" w:space="0" w:color="auto"/>
              <w:right w:val="single" w:sz="4" w:space="0" w:color="auto"/>
            </w:tcBorders>
            <w:shd w:val="clear" w:color="auto" w:fill="C6EFCE"/>
          </w:tcPr>
          <w:p w14:paraId="4872D109" w14:textId="77777777" w:rsidR="00067A32" w:rsidRPr="008635F8" w:rsidRDefault="00067A32" w:rsidP="00E147E0">
            <w:pPr>
              <w:widowControl w:val="0"/>
              <w:spacing w:after="0" w:line="240" w:lineRule="auto"/>
              <w:ind w:left="57" w:right="57"/>
              <w:rPr>
                <w:rFonts w:ascii="Times New Roman" w:eastAsiaTheme="minorEastAsia" w:hAnsi="Times New Roman" w:cs="Times New Roman"/>
                <w:noProof/>
                <w:sz w:val="18"/>
                <w:szCs w:val="18"/>
              </w:rPr>
            </w:pPr>
            <w:r w:rsidRPr="008635F8">
              <w:rPr>
                <w:rFonts w:ascii="Times New Roman" w:hAnsi="Times New Roman"/>
                <w:sz w:val="18"/>
                <w:szCs w:val="18"/>
              </w:rPr>
              <w:t>“Altum” apstiprināti projekti par vismaz 40 097 400 EUR.</w:t>
            </w:r>
          </w:p>
          <w:p w14:paraId="77CA188A" w14:textId="77777777" w:rsidR="00067A32" w:rsidRPr="008635F8" w:rsidRDefault="00067A32" w:rsidP="00E147E0">
            <w:pPr>
              <w:widowControl w:val="0"/>
              <w:spacing w:after="0" w:line="240" w:lineRule="auto"/>
              <w:ind w:left="57" w:right="57"/>
              <w:rPr>
                <w:rFonts w:ascii="Times New Roman" w:eastAsiaTheme="minorEastAsia" w:hAnsi="Times New Roman" w:cs="Times New Roman"/>
                <w:noProof/>
                <w:sz w:val="18"/>
                <w:szCs w:val="18"/>
              </w:rPr>
            </w:pPr>
            <w:r w:rsidRPr="008635F8">
              <w:rPr>
                <w:rFonts w:ascii="Times New Roman" w:hAnsi="Times New Roman"/>
                <w:sz w:val="18"/>
                <w:szCs w:val="18"/>
              </w:rPr>
              <w:t>Apstiprināšanu veic attīstības finanšu institūcija “Altum”.</w:t>
            </w:r>
          </w:p>
        </w:tc>
      </w:tr>
      <w:tr w:rsidR="0041037D" w:rsidRPr="008635F8" w14:paraId="58B424FD" w14:textId="77777777" w:rsidTr="0044659E">
        <w:trPr>
          <w:trHeight w:val="258"/>
        </w:trPr>
        <w:tc>
          <w:tcPr>
            <w:tcW w:w="280" w:type="dxa"/>
            <w:tcBorders>
              <w:top w:val="single" w:sz="4" w:space="0" w:color="auto"/>
              <w:left w:val="single" w:sz="4" w:space="0" w:color="auto"/>
              <w:bottom w:val="single" w:sz="4" w:space="0" w:color="auto"/>
              <w:right w:val="single" w:sz="4" w:space="0" w:color="auto"/>
            </w:tcBorders>
            <w:shd w:val="clear" w:color="auto" w:fill="C6EFCE"/>
          </w:tcPr>
          <w:p w14:paraId="1C58A7FB"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9</w:t>
            </w:r>
          </w:p>
        </w:tc>
        <w:tc>
          <w:tcPr>
            <w:tcW w:w="1416" w:type="dxa"/>
            <w:tcBorders>
              <w:top w:val="single" w:sz="4" w:space="0" w:color="auto"/>
              <w:left w:val="single" w:sz="4" w:space="0" w:color="auto"/>
              <w:bottom w:val="single" w:sz="4" w:space="0" w:color="auto"/>
              <w:right w:val="single" w:sz="4" w:space="0" w:color="auto"/>
            </w:tcBorders>
            <w:shd w:val="clear" w:color="auto" w:fill="C6EFCE"/>
          </w:tcPr>
          <w:p w14:paraId="1030F78B"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b/>
                <w:bCs/>
                <w:noProof/>
                <w:sz w:val="18"/>
                <w:szCs w:val="18"/>
              </w:rPr>
            </w:pPr>
            <w:r w:rsidRPr="008635F8">
              <w:rPr>
                <w:rFonts w:ascii="Times New Roman" w:hAnsi="Times New Roman"/>
                <w:b/>
                <w:sz w:val="18"/>
                <w:szCs w:val="18"/>
              </w:rPr>
              <w:t>1.2.1.1.i. Daudzdzīvokļu māju energoefektivitātes uzlabošana un pāreja uz atjaunojamo energoresursu tehnoloģiju izmantošanu</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41953B2E"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Mērķis</w:t>
            </w:r>
          </w:p>
        </w:tc>
        <w:tc>
          <w:tcPr>
            <w:tcW w:w="1100" w:type="dxa"/>
            <w:tcBorders>
              <w:top w:val="single" w:sz="4" w:space="0" w:color="auto"/>
              <w:left w:val="single" w:sz="4" w:space="0" w:color="auto"/>
              <w:bottom w:val="single" w:sz="4" w:space="0" w:color="auto"/>
              <w:right w:val="single" w:sz="4" w:space="0" w:color="auto"/>
            </w:tcBorders>
            <w:shd w:val="clear" w:color="auto" w:fill="C6EFCE"/>
          </w:tcPr>
          <w:p w14:paraId="150C2995"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Primārās enerģijas patēriņa samazinājums daudzdzīvokļu mājās ar uzlabotu energoefektivitāti</w:t>
            </w:r>
          </w:p>
        </w:tc>
        <w:tc>
          <w:tcPr>
            <w:tcW w:w="1595" w:type="dxa"/>
            <w:tcBorders>
              <w:top w:val="single" w:sz="4" w:space="0" w:color="auto"/>
              <w:left w:val="single" w:sz="4" w:space="0" w:color="auto"/>
              <w:bottom w:val="single" w:sz="4" w:space="0" w:color="auto"/>
              <w:right w:val="single" w:sz="4" w:space="0" w:color="auto"/>
            </w:tcBorders>
            <w:shd w:val="clear" w:color="auto" w:fill="C6EFCE"/>
          </w:tcPr>
          <w:p w14:paraId="0EA3F2C1"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C6EFCE"/>
          </w:tcPr>
          <w:p w14:paraId="5693359A" w14:textId="77777777" w:rsidR="0048148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MWh/</w:t>
            </w:r>
          </w:p>
          <w:p w14:paraId="42A47D60" w14:textId="5DF33709"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gadā</w:t>
            </w:r>
          </w:p>
        </w:tc>
        <w:tc>
          <w:tcPr>
            <w:tcW w:w="535" w:type="dxa"/>
            <w:tcBorders>
              <w:top w:val="single" w:sz="4" w:space="0" w:color="auto"/>
              <w:left w:val="single" w:sz="4" w:space="0" w:color="auto"/>
              <w:bottom w:val="single" w:sz="4" w:space="0" w:color="auto"/>
              <w:right w:val="single" w:sz="4" w:space="0" w:color="auto"/>
            </w:tcBorders>
            <w:shd w:val="clear" w:color="auto" w:fill="C6EFCE"/>
          </w:tcPr>
          <w:p w14:paraId="3B6AAC9C"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0</w:t>
            </w:r>
          </w:p>
        </w:tc>
        <w:tc>
          <w:tcPr>
            <w:tcW w:w="926" w:type="dxa"/>
            <w:tcBorders>
              <w:top w:val="single" w:sz="4" w:space="0" w:color="auto"/>
              <w:left w:val="single" w:sz="4" w:space="0" w:color="auto"/>
              <w:bottom w:val="single" w:sz="4" w:space="0" w:color="auto"/>
              <w:right w:val="single" w:sz="4" w:space="0" w:color="auto"/>
            </w:tcBorders>
            <w:shd w:val="clear" w:color="auto" w:fill="C6EFCE"/>
          </w:tcPr>
          <w:p w14:paraId="066CA342"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14 423</w:t>
            </w:r>
          </w:p>
        </w:tc>
        <w:tc>
          <w:tcPr>
            <w:tcW w:w="523" w:type="dxa"/>
            <w:tcBorders>
              <w:top w:val="single" w:sz="4" w:space="0" w:color="auto"/>
              <w:left w:val="single" w:sz="4" w:space="0" w:color="auto"/>
              <w:bottom w:val="single" w:sz="4" w:space="0" w:color="auto"/>
              <w:right w:val="single" w:sz="4" w:space="0" w:color="auto"/>
            </w:tcBorders>
            <w:shd w:val="clear" w:color="auto" w:fill="C6EFCE"/>
          </w:tcPr>
          <w:p w14:paraId="10BFD280"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3. cet.</w:t>
            </w:r>
          </w:p>
        </w:tc>
        <w:tc>
          <w:tcPr>
            <w:tcW w:w="568" w:type="dxa"/>
            <w:tcBorders>
              <w:top w:val="single" w:sz="4" w:space="0" w:color="auto"/>
              <w:left w:val="single" w:sz="4" w:space="0" w:color="auto"/>
              <w:bottom w:val="single" w:sz="4" w:space="0" w:color="auto"/>
              <w:right w:val="single" w:sz="4" w:space="0" w:color="auto"/>
            </w:tcBorders>
            <w:shd w:val="clear" w:color="auto" w:fill="C6EFCE"/>
          </w:tcPr>
          <w:p w14:paraId="29FB42D5"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2026</w:t>
            </w:r>
          </w:p>
        </w:tc>
        <w:tc>
          <w:tcPr>
            <w:tcW w:w="1019" w:type="dxa"/>
            <w:tcBorders>
              <w:top w:val="single" w:sz="4" w:space="0" w:color="auto"/>
              <w:left w:val="single" w:sz="4" w:space="0" w:color="auto"/>
              <w:bottom w:val="single" w:sz="4" w:space="0" w:color="auto"/>
              <w:right w:val="single" w:sz="4" w:space="0" w:color="auto"/>
            </w:tcBorders>
            <w:shd w:val="clear" w:color="auto" w:fill="C6EFCE"/>
          </w:tcPr>
          <w:p w14:paraId="273FA00D"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r w:rsidRPr="008635F8">
              <w:rPr>
                <w:rFonts w:ascii="Times New Roman" w:hAnsi="Times New Roman"/>
                <w:sz w:val="18"/>
                <w:szCs w:val="18"/>
              </w:rPr>
              <w:t>Ekonomikas ministrija sadarbībā ar akciju sabiedrību “Attīstības finanšu institūcija Altum”</w:t>
            </w:r>
          </w:p>
        </w:tc>
        <w:tc>
          <w:tcPr>
            <w:tcW w:w="996" w:type="dxa"/>
            <w:tcBorders>
              <w:top w:val="single" w:sz="4" w:space="0" w:color="auto"/>
              <w:left w:val="single" w:sz="4" w:space="0" w:color="auto"/>
              <w:bottom w:val="single" w:sz="4" w:space="0" w:color="auto"/>
              <w:right w:val="single" w:sz="4" w:space="0" w:color="auto"/>
            </w:tcBorders>
            <w:shd w:val="clear" w:color="auto" w:fill="C6EFCE"/>
          </w:tcPr>
          <w:p w14:paraId="4EEBCED1"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p>
        </w:tc>
        <w:tc>
          <w:tcPr>
            <w:tcW w:w="1486" w:type="dxa"/>
            <w:tcBorders>
              <w:top w:val="single" w:sz="4" w:space="0" w:color="auto"/>
              <w:left w:val="single" w:sz="4" w:space="0" w:color="auto"/>
              <w:bottom w:val="single" w:sz="4" w:space="0" w:color="auto"/>
              <w:right w:val="single" w:sz="4" w:space="0" w:color="auto"/>
            </w:tcBorders>
            <w:shd w:val="clear" w:color="auto" w:fill="C6EFCE"/>
          </w:tcPr>
          <w:p w14:paraId="4769F554" w14:textId="77777777" w:rsidR="00067A3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Kopsavilkuma dokuments, kurā pienācīgi pamatots, kā tika apmierinoši sasniegts mērķis (tostarp visi būtiskie elementi), kopā ar atbilstošām saitēm uz pamatojošajiem pierādījumiem.</w:t>
            </w:r>
          </w:p>
          <w:p w14:paraId="46F56358" w14:textId="77777777" w:rsidR="00067A3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 xml:space="preserve">Šā dokumenta </w:t>
            </w:r>
            <w:r w:rsidRPr="008635F8">
              <w:rPr>
                <w:rFonts w:ascii="Times New Roman" w:hAnsi="Times New Roman"/>
                <w:sz w:val="18"/>
                <w:szCs w:val="18"/>
              </w:rPr>
              <w:lastRenderedPageBreak/>
              <w:t>pielikumā iekļauj:</w:t>
            </w:r>
          </w:p>
          <w:p w14:paraId="239995E1" w14:textId="77777777" w:rsidR="0048148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a) aptvertos energoefektivitātes sertifikātus pirms atjaunošanas vai pārbūves darbiem un pēc tiem;</w:t>
            </w:r>
          </w:p>
          <w:p w14:paraId="0DB062C6" w14:textId="03104E54" w:rsidR="00067A3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b) atjaunoto un pārbūvēto dzīvojamo ēku sarakstu un attiecībā uz katru dzīvojamo ēku informāciju par pabeigtajiem atjaunošanas vai pārbūves darbiem, energoefektivitātes sertifikātu reģistrācijas numurus pirms un pēc atjaunošanas vai pārbūves darbiem un paredzamo enerģijas ietaupījumu.</w:t>
            </w:r>
          </w:p>
        </w:tc>
        <w:tc>
          <w:tcPr>
            <w:tcW w:w="1707" w:type="dxa"/>
            <w:tcBorders>
              <w:top w:val="single" w:sz="4" w:space="0" w:color="auto"/>
              <w:left w:val="single" w:sz="4" w:space="0" w:color="auto"/>
              <w:bottom w:val="single" w:sz="4" w:space="0" w:color="auto"/>
              <w:right w:val="single" w:sz="4" w:space="0" w:color="auto"/>
            </w:tcBorders>
            <w:shd w:val="clear" w:color="auto" w:fill="C6EFCE"/>
          </w:tcPr>
          <w:p w14:paraId="42C9F476" w14:textId="77777777" w:rsidR="00067A32" w:rsidRPr="008635F8" w:rsidRDefault="00067A32" w:rsidP="00E147E0">
            <w:pPr>
              <w:widowControl w:val="0"/>
              <w:spacing w:after="0" w:line="240" w:lineRule="auto"/>
              <w:ind w:left="57" w:right="57"/>
              <w:rPr>
                <w:rFonts w:ascii="Times New Roman" w:eastAsiaTheme="minorEastAsia" w:hAnsi="Times New Roman" w:cs="Times New Roman"/>
                <w:noProof/>
                <w:sz w:val="18"/>
                <w:szCs w:val="18"/>
              </w:rPr>
            </w:pPr>
            <w:r w:rsidRPr="008635F8">
              <w:rPr>
                <w:rFonts w:ascii="Times New Roman" w:hAnsi="Times New Roman"/>
                <w:sz w:val="18"/>
                <w:szCs w:val="18"/>
              </w:rPr>
              <w:lastRenderedPageBreak/>
              <w:t>Primārās enerģijas patēriņa samazinājums daudzdzīvokļu mājās, kurām pasākuma ietvaros veikta uzlabotas energoefektivitātes atjaunošana vai pārbūve.</w:t>
            </w:r>
          </w:p>
        </w:tc>
      </w:tr>
      <w:tr w:rsidR="0041037D" w:rsidRPr="008635F8" w14:paraId="41C5DB43" w14:textId="77777777" w:rsidTr="0044659E">
        <w:trPr>
          <w:trHeight w:val="625"/>
        </w:trPr>
        <w:tc>
          <w:tcPr>
            <w:tcW w:w="280" w:type="dxa"/>
            <w:tcBorders>
              <w:top w:val="single" w:sz="4" w:space="0" w:color="auto"/>
              <w:left w:val="single" w:sz="4" w:space="0" w:color="auto"/>
              <w:bottom w:val="single" w:sz="4" w:space="0" w:color="auto"/>
              <w:right w:val="single" w:sz="4" w:space="0" w:color="auto"/>
            </w:tcBorders>
            <w:shd w:val="clear" w:color="auto" w:fill="C6EFCE"/>
          </w:tcPr>
          <w:p w14:paraId="11FBDAC0"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10</w:t>
            </w:r>
          </w:p>
        </w:tc>
        <w:tc>
          <w:tcPr>
            <w:tcW w:w="1416" w:type="dxa"/>
            <w:tcBorders>
              <w:top w:val="single" w:sz="4" w:space="0" w:color="auto"/>
              <w:left w:val="single" w:sz="4" w:space="0" w:color="auto"/>
              <w:bottom w:val="single" w:sz="4" w:space="0" w:color="auto"/>
              <w:right w:val="single" w:sz="4" w:space="0" w:color="auto"/>
            </w:tcBorders>
            <w:shd w:val="clear" w:color="auto" w:fill="C6EFCE"/>
          </w:tcPr>
          <w:p w14:paraId="0603AD41" w14:textId="4A320F6A" w:rsidR="00067A32" w:rsidRPr="008635F8" w:rsidRDefault="00067A32" w:rsidP="00D6290E">
            <w:pPr>
              <w:widowControl w:val="0"/>
              <w:spacing w:after="0" w:line="240" w:lineRule="auto"/>
              <w:ind w:left="57" w:right="57"/>
              <w:jc w:val="both"/>
              <w:rPr>
                <w:rFonts w:ascii="Times New Roman" w:hAnsi="Times New Roman" w:cs="Calibri"/>
                <w:b/>
                <w:bCs/>
                <w:noProof/>
                <w:sz w:val="18"/>
                <w:szCs w:val="18"/>
              </w:rPr>
            </w:pPr>
            <w:r w:rsidRPr="008635F8">
              <w:rPr>
                <w:rFonts w:ascii="Times New Roman" w:hAnsi="Times New Roman"/>
                <w:b/>
                <w:sz w:val="18"/>
                <w:szCs w:val="18"/>
              </w:rPr>
              <w:t xml:space="preserve">1.2.1.2.i. Energoefektivitātes paaugstināšana uzņēmējdarbībā apvienota finanšu instrumenta </w:t>
            </w:r>
            <w:r w:rsidRPr="008635F8">
              <w:rPr>
                <w:rFonts w:ascii="Times New Roman" w:hAnsi="Times New Roman"/>
                <w:b/>
                <w:sz w:val="18"/>
                <w:szCs w:val="18"/>
              </w:rPr>
              <w:lastRenderedPageBreak/>
              <w:t>veidā</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61A3E40"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r w:rsidRPr="008635F8">
              <w:rPr>
                <w:rFonts w:ascii="Times New Roman" w:hAnsi="Times New Roman"/>
                <w:sz w:val="18"/>
                <w:szCs w:val="18"/>
              </w:rPr>
              <w:lastRenderedPageBreak/>
              <w:t>Atskaites punkts</w:t>
            </w:r>
          </w:p>
        </w:tc>
        <w:tc>
          <w:tcPr>
            <w:tcW w:w="1100" w:type="dxa"/>
            <w:tcBorders>
              <w:top w:val="single" w:sz="4" w:space="0" w:color="auto"/>
              <w:left w:val="single" w:sz="4" w:space="0" w:color="auto"/>
              <w:bottom w:val="single" w:sz="4" w:space="0" w:color="auto"/>
              <w:right w:val="single" w:sz="4" w:space="0" w:color="auto"/>
            </w:tcBorders>
            <w:shd w:val="clear" w:color="auto" w:fill="C6EFCE"/>
          </w:tcPr>
          <w:p w14:paraId="47D2FA76"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r w:rsidRPr="008635F8">
              <w:rPr>
                <w:rFonts w:ascii="Times New Roman" w:hAnsi="Times New Roman"/>
                <w:sz w:val="18"/>
                <w:szCs w:val="18"/>
              </w:rPr>
              <w:t>Uzņēmējdarbības energoefektivitātes atbalsta programmas stāšanās spēkā</w:t>
            </w:r>
          </w:p>
        </w:tc>
        <w:tc>
          <w:tcPr>
            <w:tcW w:w="1595" w:type="dxa"/>
            <w:tcBorders>
              <w:top w:val="single" w:sz="4" w:space="0" w:color="auto"/>
              <w:left w:val="single" w:sz="4" w:space="0" w:color="auto"/>
              <w:bottom w:val="single" w:sz="4" w:space="0" w:color="auto"/>
              <w:right w:val="single" w:sz="4" w:space="0" w:color="auto"/>
            </w:tcBorders>
            <w:shd w:val="clear" w:color="auto" w:fill="C6EFCE"/>
          </w:tcPr>
          <w:p w14:paraId="03DF5936"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r w:rsidRPr="008635F8">
              <w:rPr>
                <w:rFonts w:ascii="Times New Roman" w:hAnsi="Times New Roman"/>
                <w:sz w:val="18"/>
                <w:szCs w:val="18"/>
              </w:rPr>
              <w:t xml:space="preserve">Noteikumu stāšanās spēkā </w:t>
            </w:r>
          </w:p>
        </w:tc>
        <w:tc>
          <w:tcPr>
            <w:tcW w:w="991" w:type="dxa"/>
            <w:tcBorders>
              <w:top w:val="single" w:sz="4" w:space="0" w:color="auto"/>
              <w:left w:val="single" w:sz="4" w:space="0" w:color="auto"/>
              <w:bottom w:val="single" w:sz="4" w:space="0" w:color="auto"/>
              <w:right w:val="single" w:sz="4" w:space="0" w:color="auto"/>
            </w:tcBorders>
            <w:shd w:val="clear" w:color="auto" w:fill="C6EFCE"/>
          </w:tcPr>
          <w:p w14:paraId="2A6E2604"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r w:rsidRPr="008635F8">
              <w:rPr>
                <w:rFonts w:ascii="Times New Roman" w:hAnsi="Times New Roman"/>
                <w:sz w:val="18"/>
                <w:szCs w:val="18"/>
              </w:rPr>
              <w:t>Neattiecas</w:t>
            </w:r>
          </w:p>
        </w:tc>
        <w:tc>
          <w:tcPr>
            <w:tcW w:w="535" w:type="dxa"/>
            <w:tcBorders>
              <w:top w:val="single" w:sz="4" w:space="0" w:color="auto"/>
              <w:left w:val="single" w:sz="4" w:space="0" w:color="auto"/>
              <w:bottom w:val="single" w:sz="4" w:space="0" w:color="auto"/>
              <w:right w:val="single" w:sz="4" w:space="0" w:color="auto"/>
            </w:tcBorders>
            <w:shd w:val="clear" w:color="auto" w:fill="C6EFCE"/>
          </w:tcPr>
          <w:p w14:paraId="5EB5202C"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r w:rsidRPr="008635F8">
              <w:rPr>
                <w:rFonts w:ascii="Times New Roman" w:hAnsi="Times New Roman"/>
                <w:sz w:val="18"/>
                <w:szCs w:val="18"/>
              </w:rPr>
              <w:t>Neattiecas</w:t>
            </w:r>
          </w:p>
        </w:tc>
        <w:tc>
          <w:tcPr>
            <w:tcW w:w="926" w:type="dxa"/>
            <w:tcBorders>
              <w:top w:val="single" w:sz="4" w:space="0" w:color="auto"/>
              <w:left w:val="single" w:sz="4" w:space="0" w:color="auto"/>
              <w:bottom w:val="single" w:sz="4" w:space="0" w:color="auto"/>
              <w:right w:val="single" w:sz="4" w:space="0" w:color="auto"/>
            </w:tcBorders>
            <w:shd w:val="clear" w:color="auto" w:fill="C6EFCE"/>
          </w:tcPr>
          <w:p w14:paraId="65A02514"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r w:rsidRPr="008635F8">
              <w:rPr>
                <w:rFonts w:ascii="Times New Roman" w:hAnsi="Times New Roman"/>
                <w:sz w:val="18"/>
                <w:szCs w:val="18"/>
              </w:rPr>
              <w:t>Neattiecas</w:t>
            </w:r>
          </w:p>
        </w:tc>
        <w:tc>
          <w:tcPr>
            <w:tcW w:w="523" w:type="dxa"/>
            <w:tcBorders>
              <w:top w:val="single" w:sz="4" w:space="0" w:color="auto"/>
              <w:left w:val="single" w:sz="4" w:space="0" w:color="auto"/>
              <w:bottom w:val="single" w:sz="4" w:space="0" w:color="auto"/>
              <w:right w:val="single" w:sz="4" w:space="0" w:color="auto"/>
            </w:tcBorders>
            <w:shd w:val="clear" w:color="auto" w:fill="C6EFCE"/>
          </w:tcPr>
          <w:p w14:paraId="4BBB5C16"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r w:rsidRPr="008635F8">
              <w:rPr>
                <w:rFonts w:ascii="Times New Roman" w:hAnsi="Times New Roman"/>
                <w:sz w:val="18"/>
                <w:szCs w:val="18"/>
              </w:rPr>
              <w:t>1. cet.</w:t>
            </w:r>
          </w:p>
        </w:tc>
        <w:tc>
          <w:tcPr>
            <w:tcW w:w="568" w:type="dxa"/>
            <w:tcBorders>
              <w:top w:val="single" w:sz="4" w:space="0" w:color="auto"/>
              <w:left w:val="single" w:sz="4" w:space="0" w:color="auto"/>
              <w:bottom w:val="single" w:sz="4" w:space="0" w:color="auto"/>
              <w:right w:val="single" w:sz="4" w:space="0" w:color="auto"/>
            </w:tcBorders>
            <w:shd w:val="clear" w:color="auto" w:fill="C6EFCE"/>
          </w:tcPr>
          <w:p w14:paraId="6DC8A071"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r w:rsidRPr="008635F8">
              <w:rPr>
                <w:rFonts w:ascii="Times New Roman" w:hAnsi="Times New Roman"/>
                <w:sz w:val="18"/>
                <w:szCs w:val="18"/>
              </w:rPr>
              <w:t>2022</w:t>
            </w:r>
          </w:p>
        </w:tc>
        <w:tc>
          <w:tcPr>
            <w:tcW w:w="1019" w:type="dxa"/>
            <w:tcBorders>
              <w:top w:val="single" w:sz="4" w:space="0" w:color="auto"/>
              <w:left w:val="single" w:sz="4" w:space="0" w:color="auto"/>
              <w:bottom w:val="single" w:sz="4" w:space="0" w:color="auto"/>
              <w:right w:val="single" w:sz="4" w:space="0" w:color="auto"/>
            </w:tcBorders>
            <w:shd w:val="clear" w:color="auto" w:fill="C6EFCE"/>
          </w:tcPr>
          <w:p w14:paraId="44BFF0D5"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r w:rsidRPr="008635F8">
              <w:rPr>
                <w:rFonts w:ascii="Times New Roman" w:hAnsi="Times New Roman"/>
                <w:sz w:val="18"/>
                <w:szCs w:val="18"/>
              </w:rPr>
              <w:t>Ekonomikas ministrija, “Altum”</w:t>
            </w:r>
          </w:p>
        </w:tc>
        <w:tc>
          <w:tcPr>
            <w:tcW w:w="996" w:type="dxa"/>
            <w:tcBorders>
              <w:top w:val="single" w:sz="4" w:space="0" w:color="auto"/>
              <w:left w:val="single" w:sz="4" w:space="0" w:color="auto"/>
              <w:bottom w:val="single" w:sz="4" w:space="0" w:color="auto"/>
              <w:right w:val="single" w:sz="4" w:space="0" w:color="auto"/>
            </w:tcBorders>
            <w:shd w:val="clear" w:color="auto" w:fill="C6EFCE"/>
          </w:tcPr>
          <w:p w14:paraId="1286F6DF"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p>
        </w:tc>
        <w:tc>
          <w:tcPr>
            <w:tcW w:w="1486" w:type="dxa"/>
            <w:tcBorders>
              <w:top w:val="single" w:sz="4" w:space="0" w:color="auto"/>
              <w:left w:val="single" w:sz="4" w:space="0" w:color="auto"/>
              <w:bottom w:val="single" w:sz="4" w:space="0" w:color="auto"/>
              <w:right w:val="single" w:sz="4" w:space="0" w:color="auto"/>
            </w:tcBorders>
            <w:shd w:val="clear" w:color="auto" w:fill="C6EFCE"/>
          </w:tcPr>
          <w:p w14:paraId="5EB9742B" w14:textId="77777777" w:rsidR="00067A3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 xml:space="preserve">Kopsavilkuma dokuments, kurā pienācīgi pamatots, kā tika apmierinoši sasniegts mērķis (tostarp visi būtiskie </w:t>
            </w:r>
            <w:r w:rsidRPr="008635F8">
              <w:rPr>
                <w:rFonts w:ascii="Times New Roman" w:hAnsi="Times New Roman"/>
                <w:sz w:val="18"/>
                <w:szCs w:val="18"/>
              </w:rPr>
              <w:lastRenderedPageBreak/>
              <w:t>elementi), kopā ar atbilstošām saitēm uz pamatojošajiem pierādījumiem.</w:t>
            </w:r>
          </w:p>
          <w:p w14:paraId="0BAA8771" w14:textId="77777777" w:rsidR="00067A3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Šā dokumenta pielikumā iekļauj:</w:t>
            </w:r>
          </w:p>
          <w:p w14:paraId="281AAA28" w14:textId="77777777" w:rsidR="00067A3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a) Ministru kabineta noteikumu kopiju un saiti uz publikāciju oficiālajā izdevumā, tostarp atsauci uz noteikumu, kurā norādīta stāšanās spēkā;</w:t>
            </w:r>
          </w:p>
          <w:p w14:paraId="21FE8B89" w14:textId="77777777" w:rsidR="00067A3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b) paskaidrojumu par to, kā tiek noteikti šādi būtiski elementi:</w:t>
            </w:r>
          </w:p>
          <w:p w14:paraId="3D3BD9CA" w14:textId="77777777" w:rsidR="00067A32" w:rsidRPr="008635F8" w:rsidRDefault="00067A32" w:rsidP="00E147E0">
            <w:pPr>
              <w:widowControl w:val="0"/>
              <w:numPr>
                <w:ilvl w:val="0"/>
                <w:numId w:val="31"/>
              </w:numPr>
              <w:spacing w:after="0" w:line="240" w:lineRule="auto"/>
              <w:ind w:left="57" w:right="57" w:hanging="1"/>
              <w:rPr>
                <w:rFonts w:ascii="Times New Roman" w:hAnsi="Times New Roman"/>
                <w:noProof/>
                <w:sz w:val="18"/>
                <w:szCs w:val="18"/>
              </w:rPr>
            </w:pPr>
            <w:r w:rsidRPr="008635F8">
              <w:rPr>
                <w:rFonts w:ascii="Times New Roman" w:hAnsi="Times New Roman"/>
                <w:sz w:val="18"/>
                <w:szCs w:val="18"/>
              </w:rPr>
              <w:t>ANM regulas VI pielikuma piemērojamās 024b intervences jomas prasības;</w:t>
            </w:r>
          </w:p>
          <w:p w14:paraId="3C1EFE1D" w14:textId="77777777" w:rsidR="00067A32" w:rsidRPr="008635F8" w:rsidRDefault="00067A32" w:rsidP="00E147E0">
            <w:pPr>
              <w:widowControl w:val="0"/>
              <w:numPr>
                <w:ilvl w:val="0"/>
                <w:numId w:val="31"/>
              </w:numPr>
              <w:spacing w:after="0" w:line="240" w:lineRule="auto"/>
              <w:ind w:left="57" w:right="57" w:hanging="1"/>
              <w:rPr>
                <w:rFonts w:ascii="Times New Roman" w:eastAsiaTheme="minorEastAsia" w:hAnsi="Times New Roman" w:cs="Times New Roman"/>
                <w:noProof/>
                <w:sz w:val="18"/>
                <w:szCs w:val="18"/>
              </w:rPr>
            </w:pPr>
            <w:r w:rsidRPr="008635F8">
              <w:rPr>
                <w:rFonts w:ascii="Times New Roman" w:hAnsi="Times New Roman"/>
                <w:sz w:val="18"/>
                <w:szCs w:val="18"/>
              </w:rPr>
              <w:t xml:space="preserve">minimālā robežvērtība enerģijas ietaupījumam uz vienu investētā publiskā finansējuma </w:t>
            </w:r>
            <w:r w:rsidRPr="008635F8">
              <w:rPr>
                <w:rFonts w:ascii="Times New Roman" w:hAnsi="Times New Roman"/>
                <w:i/>
                <w:iCs/>
                <w:sz w:val="18"/>
                <w:szCs w:val="18"/>
              </w:rPr>
              <w:t>euro</w:t>
            </w:r>
            <w:r w:rsidRPr="008635F8">
              <w:rPr>
                <w:rFonts w:ascii="Times New Roman" w:hAnsi="Times New Roman"/>
                <w:sz w:val="18"/>
                <w:szCs w:val="18"/>
              </w:rPr>
              <w:t xml:space="preserve"> kā projekta atbilstības </w:t>
            </w:r>
            <w:r w:rsidRPr="008635F8">
              <w:rPr>
                <w:rFonts w:ascii="Times New Roman" w:hAnsi="Times New Roman"/>
                <w:sz w:val="18"/>
                <w:szCs w:val="18"/>
              </w:rPr>
              <w:lastRenderedPageBreak/>
              <w:t>kritērijs;</w:t>
            </w:r>
          </w:p>
          <w:p w14:paraId="0C076F50" w14:textId="77777777" w:rsidR="00067A32" w:rsidRPr="008635F8" w:rsidRDefault="00067A32" w:rsidP="00E147E0">
            <w:pPr>
              <w:widowControl w:val="0"/>
              <w:numPr>
                <w:ilvl w:val="0"/>
                <w:numId w:val="31"/>
              </w:numPr>
              <w:spacing w:after="0" w:line="240" w:lineRule="auto"/>
              <w:ind w:left="57" w:right="57" w:hanging="1"/>
              <w:rPr>
                <w:rFonts w:ascii="Times New Roman" w:eastAsiaTheme="minorEastAsia" w:hAnsi="Times New Roman" w:cs="Times New Roman"/>
                <w:noProof/>
                <w:sz w:val="18"/>
                <w:szCs w:val="18"/>
              </w:rPr>
            </w:pPr>
            <w:r w:rsidRPr="008635F8">
              <w:rPr>
                <w:rFonts w:ascii="Times New Roman" w:hAnsi="Times New Roman"/>
                <w:sz w:val="18"/>
                <w:szCs w:val="18"/>
              </w:rPr>
              <w:t>atbilstība principam “nenodarīt būtisku kaitējumu” saskaņā ar Tehniskajiem norādījumiem par principa “nenodarīt būtisku kaitējumu” piemērošanu (2021/C58/01) un atbilstība attiecīgajiem ES un valstu tiesību aktiem;</w:t>
            </w:r>
          </w:p>
          <w:p w14:paraId="1445FC33" w14:textId="77777777" w:rsidR="00067A32" w:rsidRPr="008635F8" w:rsidRDefault="00067A32" w:rsidP="00E147E0">
            <w:pPr>
              <w:widowControl w:val="0"/>
              <w:numPr>
                <w:ilvl w:val="0"/>
                <w:numId w:val="31"/>
              </w:numPr>
              <w:spacing w:after="0" w:line="240" w:lineRule="auto"/>
              <w:ind w:left="57" w:right="57" w:hanging="1"/>
              <w:rPr>
                <w:rFonts w:ascii="Times New Roman" w:hAnsi="Times New Roman" w:cs="Times New Roman"/>
                <w:noProof/>
                <w:sz w:val="18"/>
                <w:szCs w:val="18"/>
              </w:rPr>
            </w:pPr>
            <w:r w:rsidRPr="008635F8">
              <w:rPr>
                <w:rFonts w:ascii="Times New Roman" w:hAnsi="Times New Roman"/>
                <w:sz w:val="18"/>
                <w:szCs w:val="18"/>
              </w:rPr>
              <w:t xml:space="preserve">piedāvājumu konkursu izmantošana attiecībā uz projektiem ar visaugstāko paredzamo enerģijas ietaupījumu uz vienu investēto </w:t>
            </w:r>
            <w:r w:rsidRPr="008635F8">
              <w:rPr>
                <w:rFonts w:ascii="Times New Roman" w:hAnsi="Times New Roman"/>
                <w:i/>
                <w:iCs/>
                <w:sz w:val="18"/>
                <w:szCs w:val="18"/>
              </w:rPr>
              <w:t>euro</w:t>
            </w:r>
            <w:r w:rsidRPr="008635F8">
              <w:rPr>
                <w:rFonts w:ascii="Times New Roman" w:hAnsi="Times New Roman"/>
                <w:sz w:val="18"/>
                <w:szCs w:val="18"/>
              </w:rPr>
              <w:t>.</w:t>
            </w:r>
          </w:p>
        </w:tc>
        <w:tc>
          <w:tcPr>
            <w:tcW w:w="1707" w:type="dxa"/>
            <w:tcBorders>
              <w:top w:val="single" w:sz="4" w:space="0" w:color="auto"/>
              <w:left w:val="single" w:sz="4" w:space="0" w:color="auto"/>
              <w:bottom w:val="single" w:sz="4" w:space="0" w:color="auto"/>
              <w:right w:val="single" w:sz="4" w:space="0" w:color="auto"/>
            </w:tcBorders>
            <w:shd w:val="clear" w:color="auto" w:fill="C6EFCE"/>
          </w:tcPr>
          <w:p w14:paraId="5BE8E37A" w14:textId="77777777" w:rsidR="00067A32" w:rsidRPr="008635F8" w:rsidRDefault="00067A32" w:rsidP="00E147E0">
            <w:pPr>
              <w:widowControl w:val="0"/>
              <w:spacing w:after="0" w:line="240" w:lineRule="auto"/>
              <w:ind w:left="57" w:right="57"/>
              <w:rPr>
                <w:rFonts w:ascii="Times New Roman" w:eastAsiaTheme="minorEastAsia" w:hAnsi="Times New Roman" w:cs="Times New Roman"/>
                <w:noProof/>
                <w:sz w:val="18"/>
                <w:szCs w:val="18"/>
              </w:rPr>
            </w:pPr>
            <w:r w:rsidRPr="008635F8">
              <w:rPr>
                <w:rFonts w:ascii="Times New Roman" w:hAnsi="Times New Roman"/>
                <w:sz w:val="18"/>
                <w:szCs w:val="18"/>
              </w:rPr>
              <w:lastRenderedPageBreak/>
              <w:t xml:space="preserve">Stājas spēkā Ministru kabineta apstiprinātie noteikumi, kas atbalsta uzņēmumu energoefektivitātes paaugstināšanas programmu </w:t>
            </w:r>
            <w:r w:rsidRPr="008635F8">
              <w:rPr>
                <w:rFonts w:ascii="Times New Roman" w:hAnsi="Times New Roman"/>
                <w:sz w:val="18"/>
                <w:szCs w:val="18"/>
              </w:rPr>
              <w:lastRenderedPageBreak/>
              <w:t>īstenošanu.</w:t>
            </w:r>
          </w:p>
          <w:p w14:paraId="0E7E88B0" w14:textId="77777777" w:rsidR="00481482" w:rsidRPr="008635F8" w:rsidRDefault="00067A32" w:rsidP="00E147E0">
            <w:pPr>
              <w:widowControl w:val="0"/>
              <w:spacing w:after="0" w:line="240" w:lineRule="auto"/>
              <w:ind w:left="57" w:right="57"/>
              <w:rPr>
                <w:rFonts w:ascii="Times New Roman" w:eastAsiaTheme="minorEastAsia" w:hAnsi="Times New Roman" w:cs="Times New Roman"/>
                <w:noProof/>
                <w:sz w:val="18"/>
                <w:szCs w:val="18"/>
              </w:rPr>
            </w:pPr>
            <w:r w:rsidRPr="008635F8">
              <w:rPr>
                <w:rFonts w:ascii="Times New Roman" w:hAnsi="Times New Roman"/>
                <w:sz w:val="18"/>
                <w:szCs w:val="18"/>
              </w:rPr>
              <w:t>Atbalsta programmas īsteno apvienota finanšu instrumenta veidā, kas ir atmaksājams aizdevums un kapitāla atlaide.</w:t>
            </w:r>
          </w:p>
          <w:p w14:paraId="0DD6696D" w14:textId="19B9F87D" w:rsidR="00067A32" w:rsidRPr="008635F8" w:rsidRDefault="00067A32" w:rsidP="00E147E0">
            <w:pPr>
              <w:widowControl w:val="0"/>
              <w:spacing w:after="0" w:line="240" w:lineRule="auto"/>
              <w:ind w:left="57" w:right="57"/>
              <w:rPr>
                <w:rFonts w:ascii="Times New Roman" w:eastAsiaTheme="minorEastAsia" w:hAnsi="Times New Roman" w:cs="Times New Roman"/>
                <w:noProof/>
                <w:sz w:val="18"/>
                <w:szCs w:val="18"/>
              </w:rPr>
            </w:pPr>
            <w:r w:rsidRPr="008635F8">
              <w:rPr>
                <w:rFonts w:ascii="Times New Roman" w:hAnsi="Times New Roman"/>
                <w:sz w:val="18"/>
                <w:szCs w:val="18"/>
              </w:rPr>
              <w:t xml:space="preserve">Lai atspoguļotu ANM regulas VI pielikuma piemērojamās intervences jomas “024b. Energoefektivitāte un demonstrējuma projekti mazajos un vidējos uzņēmumos vai lielajos uzņēmumos un atbalsta pasākumi, kas atbilst energoefektivitātes kritērijiem [3]” prasības, atbalsta nosacījumos kā atbilstības kritērijus nosaka minimālo primārās enerģijas ietaupījumu 30 % apmērā ēku energoefektivitātes projektiem un iekārtām, vismaz 30 % no vidējā primārās enerģijas ietaupījuma ANM </w:t>
            </w:r>
            <w:r w:rsidRPr="008635F8">
              <w:rPr>
                <w:rFonts w:ascii="Times New Roman" w:hAnsi="Times New Roman"/>
                <w:sz w:val="18"/>
                <w:szCs w:val="18"/>
              </w:rPr>
              <w:lastRenderedPageBreak/>
              <w:t>pasākuma projektu portfelī (ar vismaz 25 % ietaupījumu energoefektivitātes iekārtām).</w:t>
            </w:r>
          </w:p>
          <w:p w14:paraId="75974633" w14:textId="77777777" w:rsidR="00067A32" w:rsidRPr="008635F8" w:rsidRDefault="00067A32" w:rsidP="00E147E0">
            <w:pPr>
              <w:widowControl w:val="0"/>
              <w:spacing w:after="0" w:line="240" w:lineRule="auto"/>
              <w:ind w:left="57" w:right="57"/>
              <w:rPr>
                <w:rFonts w:ascii="Times New Roman" w:eastAsiaTheme="minorEastAsia" w:hAnsi="Times New Roman" w:cs="Times New Roman"/>
                <w:noProof/>
                <w:sz w:val="18"/>
                <w:szCs w:val="18"/>
              </w:rPr>
            </w:pPr>
            <w:r w:rsidRPr="008635F8">
              <w:rPr>
                <w:rFonts w:ascii="Times New Roman" w:hAnsi="Times New Roman"/>
                <w:sz w:val="18"/>
                <w:szCs w:val="18"/>
              </w:rPr>
              <w:t xml:space="preserve">Lai nodrošinātu rezultātu sasniegšanu, nosacījumos kā projekta atbilstības kritēriju iekļauj enerģijas ietaupījuma minimālo robežvērtību uz vienu investētā publiskā finansējuma </w:t>
            </w:r>
            <w:r w:rsidRPr="008635F8">
              <w:rPr>
                <w:rFonts w:ascii="Times New Roman" w:hAnsi="Times New Roman"/>
                <w:i/>
                <w:iCs/>
                <w:sz w:val="18"/>
                <w:szCs w:val="18"/>
              </w:rPr>
              <w:t>euro</w:t>
            </w:r>
            <w:r w:rsidRPr="008635F8">
              <w:rPr>
                <w:rFonts w:ascii="Times New Roman" w:hAnsi="Times New Roman"/>
                <w:sz w:val="18"/>
                <w:szCs w:val="18"/>
              </w:rPr>
              <w:t>.</w:t>
            </w:r>
          </w:p>
          <w:p w14:paraId="476CF6EE" w14:textId="77777777" w:rsidR="00067A32" w:rsidRPr="008635F8" w:rsidRDefault="00067A32" w:rsidP="00E147E0">
            <w:pPr>
              <w:widowControl w:val="0"/>
              <w:spacing w:after="0" w:line="240" w:lineRule="auto"/>
              <w:ind w:left="57" w:right="57"/>
              <w:rPr>
                <w:rFonts w:ascii="Times New Roman" w:eastAsiaTheme="minorEastAsia" w:hAnsi="Times New Roman" w:cs="Times New Roman"/>
                <w:noProof/>
                <w:sz w:val="18"/>
                <w:szCs w:val="18"/>
              </w:rPr>
            </w:pPr>
            <w:r w:rsidRPr="008635F8">
              <w:rPr>
                <w:rFonts w:ascii="Times New Roman" w:hAnsi="Times New Roman"/>
                <w:sz w:val="18"/>
                <w:szCs w:val="18"/>
              </w:rPr>
              <w:t>Šie nosacījumi ietver atbilstības kritērijus, ar ko nodrošina atbilstību principam “nenodarīt būtisku kaitējumu” saskaņā ar Tehniskajiem norādījumiem par principa “nenodarīt būtisku kaitējumu” piemērošanu (2021/C58/01) un attiecīgajiem ES un valstu tiesību aktiem.</w:t>
            </w:r>
          </w:p>
          <w:p w14:paraId="3A49F196" w14:textId="77777777" w:rsidR="00067A32" w:rsidRPr="008635F8" w:rsidRDefault="00067A32" w:rsidP="00E147E0">
            <w:pPr>
              <w:widowControl w:val="0"/>
              <w:spacing w:after="0" w:line="240" w:lineRule="auto"/>
              <w:ind w:left="57" w:right="57"/>
              <w:rPr>
                <w:rFonts w:ascii="Times New Roman" w:eastAsiaTheme="minorEastAsia" w:hAnsi="Times New Roman" w:cs="Times New Roman"/>
                <w:noProof/>
                <w:sz w:val="18"/>
                <w:szCs w:val="18"/>
              </w:rPr>
            </w:pPr>
            <w:r w:rsidRPr="008635F8">
              <w:rPr>
                <w:rFonts w:ascii="Times New Roman" w:hAnsi="Times New Roman"/>
                <w:sz w:val="18"/>
                <w:szCs w:val="18"/>
              </w:rPr>
              <w:t xml:space="preserve">Atbalstu sniedz, rīkojot piedāvājumu konkursus projektiem ar vislielāko paredzamo </w:t>
            </w:r>
            <w:r w:rsidRPr="008635F8">
              <w:rPr>
                <w:rFonts w:ascii="Times New Roman" w:hAnsi="Times New Roman"/>
                <w:sz w:val="18"/>
                <w:szCs w:val="18"/>
              </w:rPr>
              <w:lastRenderedPageBreak/>
              <w:t xml:space="preserve">enerģijas ietaupījumu uz vienu investēto </w:t>
            </w:r>
            <w:r w:rsidRPr="008635F8">
              <w:rPr>
                <w:rFonts w:ascii="Times New Roman" w:hAnsi="Times New Roman"/>
                <w:i/>
                <w:iCs/>
                <w:sz w:val="18"/>
                <w:szCs w:val="18"/>
              </w:rPr>
              <w:t>euro</w:t>
            </w:r>
            <w:r w:rsidRPr="008635F8">
              <w:rPr>
                <w:rFonts w:ascii="Times New Roman" w:hAnsi="Times New Roman"/>
                <w:sz w:val="18"/>
                <w:szCs w:val="18"/>
              </w:rPr>
              <w:t>.</w:t>
            </w:r>
          </w:p>
        </w:tc>
      </w:tr>
      <w:tr w:rsidR="0041037D" w:rsidRPr="008635F8" w14:paraId="18E251F4" w14:textId="77777777" w:rsidTr="0044659E">
        <w:trPr>
          <w:trHeight w:val="1200"/>
        </w:trPr>
        <w:tc>
          <w:tcPr>
            <w:tcW w:w="280" w:type="dxa"/>
            <w:tcBorders>
              <w:top w:val="single" w:sz="4" w:space="0" w:color="auto"/>
              <w:left w:val="single" w:sz="4" w:space="0" w:color="auto"/>
              <w:bottom w:val="single" w:sz="4" w:space="0" w:color="auto"/>
              <w:right w:val="single" w:sz="4" w:space="0" w:color="auto"/>
            </w:tcBorders>
            <w:shd w:val="clear" w:color="auto" w:fill="C6EFCE"/>
          </w:tcPr>
          <w:p w14:paraId="5E797606"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lastRenderedPageBreak/>
              <w:t>11</w:t>
            </w:r>
          </w:p>
        </w:tc>
        <w:tc>
          <w:tcPr>
            <w:tcW w:w="1416" w:type="dxa"/>
            <w:tcBorders>
              <w:top w:val="single" w:sz="4" w:space="0" w:color="auto"/>
              <w:left w:val="single" w:sz="4" w:space="0" w:color="auto"/>
              <w:bottom w:val="single" w:sz="4" w:space="0" w:color="auto"/>
              <w:right w:val="single" w:sz="4" w:space="0" w:color="auto"/>
            </w:tcBorders>
            <w:shd w:val="clear" w:color="auto" w:fill="C6EFCE"/>
          </w:tcPr>
          <w:p w14:paraId="74B1B877" w14:textId="77777777" w:rsidR="00067A32" w:rsidRPr="008635F8" w:rsidRDefault="00067A32" w:rsidP="00D6290E">
            <w:pPr>
              <w:widowControl w:val="0"/>
              <w:spacing w:after="0" w:line="240" w:lineRule="auto"/>
              <w:ind w:left="57" w:right="57"/>
              <w:jc w:val="both"/>
              <w:rPr>
                <w:rFonts w:ascii="Times New Roman" w:hAnsi="Times New Roman" w:cs="Calibri"/>
                <w:b/>
                <w:bCs/>
                <w:noProof/>
                <w:sz w:val="18"/>
                <w:szCs w:val="18"/>
              </w:rPr>
            </w:pPr>
            <w:r w:rsidRPr="008635F8">
              <w:rPr>
                <w:rFonts w:ascii="Times New Roman" w:hAnsi="Times New Roman"/>
                <w:b/>
                <w:sz w:val="18"/>
                <w:szCs w:val="18"/>
              </w:rPr>
              <w:t>1.2.1.2.i. Energoefektivitātes paaugstināšana uzņēmējdarbībā apvienota finanšu instrumenta veidā</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60FEA9D6"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r w:rsidRPr="008635F8">
              <w:rPr>
                <w:rFonts w:ascii="Times New Roman" w:hAnsi="Times New Roman"/>
                <w:sz w:val="18"/>
                <w:szCs w:val="18"/>
              </w:rPr>
              <w:t>Mērķis</w:t>
            </w:r>
          </w:p>
        </w:tc>
        <w:tc>
          <w:tcPr>
            <w:tcW w:w="1100" w:type="dxa"/>
            <w:tcBorders>
              <w:top w:val="single" w:sz="4" w:space="0" w:color="auto"/>
              <w:left w:val="single" w:sz="4" w:space="0" w:color="auto"/>
              <w:bottom w:val="single" w:sz="4" w:space="0" w:color="auto"/>
              <w:right w:val="single" w:sz="4" w:space="0" w:color="auto"/>
            </w:tcBorders>
            <w:shd w:val="clear" w:color="auto" w:fill="C6EFCE"/>
          </w:tcPr>
          <w:p w14:paraId="24C65348"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r w:rsidRPr="008635F8">
              <w:rPr>
                <w:rFonts w:ascii="Times New Roman" w:hAnsi="Times New Roman"/>
                <w:sz w:val="18"/>
                <w:szCs w:val="18"/>
              </w:rPr>
              <w:t xml:space="preserve">Plānotais SEG emisiju ietaupījums </w:t>
            </w:r>
          </w:p>
        </w:tc>
        <w:tc>
          <w:tcPr>
            <w:tcW w:w="1595" w:type="dxa"/>
            <w:tcBorders>
              <w:top w:val="single" w:sz="4" w:space="0" w:color="auto"/>
              <w:left w:val="single" w:sz="4" w:space="0" w:color="auto"/>
              <w:bottom w:val="single" w:sz="4" w:space="0" w:color="auto"/>
              <w:right w:val="single" w:sz="4" w:space="0" w:color="auto"/>
            </w:tcBorders>
            <w:shd w:val="clear" w:color="auto" w:fill="C6EFCE"/>
          </w:tcPr>
          <w:p w14:paraId="6775B125"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C6EFCE"/>
          </w:tcPr>
          <w:p w14:paraId="2919B6ED"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r w:rsidRPr="008635F8">
              <w:rPr>
                <w:rFonts w:ascii="Times New Roman" w:hAnsi="Times New Roman"/>
                <w:sz w:val="18"/>
                <w:szCs w:val="18"/>
              </w:rPr>
              <w:t>CO</w:t>
            </w:r>
            <w:r w:rsidRPr="008635F8">
              <w:rPr>
                <w:rFonts w:ascii="Times New Roman" w:hAnsi="Times New Roman"/>
                <w:sz w:val="18"/>
                <w:szCs w:val="18"/>
                <w:vertAlign w:val="subscript"/>
              </w:rPr>
              <w:t>2</w:t>
            </w:r>
            <w:r w:rsidRPr="008635F8">
              <w:rPr>
                <w:rFonts w:ascii="Times New Roman" w:hAnsi="Times New Roman"/>
                <w:sz w:val="18"/>
                <w:szCs w:val="18"/>
              </w:rPr>
              <w:t xml:space="preserve"> ekvivalents t/gadā</w:t>
            </w:r>
          </w:p>
        </w:tc>
        <w:tc>
          <w:tcPr>
            <w:tcW w:w="535" w:type="dxa"/>
            <w:tcBorders>
              <w:top w:val="single" w:sz="4" w:space="0" w:color="auto"/>
              <w:left w:val="single" w:sz="4" w:space="0" w:color="auto"/>
              <w:bottom w:val="single" w:sz="4" w:space="0" w:color="auto"/>
              <w:right w:val="single" w:sz="4" w:space="0" w:color="auto"/>
            </w:tcBorders>
            <w:shd w:val="clear" w:color="auto" w:fill="C6EFCE"/>
          </w:tcPr>
          <w:p w14:paraId="5A8B7DCF"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r w:rsidRPr="008635F8">
              <w:rPr>
                <w:rFonts w:ascii="Times New Roman" w:hAnsi="Times New Roman"/>
                <w:sz w:val="18"/>
                <w:szCs w:val="18"/>
              </w:rPr>
              <w:t>0</w:t>
            </w:r>
          </w:p>
        </w:tc>
        <w:tc>
          <w:tcPr>
            <w:tcW w:w="926" w:type="dxa"/>
            <w:tcBorders>
              <w:top w:val="single" w:sz="4" w:space="0" w:color="auto"/>
              <w:left w:val="single" w:sz="4" w:space="0" w:color="auto"/>
              <w:bottom w:val="single" w:sz="4" w:space="0" w:color="auto"/>
              <w:right w:val="single" w:sz="4" w:space="0" w:color="auto"/>
            </w:tcBorders>
            <w:shd w:val="clear" w:color="auto" w:fill="C6EFCE"/>
          </w:tcPr>
          <w:p w14:paraId="346654A1"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r w:rsidRPr="008635F8">
              <w:rPr>
                <w:rFonts w:ascii="Times New Roman" w:hAnsi="Times New Roman"/>
                <w:sz w:val="18"/>
                <w:szCs w:val="18"/>
              </w:rPr>
              <w:t>11 498</w:t>
            </w:r>
          </w:p>
        </w:tc>
        <w:tc>
          <w:tcPr>
            <w:tcW w:w="523" w:type="dxa"/>
            <w:tcBorders>
              <w:top w:val="single" w:sz="4" w:space="0" w:color="auto"/>
              <w:left w:val="single" w:sz="4" w:space="0" w:color="auto"/>
              <w:bottom w:val="single" w:sz="4" w:space="0" w:color="auto"/>
              <w:right w:val="single" w:sz="4" w:space="0" w:color="auto"/>
            </w:tcBorders>
            <w:shd w:val="clear" w:color="auto" w:fill="C6EFCE"/>
          </w:tcPr>
          <w:p w14:paraId="54C96394"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r w:rsidRPr="008635F8">
              <w:rPr>
                <w:rFonts w:ascii="Times New Roman" w:hAnsi="Times New Roman"/>
                <w:sz w:val="18"/>
                <w:szCs w:val="18"/>
              </w:rPr>
              <w:t>3. cet.</w:t>
            </w:r>
          </w:p>
        </w:tc>
        <w:tc>
          <w:tcPr>
            <w:tcW w:w="568" w:type="dxa"/>
            <w:tcBorders>
              <w:top w:val="single" w:sz="4" w:space="0" w:color="auto"/>
              <w:left w:val="single" w:sz="4" w:space="0" w:color="auto"/>
              <w:bottom w:val="single" w:sz="4" w:space="0" w:color="auto"/>
              <w:right w:val="single" w:sz="4" w:space="0" w:color="auto"/>
            </w:tcBorders>
            <w:shd w:val="clear" w:color="auto" w:fill="C6EFCE"/>
          </w:tcPr>
          <w:p w14:paraId="4CFDFC5B"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r w:rsidRPr="008635F8">
              <w:rPr>
                <w:rFonts w:ascii="Times New Roman" w:hAnsi="Times New Roman"/>
                <w:sz w:val="18"/>
                <w:szCs w:val="18"/>
              </w:rPr>
              <w:t>2026</w:t>
            </w:r>
          </w:p>
        </w:tc>
        <w:tc>
          <w:tcPr>
            <w:tcW w:w="1019" w:type="dxa"/>
            <w:tcBorders>
              <w:top w:val="single" w:sz="4" w:space="0" w:color="auto"/>
              <w:left w:val="single" w:sz="4" w:space="0" w:color="auto"/>
              <w:bottom w:val="single" w:sz="4" w:space="0" w:color="auto"/>
              <w:right w:val="single" w:sz="4" w:space="0" w:color="auto"/>
            </w:tcBorders>
            <w:shd w:val="clear" w:color="auto" w:fill="C6EFCE"/>
          </w:tcPr>
          <w:p w14:paraId="46C715DC"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r w:rsidRPr="008635F8">
              <w:rPr>
                <w:rFonts w:ascii="Times New Roman" w:hAnsi="Times New Roman"/>
                <w:sz w:val="18"/>
                <w:szCs w:val="18"/>
              </w:rPr>
              <w:t>Ekonomikas ministrija, “Altum”</w:t>
            </w:r>
          </w:p>
        </w:tc>
        <w:tc>
          <w:tcPr>
            <w:tcW w:w="996" w:type="dxa"/>
            <w:tcBorders>
              <w:top w:val="single" w:sz="4" w:space="0" w:color="auto"/>
              <w:left w:val="single" w:sz="4" w:space="0" w:color="auto"/>
              <w:bottom w:val="single" w:sz="4" w:space="0" w:color="auto"/>
              <w:right w:val="single" w:sz="4" w:space="0" w:color="auto"/>
            </w:tcBorders>
            <w:shd w:val="clear" w:color="auto" w:fill="C6EFCE"/>
          </w:tcPr>
          <w:p w14:paraId="5E9E7ADA"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p>
        </w:tc>
        <w:tc>
          <w:tcPr>
            <w:tcW w:w="1486" w:type="dxa"/>
            <w:tcBorders>
              <w:top w:val="single" w:sz="4" w:space="0" w:color="auto"/>
              <w:left w:val="single" w:sz="4" w:space="0" w:color="auto"/>
              <w:bottom w:val="single" w:sz="4" w:space="0" w:color="auto"/>
              <w:right w:val="single" w:sz="4" w:space="0" w:color="auto"/>
            </w:tcBorders>
            <w:shd w:val="clear" w:color="auto" w:fill="C6EFCE"/>
          </w:tcPr>
          <w:p w14:paraId="00DBE68C" w14:textId="77777777" w:rsidR="00067A3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Kopsavilkuma dokuments, kurā pienācīgi pamatots, kā tika apmierinoši sasniegts mērķis (pamatojoties uz paredzamajiem emisiju ietaupījumiem), kopā ar atbilstošām saitēm uz pamatojošajiem pierādījumiem, tostarp detalizēts skaidrojums par metodi, kas izmantota, lai aprēķinātu paredzamos emisiju ietaupījumus.</w:t>
            </w:r>
          </w:p>
          <w:p w14:paraId="0F284B2D" w14:textId="77777777" w:rsidR="00067A32" w:rsidRPr="008635F8" w:rsidRDefault="00067A32" w:rsidP="00E147E0">
            <w:pPr>
              <w:widowControl w:val="0"/>
              <w:spacing w:after="0" w:line="240" w:lineRule="auto"/>
              <w:ind w:left="57" w:right="57"/>
              <w:rPr>
                <w:rFonts w:ascii="Times New Roman" w:hAnsi="Times New Roman" w:cs="Calibri"/>
                <w:noProof/>
                <w:sz w:val="18"/>
                <w:szCs w:val="18"/>
              </w:rPr>
            </w:pPr>
          </w:p>
          <w:p w14:paraId="12D9F3E2" w14:textId="77777777" w:rsidR="0048148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i/>
                <w:iCs/>
                <w:sz w:val="18"/>
                <w:szCs w:val="18"/>
              </w:rPr>
              <w:t>ETS</w:t>
            </w:r>
            <w:r w:rsidRPr="008635F8">
              <w:rPr>
                <w:rFonts w:ascii="Times New Roman" w:hAnsi="Times New Roman"/>
                <w:sz w:val="18"/>
                <w:szCs w:val="18"/>
              </w:rPr>
              <w:t xml:space="preserve"> iekārtu gadījumā šajā dokumentā iekļauj šādu informāciju:</w:t>
            </w:r>
          </w:p>
          <w:p w14:paraId="6D975C3F" w14:textId="1847BAE7" w:rsidR="00067A32" w:rsidRPr="008635F8" w:rsidRDefault="00067A32" w:rsidP="00E147E0">
            <w:pPr>
              <w:widowControl w:val="0"/>
              <w:spacing w:after="0" w:line="240" w:lineRule="auto"/>
              <w:ind w:left="57" w:right="57"/>
              <w:rPr>
                <w:rFonts w:ascii="Times New Roman" w:hAnsi="Times New Roman" w:cs="Calibri"/>
                <w:noProof/>
                <w:sz w:val="18"/>
                <w:szCs w:val="18"/>
              </w:rPr>
            </w:pPr>
          </w:p>
          <w:p w14:paraId="780DAC55" w14:textId="2DF45EBD" w:rsidR="00481482" w:rsidRPr="008635F8" w:rsidRDefault="00067A32" w:rsidP="00E147E0">
            <w:pPr>
              <w:widowControl w:val="0"/>
              <w:tabs>
                <w:tab w:val="left" w:pos="329"/>
              </w:tabs>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 xml:space="preserve">1) iekārtas ID / lidaparātu ekspluatanta ID Eiropas </w:t>
            </w:r>
            <w:r w:rsidRPr="008635F8">
              <w:rPr>
                <w:rFonts w:ascii="Times New Roman" w:hAnsi="Times New Roman"/>
                <w:sz w:val="18"/>
                <w:szCs w:val="18"/>
              </w:rPr>
              <w:lastRenderedPageBreak/>
              <w:t>Savienības darījumu žurnālā (</w:t>
            </w:r>
            <w:r w:rsidRPr="008635F8">
              <w:rPr>
                <w:rFonts w:ascii="Times New Roman" w:hAnsi="Times New Roman"/>
                <w:i/>
                <w:iCs/>
                <w:sz w:val="18"/>
                <w:szCs w:val="18"/>
              </w:rPr>
              <w:t>EUTL</w:t>
            </w:r>
            <w:r w:rsidRPr="008635F8">
              <w:rPr>
                <w:rFonts w:ascii="Times New Roman" w:hAnsi="Times New Roman"/>
                <w:sz w:val="18"/>
                <w:szCs w:val="18"/>
              </w:rPr>
              <w:t>), kas izveidots ar Komisijas Regulas (ES) Nr. 389/2013 5. pantu;</w:t>
            </w:r>
          </w:p>
          <w:p w14:paraId="35D33C3A" w14:textId="6BE9812E" w:rsidR="00067A32" w:rsidRPr="008635F8" w:rsidRDefault="00067A32" w:rsidP="00E147E0">
            <w:pPr>
              <w:widowControl w:val="0"/>
              <w:spacing w:after="0" w:line="240" w:lineRule="auto"/>
              <w:ind w:left="57" w:right="57"/>
              <w:rPr>
                <w:rFonts w:ascii="Times New Roman" w:hAnsi="Times New Roman" w:cs="Calibri"/>
                <w:noProof/>
                <w:sz w:val="18"/>
                <w:szCs w:val="18"/>
              </w:rPr>
            </w:pPr>
          </w:p>
          <w:p w14:paraId="4B7534B6" w14:textId="353FD16A" w:rsidR="00481482" w:rsidRPr="008635F8" w:rsidRDefault="00067A32" w:rsidP="00E147E0">
            <w:pPr>
              <w:widowControl w:val="0"/>
              <w:tabs>
                <w:tab w:val="left" w:pos="329"/>
              </w:tabs>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 xml:space="preserve">2) prognozēto siltumnīcefekta gāzu emisiju līmeni uz produkta vienību piešķirtajos projektos, kuros ir pasākumi, kas atbilst ES </w:t>
            </w:r>
            <w:r w:rsidRPr="008635F8">
              <w:rPr>
                <w:rFonts w:ascii="Times New Roman" w:hAnsi="Times New Roman"/>
                <w:i/>
                <w:iCs/>
                <w:sz w:val="18"/>
                <w:szCs w:val="18"/>
              </w:rPr>
              <w:t>ETS</w:t>
            </w:r>
            <w:r w:rsidRPr="008635F8">
              <w:rPr>
                <w:rFonts w:ascii="Times New Roman" w:hAnsi="Times New Roman"/>
                <w:sz w:val="18"/>
                <w:szCs w:val="18"/>
              </w:rPr>
              <w:t>;</w:t>
            </w:r>
          </w:p>
          <w:p w14:paraId="1B15C351" w14:textId="723DE488" w:rsidR="00067A32" w:rsidRPr="008635F8" w:rsidRDefault="00067A32" w:rsidP="00E147E0">
            <w:pPr>
              <w:widowControl w:val="0"/>
              <w:spacing w:after="0" w:line="240" w:lineRule="auto"/>
              <w:ind w:left="57" w:right="57"/>
              <w:rPr>
                <w:rFonts w:ascii="Times New Roman" w:hAnsi="Times New Roman" w:cs="Calibri"/>
                <w:noProof/>
                <w:sz w:val="18"/>
                <w:szCs w:val="18"/>
              </w:rPr>
            </w:pPr>
          </w:p>
          <w:p w14:paraId="2CF2AF7A" w14:textId="13E04CC0" w:rsidR="00067A32" w:rsidRPr="008635F8" w:rsidRDefault="00067A32" w:rsidP="00E147E0">
            <w:pPr>
              <w:widowControl w:val="0"/>
              <w:tabs>
                <w:tab w:val="left" w:pos="329"/>
              </w:tabs>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3) īsu projekta un izmantoto tehnoloģiju aprakstu.</w:t>
            </w:r>
          </w:p>
        </w:tc>
        <w:tc>
          <w:tcPr>
            <w:tcW w:w="1707" w:type="dxa"/>
            <w:tcBorders>
              <w:top w:val="single" w:sz="4" w:space="0" w:color="auto"/>
              <w:left w:val="single" w:sz="4" w:space="0" w:color="auto"/>
              <w:bottom w:val="single" w:sz="4" w:space="0" w:color="auto"/>
              <w:right w:val="single" w:sz="4" w:space="0" w:color="auto"/>
            </w:tcBorders>
            <w:shd w:val="clear" w:color="auto" w:fill="C6EFCE"/>
          </w:tcPr>
          <w:p w14:paraId="7542A5DF" w14:textId="77777777" w:rsidR="00067A3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lastRenderedPageBreak/>
              <w:t>Siltumnīcefekta gāzu emisiju ietaupījums, kas izteikts CO</w:t>
            </w:r>
            <w:r w:rsidRPr="008635F8">
              <w:rPr>
                <w:rFonts w:ascii="Times New Roman" w:hAnsi="Times New Roman"/>
                <w:sz w:val="18"/>
                <w:szCs w:val="18"/>
                <w:vertAlign w:val="subscript"/>
              </w:rPr>
              <w:t>2</w:t>
            </w:r>
            <w:r w:rsidRPr="008635F8">
              <w:rPr>
                <w:rFonts w:ascii="Times New Roman" w:hAnsi="Times New Roman"/>
                <w:sz w:val="18"/>
                <w:szCs w:val="18"/>
              </w:rPr>
              <w:t xml:space="preserve"> ekvivalentā uz vienu tonnu, pamatojoties uz pasākuma rezultātā gaidāmajiem emisiju ietaupījumiem.</w:t>
            </w:r>
          </w:p>
        </w:tc>
      </w:tr>
      <w:tr w:rsidR="0041037D" w:rsidRPr="008635F8" w14:paraId="5CF50EF6" w14:textId="77777777" w:rsidTr="0044659E">
        <w:trPr>
          <w:trHeight w:val="1200"/>
        </w:trPr>
        <w:tc>
          <w:tcPr>
            <w:tcW w:w="280" w:type="dxa"/>
            <w:tcBorders>
              <w:top w:val="single" w:sz="4" w:space="0" w:color="auto"/>
              <w:left w:val="single" w:sz="4" w:space="0" w:color="auto"/>
              <w:bottom w:val="single" w:sz="4" w:space="0" w:color="auto"/>
              <w:right w:val="single" w:sz="4" w:space="0" w:color="auto"/>
            </w:tcBorders>
            <w:shd w:val="clear" w:color="auto" w:fill="C6EFCE"/>
          </w:tcPr>
          <w:p w14:paraId="3D6EAD85"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12</w:t>
            </w:r>
          </w:p>
        </w:tc>
        <w:tc>
          <w:tcPr>
            <w:tcW w:w="1416" w:type="dxa"/>
            <w:tcBorders>
              <w:top w:val="single" w:sz="4" w:space="0" w:color="auto"/>
              <w:left w:val="single" w:sz="4" w:space="0" w:color="auto"/>
              <w:bottom w:val="single" w:sz="4" w:space="0" w:color="auto"/>
              <w:right w:val="single" w:sz="4" w:space="0" w:color="auto"/>
            </w:tcBorders>
            <w:shd w:val="clear" w:color="auto" w:fill="C6EFCE"/>
          </w:tcPr>
          <w:p w14:paraId="5A03A3C7"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b/>
                <w:bCs/>
                <w:noProof/>
                <w:sz w:val="18"/>
                <w:szCs w:val="18"/>
              </w:rPr>
            </w:pPr>
            <w:r w:rsidRPr="008635F8">
              <w:rPr>
                <w:rFonts w:ascii="Times New Roman" w:hAnsi="Times New Roman"/>
                <w:b/>
                <w:sz w:val="18"/>
                <w:szCs w:val="18"/>
              </w:rPr>
              <w:t>1.2.1.2.i. Energoefektivitātes paaugstināšana uzņēmējdarbībā apvienota finanšu instrumenta veidā</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8AEE8AD"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Mērķis</w:t>
            </w:r>
          </w:p>
        </w:tc>
        <w:tc>
          <w:tcPr>
            <w:tcW w:w="1100" w:type="dxa"/>
            <w:tcBorders>
              <w:top w:val="single" w:sz="4" w:space="0" w:color="auto"/>
              <w:left w:val="single" w:sz="4" w:space="0" w:color="auto"/>
              <w:bottom w:val="single" w:sz="4" w:space="0" w:color="auto"/>
              <w:right w:val="single" w:sz="4" w:space="0" w:color="auto"/>
            </w:tcBorders>
            <w:shd w:val="clear" w:color="auto" w:fill="C6EFCE"/>
          </w:tcPr>
          <w:p w14:paraId="49211774"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Apstiprināti projekti par vismaz 108 000 000 EUR</w:t>
            </w:r>
          </w:p>
        </w:tc>
        <w:tc>
          <w:tcPr>
            <w:tcW w:w="1595" w:type="dxa"/>
            <w:tcBorders>
              <w:top w:val="single" w:sz="4" w:space="0" w:color="auto"/>
              <w:left w:val="single" w:sz="4" w:space="0" w:color="auto"/>
              <w:bottom w:val="single" w:sz="4" w:space="0" w:color="auto"/>
              <w:right w:val="single" w:sz="4" w:space="0" w:color="auto"/>
            </w:tcBorders>
            <w:shd w:val="clear" w:color="auto" w:fill="C6EFCE"/>
          </w:tcPr>
          <w:p w14:paraId="158D987B"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C6EFCE"/>
          </w:tcPr>
          <w:p w14:paraId="741F6A44"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EUR</w:t>
            </w:r>
          </w:p>
        </w:tc>
        <w:tc>
          <w:tcPr>
            <w:tcW w:w="535" w:type="dxa"/>
            <w:tcBorders>
              <w:top w:val="single" w:sz="4" w:space="0" w:color="auto"/>
              <w:left w:val="single" w:sz="4" w:space="0" w:color="auto"/>
              <w:bottom w:val="single" w:sz="4" w:space="0" w:color="auto"/>
              <w:right w:val="single" w:sz="4" w:space="0" w:color="auto"/>
            </w:tcBorders>
            <w:shd w:val="clear" w:color="auto" w:fill="C6EFCE"/>
          </w:tcPr>
          <w:p w14:paraId="743CACC2"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0</w:t>
            </w:r>
          </w:p>
        </w:tc>
        <w:tc>
          <w:tcPr>
            <w:tcW w:w="926" w:type="dxa"/>
            <w:tcBorders>
              <w:top w:val="single" w:sz="4" w:space="0" w:color="auto"/>
              <w:left w:val="single" w:sz="4" w:space="0" w:color="auto"/>
              <w:bottom w:val="single" w:sz="4" w:space="0" w:color="auto"/>
              <w:right w:val="single" w:sz="4" w:space="0" w:color="auto"/>
            </w:tcBorders>
            <w:shd w:val="clear" w:color="auto" w:fill="C6EFCE"/>
          </w:tcPr>
          <w:p w14:paraId="56BC8AA2"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108 000 000</w:t>
            </w:r>
          </w:p>
        </w:tc>
        <w:tc>
          <w:tcPr>
            <w:tcW w:w="523" w:type="dxa"/>
            <w:tcBorders>
              <w:top w:val="single" w:sz="4" w:space="0" w:color="auto"/>
              <w:left w:val="single" w:sz="4" w:space="0" w:color="auto"/>
              <w:bottom w:val="single" w:sz="4" w:space="0" w:color="auto"/>
              <w:right w:val="single" w:sz="4" w:space="0" w:color="auto"/>
            </w:tcBorders>
            <w:shd w:val="clear" w:color="auto" w:fill="C6EFCE"/>
          </w:tcPr>
          <w:p w14:paraId="1A1F41F2"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4. cet.</w:t>
            </w:r>
          </w:p>
        </w:tc>
        <w:tc>
          <w:tcPr>
            <w:tcW w:w="568" w:type="dxa"/>
            <w:tcBorders>
              <w:top w:val="single" w:sz="4" w:space="0" w:color="auto"/>
              <w:left w:val="single" w:sz="4" w:space="0" w:color="auto"/>
              <w:bottom w:val="single" w:sz="4" w:space="0" w:color="auto"/>
              <w:right w:val="single" w:sz="4" w:space="0" w:color="auto"/>
            </w:tcBorders>
            <w:shd w:val="clear" w:color="auto" w:fill="C6EFCE"/>
          </w:tcPr>
          <w:p w14:paraId="3C319344"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2024</w:t>
            </w:r>
          </w:p>
        </w:tc>
        <w:tc>
          <w:tcPr>
            <w:tcW w:w="1019" w:type="dxa"/>
            <w:tcBorders>
              <w:top w:val="single" w:sz="4" w:space="0" w:color="auto"/>
              <w:left w:val="single" w:sz="4" w:space="0" w:color="auto"/>
              <w:bottom w:val="single" w:sz="4" w:space="0" w:color="auto"/>
              <w:right w:val="single" w:sz="4" w:space="0" w:color="auto"/>
            </w:tcBorders>
            <w:shd w:val="clear" w:color="auto" w:fill="C6EFCE"/>
          </w:tcPr>
          <w:p w14:paraId="54EB73F0"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r w:rsidRPr="008635F8">
              <w:rPr>
                <w:rFonts w:ascii="Times New Roman" w:hAnsi="Times New Roman"/>
                <w:sz w:val="18"/>
                <w:szCs w:val="18"/>
              </w:rPr>
              <w:t>Ekonomikas ministrija</w:t>
            </w:r>
          </w:p>
        </w:tc>
        <w:tc>
          <w:tcPr>
            <w:tcW w:w="996" w:type="dxa"/>
            <w:tcBorders>
              <w:top w:val="single" w:sz="4" w:space="0" w:color="auto"/>
              <w:left w:val="single" w:sz="4" w:space="0" w:color="auto"/>
              <w:bottom w:val="single" w:sz="4" w:space="0" w:color="auto"/>
              <w:right w:val="single" w:sz="4" w:space="0" w:color="auto"/>
            </w:tcBorders>
            <w:shd w:val="clear" w:color="auto" w:fill="C6EFCE"/>
          </w:tcPr>
          <w:p w14:paraId="67CBAF07"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p>
        </w:tc>
        <w:tc>
          <w:tcPr>
            <w:tcW w:w="1486" w:type="dxa"/>
            <w:tcBorders>
              <w:top w:val="single" w:sz="4" w:space="0" w:color="auto"/>
              <w:left w:val="single" w:sz="4" w:space="0" w:color="auto"/>
              <w:bottom w:val="single" w:sz="4" w:space="0" w:color="auto"/>
              <w:right w:val="single" w:sz="4" w:space="0" w:color="auto"/>
            </w:tcBorders>
            <w:shd w:val="clear" w:color="auto" w:fill="C6EFCE"/>
          </w:tcPr>
          <w:p w14:paraId="0C068E84" w14:textId="77777777" w:rsidR="00067A3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 xml:space="preserve">Kopsavilkuma dokuments, kurā pienācīgi pamatots, kā tika apmierinoši sasniegts mērķis (tostarp visi būtiskie elementi), kopā ar atbilstošām saitēm uz pamatojošajiem pierādījumiem, tostarp </w:t>
            </w:r>
            <w:r w:rsidRPr="008635F8">
              <w:rPr>
                <w:rFonts w:ascii="Times New Roman" w:hAnsi="Times New Roman"/>
                <w:sz w:val="18"/>
                <w:szCs w:val="18"/>
              </w:rPr>
              <w:lastRenderedPageBreak/>
              <w:t>apstiprināto projektu un to summu saraksts.</w:t>
            </w:r>
          </w:p>
          <w:p w14:paraId="729611CD" w14:textId="77777777" w:rsidR="00067A32" w:rsidRPr="008635F8" w:rsidRDefault="00067A32" w:rsidP="00E147E0">
            <w:pPr>
              <w:widowControl w:val="0"/>
              <w:spacing w:after="0" w:line="240" w:lineRule="auto"/>
              <w:ind w:left="57" w:right="57"/>
              <w:rPr>
                <w:rFonts w:ascii="Times New Roman" w:hAnsi="Times New Roman" w:cs="Calibri"/>
                <w:noProof/>
                <w:sz w:val="18"/>
                <w:szCs w:val="18"/>
              </w:rPr>
            </w:pPr>
          </w:p>
          <w:p w14:paraId="38D90EE8" w14:textId="77777777" w:rsidR="0048148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i/>
                <w:iCs/>
                <w:sz w:val="18"/>
                <w:szCs w:val="18"/>
              </w:rPr>
              <w:t>ETS</w:t>
            </w:r>
            <w:r w:rsidRPr="008635F8">
              <w:rPr>
                <w:rFonts w:ascii="Times New Roman" w:hAnsi="Times New Roman"/>
                <w:sz w:val="18"/>
                <w:szCs w:val="18"/>
              </w:rPr>
              <w:t xml:space="preserve"> iekārtu gadījumā šajā dokumentā iekļauj šādu informāciju:</w:t>
            </w:r>
          </w:p>
          <w:p w14:paraId="66F883C4" w14:textId="279FCF1B" w:rsidR="00067A32" w:rsidRPr="008635F8" w:rsidRDefault="00067A32" w:rsidP="00E147E0">
            <w:pPr>
              <w:widowControl w:val="0"/>
              <w:spacing w:after="0" w:line="240" w:lineRule="auto"/>
              <w:ind w:left="57" w:right="57"/>
              <w:rPr>
                <w:rFonts w:ascii="Times New Roman" w:hAnsi="Times New Roman" w:cs="Calibri"/>
                <w:noProof/>
                <w:sz w:val="18"/>
                <w:szCs w:val="18"/>
              </w:rPr>
            </w:pPr>
          </w:p>
          <w:p w14:paraId="7C91BA1E" w14:textId="0706B2BF" w:rsidR="00481482" w:rsidRPr="008635F8" w:rsidRDefault="00067A32" w:rsidP="00E147E0">
            <w:pPr>
              <w:widowControl w:val="0"/>
              <w:tabs>
                <w:tab w:val="left" w:pos="329"/>
              </w:tabs>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1) iekārtas ID / lidaparātu ekspluatanta ID Eiropas Savienības darījumu žurnālā (</w:t>
            </w:r>
            <w:r w:rsidRPr="008635F8">
              <w:rPr>
                <w:rFonts w:ascii="Times New Roman" w:hAnsi="Times New Roman"/>
                <w:i/>
                <w:iCs/>
                <w:sz w:val="18"/>
                <w:szCs w:val="18"/>
              </w:rPr>
              <w:t>EUTL</w:t>
            </w:r>
            <w:r w:rsidRPr="008635F8">
              <w:rPr>
                <w:rFonts w:ascii="Times New Roman" w:hAnsi="Times New Roman"/>
                <w:sz w:val="18"/>
                <w:szCs w:val="18"/>
              </w:rPr>
              <w:t>), kas izveidots ar Komisijas Regulas (ES) Nr. 389/2013 5. pantu;</w:t>
            </w:r>
          </w:p>
          <w:p w14:paraId="5206813E" w14:textId="79BDAC8E" w:rsidR="00067A32" w:rsidRPr="008635F8" w:rsidRDefault="00067A32" w:rsidP="00E147E0">
            <w:pPr>
              <w:widowControl w:val="0"/>
              <w:spacing w:after="0" w:line="240" w:lineRule="auto"/>
              <w:ind w:left="57" w:right="57"/>
              <w:rPr>
                <w:rFonts w:ascii="Times New Roman" w:hAnsi="Times New Roman" w:cs="Calibri"/>
                <w:noProof/>
                <w:sz w:val="18"/>
                <w:szCs w:val="18"/>
              </w:rPr>
            </w:pPr>
          </w:p>
          <w:p w14:paraId="6530D02D" w14:textId="619D9E36" w:rsidR="00481482" w:rsidRPr="008635F8" w:rsidRDefault="00067A32" w:rsidP="00E147E0">
            <w:pPr>
              <w:widowControl w:val="0"/>
              <w:tabs>
                <w:tab w:val="left" w:pos="329"/>
              </w:tabs>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 xml:space="preserve">2) prognozēto siltumnīcefekta gāzu emisiju līmeni uz produkta vienību piešķirtajos projektos, kuros ir pasākumi, kas atbilst ES </w:t>
            </w:r>
            <w:r w:rsidRPr="008635F8">
              <w:rPr>
                <w:rFonts w:ascii="Times New Roman" w:hAnsi="Times New Roman"/>
                <w:i/>
                <w:iCs/>
                <w:sz w:val="18"/>
                <w:szCs w:val="18"/>
              </w:rPr>
              <w:t>ETS</w:t>
            </w:r>
            <w:r w:rsidRPr="008635F8">
              <w:rPr>
                <w:rFonts w:ascii="Times New Roman" w:hAnsi="Times New Roman"/>
                <w:sz w:val="18"/>
                <w:szCs w:val="18"/>
              </w:rPr>
              <w:t>;</w:t>
            </w:r>
          </w:p>
          <w:p w14:paraId="2D43B090" w14:textId="3095281E" w:rsidR="00067A32" w:rsidRPr="008635F8" w:rsidRDefault="00067A32" w:rsidP="00E147E0">
            <w:pPr>
              <w:widowControl w:val="0"/>
              <w:spacing w:after="0" w:line="240" w:lineRule="auto"/>
              <w:ind w:left="57" w:right="57"/>
              <w:rPr>
                <w:rFonts w:ascii="Times New Roman" w:hAnsi="Times New Roman" w:cs="Calibri"/>
                <w:noProof/>
                <w:sz w:val="18"/>
                <w:szCs w:val="18"/>
              </w:rPr>
            </w:pPr>
          </w:p>
          <w:p w14:paraId="18D95F34" w14:textId="7384E28D" w:rsidR="00067A32" w:rsidRPr="008635F8" w:rsidRDefault="00067A32" w:rsidP="00E147E0">
            <w:pPr>
              <w:widowControl w:val="0"/>
              <w:tabs>
                <w:tab w:val="left" w:pos="329"/>
              </w:tabs>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3) īsu projekta un izmantoto tehnoloģiju aprakstu.</w:t>
            </w:r>
          </w:p>
        </w:tc>
        <w:tc>
          <w:tcPr>
            <w:tcW w:w="1707" w:type="dxa"/>
            <w:tcBorders>
              <w:top w:val="single" w:sz="4" w:space="0" w:color="auto"/>
              <w:left w:val="single" w:sz="4" w:space="0" w:color="auto"/>
              <w:bottom w:val="single" w:sz="4" w:space="0" w:color="auto"/>
              <w:right w:val="single" w:sz="4" w:space="0" w:color="auto"/>
            </w:tcBorders>
            <w:shd w:val="clear" w:color="auto" w:fill="C6EFCE"/>
          </w:tcPr>
          <w:p w14:paraId="66260E07" w14:textId="77777777" w:rsidR="00067A32" w:rsidRPr="008635F8" w:rsidRDefault="00067A32" w:rsidP="00E147E0">
            <w:pPr>
              <w:widowControl w:val="0"/>
              <w:spacing w:after="0" w:line="240" w:lineRule="auto"/>
              <w:ind w:left="57" w:right="57"/>
              <w:rPr>
                <w:rFonts w:ascii="Times New Roman" w:eastAsiaTheme="minorEastAsia" w:hAnsi="Times New Roman" w:cs="Times New Roman"/>
                <w:noProof/>
                <w:sz w:val="18"/>
                <w:szCs w:val="18"/>
              </w:rPr>
            </w:pPr>
            <w:r w:rsidRPr="008635F8">
              <w:rPr>
                <w:rFonts w:ascii="Times New Roman" w:hAnsi="Times New Roman"/>
                <w:sz w:val="18"/>
                <w:szCs w:val="18"/>
              </w:rPr>
              <w:lastRenderedPageBreak/>
              <w:t>Apstiprināti projekti par vismaz 108 000 000 EUR.</w:t>
            </w:r>
          </w:p>
        </w:tc>
      </w:tr>
      <w:tr w:rsidR="0041037D" w:rsidRPr="008635F8" w14:paraId="2CEEC3B2" w14:textId="77777777" w:rsidTr="0044659E">
        <w:trPr>
          <w:trHeight w:val="1200"/>
        </w:trPr>
        <w:tc>
          <w:tcPr>
            <w:tcW w:w="280" w:type="dxa"/>
            <w:tcBorders>
              <w:top w:val="single" w:sz="4" w:space="0" w:color="auto"/>
              <w:left w:val="single" w:sz="4" w:space="0" w:color="auto"/>
              <w:bottom w:val="single" w:sz="4" w:space="0" w:color="auto"/>
              <w:right w:val="single" w:sz="4" w:space="0" w:color="auto"/>
            </w:tcBorders>
            <w:shd w:val="clear" w:color="auto" w:fill="C6EFCE"/>
          </w:tcPr>
          <w:p w14:paraId="404BED33"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lastRenderedPageBreak/>
              <w:t>13</w:t>
            </w:r>
          </w:p>
        </w:tc>
        <w:tc>
          <w:tcPr>
            <w:tcW w:w="1416" w:type="dxa"/>
            <w:tcBorders>
              <w:top w:val="single" w:sz="4" w:space="0" w:color="auto"/>
              <w:left w:val="single" w:sz="4" w:space="0" w:color="auto"/>
              <w:bottom w:val="single" w:sz="4" w:space="0" w:color="auto"/>
              <w:right w:val="single" w:sz="4" w:space="0" w:color="auto"/>
            </w:tcBorders>
            <w:shd w:val="clear" w:color="auto" w:fill="C6EFCE"/>
          </w:tcPr>
          <w:p w14:paraId="3BD7A4B4"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b/>
                <w:bCs/>
                <w:noProof/>
                <w:sz w:val="18"/>
                <w:szCs w:val="18"/>
              </w:rPr>
            </w:pPr>
            <w:r w:rsidRPr="008635F8">
              <w:rPr>
                <w:rFonts w:ascii="Times New Roman" w:hAnsi="Times New Roman"/>
                <w:b/>
                <w:sz w:val="18"/>
                <w:szCs w:val="18"/>
              </w:rPr>
              <w:t>1.2.1.3.i. Pašvaldību ēku un infrastruktūras uzlabošana, veicinot pāreju uz atjaunojamo energoresursu tehnoloģiju izmantošanu un uzlabojot energoefektivitāti</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AD66BCD"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Atskaites punkts</w:t>
            </w:r>
          </w:p>
        </w:tc>
        <w:tc>
          <w:tcPr>
            <w:tcW w:w="1100" w:type="dxa"/>
            <w:tcBorders>
              <w:top w:val="single" w:sz="4" w:space="0" w:color="auto"/>
              <w:left w:val="single" w:sz="4" w:space="0" w:color="auto"/>
              <w:bottom w:val="single" w:sz="4" w:space="0" w:color="auto"/>
              <w:right w:val="single" w:sz="4" w:space="0" w:color="auto"/>
            </w:tcBorders>
            <w:shd w:val="clear" w:color="auto" w:fill="C6EFCE"/>
          </w:tcPr>
          <w:p w14:paraId="6EF26C37"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Stājas spēkā tiesiskais regulējums atbalsta programmai pašvaldību infrastruktūras energoefektivitātes uzlabošanai, kas atbalsta projektus ar plānoto primārās enerģijas vai CO</w:t>
            </w:r>
            <w:r w:rsidRPr="008635F8">
              <w:rPr>
                <w:rFonts w:ascii="Times New Roman" w:hAnsi="Times New Roman"/>
                <w:sz w:val="18"/>
                <w:szCs w:val="18"/>
                <w:vertAlign w:val="subscript"/>
              </w:rPr>
              <w:t>2</w:t>
            </w:r>
            <w:r w:rsidRPr="008635F8">
              <w:rPr>
                <w:rFonts w:ascii="Times New Roman" w:hAnsi="Times New Roman"/>
                <w:sz w:val="18"/>
                <w:szCs w:val="18"/>
              </w:rPr>
              <w:t xml:space="preserve"> emisiju samazinājumu vismaz par 30 %</w:t>
            </w:r>
          </w:p>
        </w:tc>
        <w:tc>
          <w:tcPr>
            <w:tcW w:w="1595" w:type="dxa"/>
            <w:tcBorders>
              <w:top w:val="single" w:sz="4" w:space="0" w:color="auto"/>
              <w:left w:val="single" w:sz="4" w:space="0" w:color="auto"/>
              <w:bottom w:val="single" w:sz="4" w:space="0" w:color="auto"/>
              <w:right w:val="single" w:sz="4" w:space="0" w:color="auto"/>
            </w:tcBorders>
            <w:shd w:val="clear" w:color="auto" w:fill="C6EFCE"/>
          </w:tcPr>
          <w:p w14:paraId="652E6487" w14:textId="22E9B771"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 xml:space="preserve">Ministru kabineta noteikumu spēkā stāšanās </w:t>
            </w:r>
          </w:p>
        </w:tc>
        <w:tc>
          <w:tcPr>
            <w:tcW w:w="991" w:type="dxa"/>
            <w:tcBorders>
              <w:top w:val="single" w:sz="4" w:space="0" w:color="auto"/>
              <w:left w:val="single" w:sz="4" w:space="0" w:color="auto"/>
              <w:bottom w:val="single" w:sz="4" w:space="0" w:color="auto"/>
              <w:right w:val="single" w:sz="4" w:space="0" w:color="auto"/>
            </w:tcBorders>
            <w:shd w:val="clear" w:color="auto" w:fill="C6EFCE"/>
          </w:tcPr>
          <w:p w14:paraId="3FD37445"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p>
        </w:tc>
        <w:tc>
          <w:tcPr>
            <w:tcW w:w="535" w:type="dxa"/>
            <w:tcBorders>
              <w:top w:val="single" w:sz="4" w:space="0" w:color="auto"/>
              <w:left w:val="single" w:sz="4" w:space="0" w:color="auto"/>
              <w:bottom w:val="single" w:sz="4" w:space="0" w:color="auto"/>
              <w:right w:val="single" w:sz="4" w:space="0" w:color="auto"/>
            </w:tcBorders>
            <w:shd w:val="clear" w:color="auto" w:fill="C6EFCE"/>
          </w:tcPr>
          <w:p w14:paraId="2E20641E"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p>
        </w:tc>
        <w:tc>
          <w:tcPr>
            <w:tcW w:w="926" w:type="dxa"/>
            <w:tcBorders>
              <w:top w:val="single" w:sz="4" w:space="0" w:color="auto"/>
              <w:left w:val="single" w:sz="4" w:space="0" w:color="auto"/>
              <w:bottom w:val="single" w:sz="4" w:space="0" w:color="auto"/>
              <w:right w:val="single" w:sz="4" w:space="0" w:color="auto"/>
            </w:tcBorders>
            <w:shd w:val="clear" w:color="auto" w:fill="C6EFCE"/>
          </w:tcPr>
          <w:p w14:paraId="2BAD9FB4"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p>
        </w:tc>
        <w:tc>
          <w:tcPr>
            <w:tcW w:w="523" w:type="dxa"/>
            <w:tcBorders>
              <w:top w:val="single" w:sz="4" w:space="0" w:color="auto"/>
              <w:left w:val="single" w:sz="4" w:space="0" w:color="auto"/>
              <w:bottom w:val="single" w:sz="4" w:space="0" w:color="auto"/>
              <w:right w:val="single" w:sz="4" w:space="0" w:color="auto"/>
            </w:tcBorders>
            <w:shd w:val="clear" w:color="auto" w:fill="C6EFCE"/>
          </w:tcPr>
          <w:p w14:paraId="3ED476D6"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4. cet.</w:t>
            </w:r>
          </w:p>
        </w:tc>
        <w:tc>
          <w:tcPr>
            <w:tcW w:w="568" w:type="dxa"/>
            <w:tcBorders>
              <w:top w:val="single" w:sz="4" w:space="0" w:color="auto"/>
              <w:left w:val="single" w:sz="4" w:space="0" w:color="auto"/>
              <w:bottom w:val="single" w:sz="4" w:space="0" w:color="auto"/>
              <w:right w:val="single" w:sz="4" w:space="0" w:color="auto"/>
            </w:tcBorders>
            <w:shd w:val="clear" w:color="auto" w:fill="C6EFCE"/>
          </w:tcPr>
          <w:p w14:paraId="77DFBD4A"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2022</w:t>
            </w:r>
          </w:p>
        </w:tc>
        <w:tc>
          <w:tcPr>
            <w:tcW w:w="1019" w:type="dxa"/>
            <w:tcBorders>
              <w:top w:val="single" w:sz="4" w:space="0" w:color="auto"/>
              <w:left w:val="single" w:sz="4" w:space="0" w:color="auto"/>
              <w:bottom w:val="single" w:sz="4" w:space="0" w:color="auto"/>
              <w:right w:val="single" w:sz="4" w:space="0" w:color="auto"/>
            </w:tcBorders>
            <w:shd w:val="clear" w:color="auto" w:fill="C6EFCE"/>
          </w:tcPr>
          <w:p w14:paraId="5D6DC002"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r w:rsidRPr="008635F8">
              <w:rPr>
                <w:rFonts w:ascii="Times New Roman" w:hAnsi="Times New Roman"/>
                <w:sz w:val="18"/>
                <w:szCs w:val="18"/>
              </w:rPr>
              <w:t>Viedās administrācijas un reģionālās attīstības ministrija</w:t>
            </w:r>
          </w:p>
        </w:tc>
        <w:tc>
          <w:tcPr>
            <w:tcW w:w="996" w:type="dxa"/>
            <w:tcBorders>
              <w:top w:val="single" w:sz="4" w:space="0" w:color="auto"/>
              <w:left w:val="single" w:sz="4" w:space="0" w:color="auto"/>
              <w:bottom w:val="single" w:sz="4" w:space="0" w:color="auto"/>
              <w:right w:val="single" w:sz="4" w:space="0" w:color="auto"/>
            </w:tcBorders>
            <w:shd w:val="clear" w:color="auto" w:fill="C6EFCE"/>
          </w:tcPr>
          <w:p w14:paraId="566BFDF1"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p>
        </w:tc>
        <w:tc>
          <w:tcPr>
            <w:tcW w:w="1486" w:type="dxa"/>
            <w:tcBorders>
              <w:top w:val="single" w:sz="4" w:space="0" w:color="auto"/>
              <w:left w:val="single" w:sz="4" w:space="0" w:color="auto"/>
              <w:bottom w:val="single" w:sz="4" w:space="0" w:color="auto"/>
              <w:right w:val="single" w:sz="4" w:space="0" w:color="auto"/>
            </w:tcBorders>
            <w:shd w:val="clear" w:color="auto" w:fill="C6EFCE"/>
          </w:tcPr>
          <w:p w14:paraId="07F9F200" w14:textId="77777777" w:rsidR="00067A3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Ministru kabineta noteikumu kopija un saite uz publikāciju oficiālajā izdevumā, tostarp atsauce uz noteikumu, kurā norādīta stāšanās spēkā, kopā ar kopsavilkuma dokumentu, kurā pienācīgi pamatots, kā tika apmierinoši sasniegts atskaites punkts, kopā ar atbilstošām saitēm uz pamatojošajiem pierādījumiem. It īpaši tajā izskaidro, kā ir izpildītas 026a intervences jomas prasības.</w:t>
            </w:r>
          </w:p>
        </w:tc>
        <w:tc>
          <w:tcPr>
            <w:tcW w:w="1707" w:type="dxa"/>
            <w:tcBorders>
              <w:top w:val="single" w:sz="4" w:space="0" w:color="auto"/>
              <w:left w:val="single" w:sz="4" w:space="0" w:color="auto"/>
              <w:bottom w:val="single" w:sz="4" w:space="0" w:color="auto"/>
              <w:right w:val="single" w:sz="4" w:space="0" w:color="auto"/>
            </w:tcBorders>
            <w:shd w:val="clear" w:color="auto" w:fill="C6EFCE"/>
          </w:tcPr>
          <w:p w14:paraId="1AC5AF9C" w14:textId="5C21B7F8" w:rsidR="00067A32" w:rsidRPr="008635F8" w:rsidRDefault="00067A32" w:rsidP="00E147E0">
            <w:pPr>
              <w:widowControl w:val="0"/>
              <w:spacing w:after="0" w:line="240" w:lineRule="auto"/>
              <w:ind w:left="57" w:right="57"/>
              <w:rPr>
                <w:rFonts w:ascii="Times New Roman" w:eastAsiaTheme="minorEastAsia" w:hAnsi="Times New Roman" w:cs="Times New Roman"/>
                <w:noProof/>
                <w:sz w:val="18"/>
                <w:szCs w:val="18"/>
              </w:rPr>
            </w:pPr>
            <w:r w:rsidRPr="008635F8">
              <w:rPr>
                <w:rFonts w:ascii="Times New Roman" w:hAnsi="Times New Roman"/>
                <w:sz w:val="18"/>
                <w:szCs w:val="18"/>
              </w:rPr>
              <w:t>Stājas spēkā Ministru kabineta noteikumi, kas nosaka pašvaldību ēku un infrastruktūras uzlabošanas īstenošanas nosacījumus, pārejas uz atjaunojamo energoresursu tehnoloģijām veicināšanu un energoefektivitātes uzlabošanu, ar atbilstības kritērijiem, lai atspoguļotu ANM regulas VI pielikuma piemērojamās intervences jomas “026a. Publiskās infrastruktūras atjaunošana energoefektivitātes uzlabošanai vai energoefektivitātes pasākumi, demonstrējuma projekti un atbalsta pasākumi, kas atbilst energoefektivitātes kritērijiem” prasības.</w:t>
            </w:r>
          </w:p>
        </w:tc>
      </w:tr>
      <w:tr w:rsidR="0041037D" w:rsidRPr="008635F8" w14:paraId="21355F71" w14:textId="77777777" w:rsidTr="0044659E">
        <w:trPr>
          <w:trHeight w:val="1200"/>
        </w:trPr>
        <w:tc>
          <w:tcPr>
            <w:tcW w:w="280" w:type="dxa"/>
            <w:tcBorders>
              <w:top w:val="single" w:sz="4" w:space="0" w:color="auto"/>
              <w:left w:val="single" w:sz="4" w:space="0" w:color="auto"/>
              <w:bottom w:val="single" w:sz="4" w:space="0" w:color="auto"/>
              <w:right w:val="single" w:sz="4" w:space="0" w:color="auto"/>
            </w:tcBorders>
            <w:shd w:val="clear" w:color="auto" w:fill="C6EFCE"/>
          </w:tcPr>
          <w:p w14:paraId="5ED65D34"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lastRenderedPageBreak/>
              <w:t>14</w:t>
            </w:r>
          </w:p>
        </w:tc>
        <w:tc>
          <w:tcPr>
            <w:tcW w:w="1416" w:type="dxa"/>
            <w:tcBorders>
              <w:top w:val="single" w:sz="4" w:space="0" w:color="auto"/>
              <w:left w:val="single" w:sz="4" w:space="0" w:color="auto"/>
              <w:bottom w:val="single" w:sz="4" w:space="0" w:color="auto"/>
              <w:right w:val="single" w:sz="4" w:space="0" w:color="auto"/>
            </w:tcBorders>
            <w:shd w:val="clear" w:color="auto" w:fill="C6EFCE"/>
          </w:tcPr>
          <w:p w14:paraId="60C2700D"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b/>
                <w:bCs/>
                <w:noProof/>
                <w:sz w:val="18"/>
                <w:szCs w:val="18"/>
              </w:rPr>
            </w:pPr>
            <w:r w:rsidRPr="008635F8">
              <w:rPr>
                <w:rFonts w:ascii="Times New Roman" w:hAnsi="Times New Roman"/>
                <w:b/>
                <w:sz w:val="18"/>
                <w:szCs w:val="18"/>
              </w:rPr>
              <w:t>1.2.1.3.i. Pašvaldību ēku un infrastruktūras uzlabošana, veicinot pāreju uz atjaunojamo energoresursu tehnoloģiju izmantošanu un uzlabojot energoefektivitāti</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518C99"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Mērķis</w:t>
            </w:r>
          </w:p>
        </w:tc>
        <w:tc>
          <w:tcPr>
            <w:tcW w:w="1100" w:type="dxa"/>
            <w:tcBorders>
              <w:top w:val="single" w:sz="4" w:space="0" w:color="auto"/>
              <w:left w:val="single" w:sz="4" w:space="0" w:color="auto"/>
              <w:bottom w:val="single" w:sz="4" w:space="0" w:color="auto"/>
              <w:right w:val="single" w:sz="4" w:space="0" w:color="auto"/>
            </w:tcBorders>
            <w:shd w:val="clear" w:color="auto" w:fill="C6EFCE"/>
          </w:tcPr>
          <w:p w14:paraId="398B964F"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Līgumu slēgšanas tiesību piešķiršana energoefektivitātes uzlabošanas projektu īstenošanai pašvaldību ēkās un infrastruktūrā vismaz 27 838 800 EUR apmērā</w:t>
            </w:r>
          </w:p>
        </w:tc>
        <w:tc>
          <w:tcPr>
            <w:tcW w:w="1595" w:type="dxa"/>
            <w:tcBorders>
              <w:top w:val="single" w:sz="4" w:space="0" w:color="auto"/>
              <w:left w:val="single" w:sz="4" w:space="0" w:color="auto"/>
              <w:bottom w:val="single" w:sz="4" w:space="0" w:color="auto"/>
              <w:right w:val="single" w:sz="4" w:space="0" w:color="auto"/>
            </w:tcBorders>
            <w:shd w:val="clear" w:color="auto" w:fill="C6EFCE"/>
          </w:tcPr>
          <w:p w14:paraId="3B122E8A"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C6EFCE"/>
          </w:tcPr>
          <w:p w14:paraId="439035CE"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EUR</w:t>
            </w:r>
          </w:p>
        </w:tc>
        <w:tc>
          <w:tcPr>
            <w:tcW w:w="535" w:type="dxa"/>
            <w:tcBorders>
              <w:top w:val="single" w:sz="4" w:space="0" w:color="auto"/>
              <w:left w:val="single" w:sz="4" w:space="0" w:color="auto"/>
              <w:bottom w:val="single" w:sz="4" w:space="0" w:color="auto"/>
              <w:right w:val="single" w:sz="4" w:space="0" w:color="auto"/>
            </w:tcBorders>
            <w:shd w:val="clear" w:color="auto" w:fill="C6EFCE"/>
          </w:tcPr>
          <w:p w14:paraId="0E6CF93B"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0</w:t>
            </w:r>
          </w:p>
        </w:tc>
        <w:tc>
          <w:tcPr>
            <w:tcW w:w="926" w:type="dxa"/>
            <w:tcBorders>
              <w:top w:val="single" w:sz="4" w:space="0" w:color="auto"/>
              <w:left w:val="single" w:sz="4" w:space="0" w:color="auto"/>
              <w:bottom w:val="single" w:sz="4" w:space="0" w:color="auto"/>
              <w:right w:val="single" w:sz="4" w:space="0" w:color="auto"/>
            </w:tcBorders>
            <w:shd w:val="clear" w:color="auto" w:fill="C6EFCE"/>
          </w:tcPr>
          <w:p w14:paraId="05A1F44D"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27 838 800</w:t>
            </w:r>
          </w:p>
        </w:tc>
        <w:tc>
          <w:tcPr>
            <w:tcW w:w="523" w:type="dxa"/>
            <w:tcBorders>
              <w:top w:val="single" w:sz="4" w:space="0" w:color="auto"/>
              <w:left w:val="single" w:sz="4" w:space="0" w:color="auto"/>
              <w:bottom w:val="single" w:sz="4" w:space="0" w:color="auto"/>
              <w:right w:val="single" w:sz="4" w:space="0" w:color="auto"/>
            </w:tcBorders>
            <w:shd w:val="clear" w:color="auto" w:fill="C6EFCE"/>
          </w:tcPr>
          <w:p w14:paraId="3125D35D"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4. cet.</w:t>
            </w:r>
          </w:p>
        </w:tc>
        <w:tc>
          <w:tcPr>
            <w:tcW w:w="568" w:type="dxa"/>
            <w:tcBorders>
              <w:top w:val="single" w:sz="4" w:space="0" w:color="auto"/>
              <w:left w:val="single" w:sz="4" w:space="0" w:color="auto"/>
              <w:bottom w:val="single" w:sz="4" w:space="0" w:color="auto"/>
              <w:right w:val="single" w:sz="4" w:space="0" w:color="auto"/>
            </w:tcBorders>
            <w:shd w:val="clear" w:color="auto" w:fill="C6EFCE"/>
          </w:tcPr>
          <w:p w14:paraId="132A62C4"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2024</w:t>
            </w:r>
          </w:p>
        </w:tc>
        <w:tc>
          <w:tcPr>
            <w:tcW w:w="1019" w:type="dxa"/>
            <w:tcBorders>
              <w:top w:val="single" w:sz="4" w:space="0" w:color="auto"/>
              <w:left w:val="single" w:sz="4" w:space="0" w:color="auto"/>
              <w:bottom w:val="single" w:sz="4" w:space="0" w:color="auto"/>
              <w:right w:val="single" w:sz="4" w:space="0" w:color="auto"/>
            </w:tcBorders>
            <w:shd w:val="clear" w:color="auto" w:fill="C6EFCE"/>
          </w:tcPr>
          <w:p w14:paraId="5C1BB3B9"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bookmarkStart w:id="22" w:name="_Hlk89429087"/>
            <w:r w:rsidRPr="008635F8">
              <w:rPr>
                <w:rFonts w:ascii="Times New Roman" w:hAnsi="Times New Roman"/>
                <w:sz w:val="18"/>
                <w:szCs w:val="18"/>
              </w:rPr>
              <w:t>Viedās administrācijas un reģionālās attīstības ministrija</w:t>
            </w:r>
            <w:bookmarkEnd w:id="22"/>
            <w:r w:rsidRPr="008635F8">
              <w:rPr>
                <w:rFonts w:ascii="Times New Roman" w:hAnsi="Times New Roman"/>
                <w:sz w:val="18"/>
                <w:szCs w:val="18"/>
              </w:rPr>
              <w:t xml:space="preserve">, </w:t>
            </w:r>
            <w:bookmarkStart w:id="23" w:name="_Hlk89429063"/>
            <w:r w:rsidRPr="008635F8">
              <w:rPr>
                <w:rFonts w:ascii="Times New Roman" w:hAnsi="Times New Roman"/>
                <w:sz w:val="18"/>
                <w:szCs w:val="18"/>
              </w:rPr>
              <w:t>Centrālā finanšu un līgumu aģentūra</w:t>
            </w:r>
            <w:bookmarkEnd w:id="23"/>
            <w:r w:rsidRPr="008635F8">
              <w:rPr>
                <w:rFonts w:ascii="Times New Roman" w:hAnsi="Times New Roman"/>
                <w:sz w:val="18"/>
                <w:szCs w:val="18"/>
              </w:rPr>
              <w:t>, pašvaldības</w:t>
            </w:r>
          </w:p>
        </w:tc>
        <w:tc>
          <w:tcPr>
            <w:tcW w:w="996" w:type="dxa"/>
            <w:tcBorders>
              <w:top w:val="single" w:sz="4" w:space="0" w:color="auto"/>
              <w:left w:val="single" w:sz="4" w:space="0" w:color="auto"/>
              <w:bottom w:val="single" w:sz="4" w:space="0" w:color="auto"/>
              <w:right w:val="single" w:sz="4" w:space="0" w:color="auto"/>
            </w:tcBorders>
            <w:shd w:val="clear" w:color="auto" w:fill="C6EFCE"/>
          </w:tcPr>
          <w:p w14:paraId="2DCA94BA"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p>
        </w:tc>
        <w:tc>
          <w:tcPr>
            <w:tcW w:w="1486" w:type="dxa"/>
            <w:tcBorders>
              <w:top w:val="single" w:sz="4" w:space="0" w:color="auto"/>
              <w:left w:val="single" w:sz="4" w:space="0" w:color="auto"/>
              <w:bottom w:val="single" w:sz="4" w:space="0" w:color="auto"/>
              <w:right w:val="single" w:sz="4" w:space="0" w:color="auto"/>
            </w:tcBorders>
            <w:shd w:val="clear" w:color="auto" w:fill="C6EFCE"/>
          </w:tcPr>
          <w:p w14:paraId="4FB87936" w14:textId="77777777" w:rsidR="00067A3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Kopsavilkuma dokuments, kurā pienācīgi pamatots tas, kā tika apmierinoši sasniegts mērķis, ar atbilstošām saitēm uz pamatojošajiem pierādījumiem, tostarp piešķirto līguma slēgšanas tiesību un to summu saraksts.</w:t>
            </w:r>
          </w:p>
        </w:tc>
        <w:tc>
          <w:tcPr>
            <w:tcW w:w="1707" w:type="dxa"/>
            <w:tcBorders>
              <w:top w:val="single" w:sz="4" w:space="0" w:color="auto"/>
              <w:left w:val="single" w:sz="4" w:space="0" w:color="auto"/>
              <w:bottom w:val="single" w:sz="4" w:space="0" w:color="auto"/>
              <w:right w:val="single" w:sz="4" w:space="0" w:color="auto"/>
            </w:tcBorders>
            <w:shd w:val="clear" w:color="auto" w:fill="C6EFCE"/>
          </w:tcPr>
          <w:p w14:paraId="730EFE0E" w14:textId="77777777" w:rsidR="00067A32" w:rsidRPr="008635F8" w:rsidRDefault="00067A32" w:rsidP="00E147E0">
            <w:pPr>
              <w:widowControl w:val="0"/>
              <w:spacing w:after="0" w:line="240" w:lineRule="auto"/>
              <w:ind w:left="57" w:right="57"/>
              <w:rPr>
                <w:rFonts w:ascii="Times New Roman" w:eastAsiaTheme="minorEastAsia" w:hAnsi="Times New Roman" w:cs="Times New Roman"/>
                <w:noProof/>
                <w:sz w:val="18"/>
                <w:szCs w:val="18"/>
              </w:rPr>
            </w:pPr>
            <w:r w:rsidRPr="008635F8">
              <w:rPr>
                <w:rFonts w:ascii="Times New Roman" w:hAnsi="Times New Roman"/>
                <w:sz w:val="18"/>
                <w:szCs w:val="18"/>
              </w:rPr>
              <w:t>Paziņojums par līgumu slēgšanas tiesību piešķiršanu vismaz 27 838 800 EUR apmērā.</w:t>
            </w:r>
          </w:p>
        </w:tc>
      </w:tr>
      <w:tr w:rsidR="0041037D" w:rsidRPr="008635F8" w14:paraId="4A7EF7AC" w14:textId="77777777" w:rsidTr="0044659E">
        <w:trPr>
          <w:trHeight w:val="1200"/>
        </w:trPr>
        <w:tc>
          <w:tcPr>
            <w:tcW w:w="280" w:type="dxa"/>
            <w:tcBorders>
              <w:top w:val="single" w:sz="4" w:space="0" w:color="auto"/>
              <w:left w:val="single" w:sz="4" w:space="0" w:color="auto"/>
              <w:bottom w:val="single" w:sz="4" w:space="0" w:color="auto"/>
              <w:right w:val="single" w:sz="4" w:space="0" w:color="auto"/>
            </w:tcBorders>
            <w:shd w:val="clear" w:color="auto" w:fill="C6EFCE"/>
          </w:tcPr>
          <w:p w14:paraId="179B2B60"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15</w:t>
            </w:r>
          </w:p>
        </w:tc>
        <w:tc>
          <w:tcPr>
            <w:tcW w:w="1416" w:type="dxa"/>
            <w:tcBorders>
              <w:top w:val="single" w:sz="4" w:space="0" w:color="auto"/>
              <w:left w:val="single" w:sz="4" w:space="0" w:color="auto"/>
              <w:bottom w:val="single" w:sz="4" w:space="0" w:color="auto"/>
              <w:right w:val="single" w:sz="4" w:space="0" w:color="auto"/>
            </w:tcBorders>
            <w:shd w:val="clear" w:color="auto" w:fill="C6EFCE"/>
          </w:tcPr>
          <w:p w14:paraId="36DBB3A1"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b/>
                <w:bCs/>
                <w:noProof/>
                <w:sz w:val="18"/>
                <w:szCs w:val="18"/>
              </w:rPr>
            </w:pPr>
            <w:r w:rsidRPr="008635F8">
              <w:rPr>
                <w:rFonts w:ascii="Times New Roman" w:hAnsi="Times New Roman"/>
                <w:b/>
                <w:sz w:val="18"/>
                <w:szCs w:val="18"/>
              </w:rPr>
              <w:t>1.2.1.3.i. Pašvaldību ēku un infrastruktūras uzlabošana, veicinot pāreju uz atjaunojamo energoresursu tehnoloģiju izmantošanu un uzlabojot energoefektivitāti</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2586F258"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 xml:space="preserve">Mērķis </w:t>
            </w:r>
          </w:p>
        </w:tc>
        <w:tc>
          <w:tcPr>
            <w:tcW w:w="1100" w:type="dxa"/>
            <w:tcBorders>
              <w:top w:val="single" w:sz="4" w:space="0" w:color="auto"/>
              <w:left w:val="single" w:sz="4" w:space="0" w:color="auto"/>
              <w:bottom w:val="single" w:sz="4" w:space="0" w:color="auto"/>
              <w:right w:val="single" w:sz="4" w:space="0" w:color="auto"/>
            </w:tcBorders>
            <w:shd w:val="clear" w:color="auto" w:fill="C6EFCE"/>
          </w:tcPr>
          <w:p w14:paraId="450BDF0D"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Primārās enerģijas patēriņa samazināšana pašvaldību ēkās un infrastruktūrā</w:t>
            </w:r>
          </w:p>
        </w:tc>
        <w:tc>
          <w:tcPr>
            <w:tcW w:w="1595" w:type="dxa"/>
            <w:tcBorders>
              <w:top w:val="single" w:sz="4" w:space="0" w:color="auto"/>
              <w:left w:val="single" w:sz="4" w:space="0" w:color="auto"/>
              <w:bottom w:val="single" w:sz="4" w:space="0" w:color="auto"/>
              <w:right w:val="single" w:sz="4" w:space="0" w:color="auto"/>
            </w:tcBorders>
            <w:shd w:val="clear" w:color="auto" w:fill="C6EFCE"/>
          </w:tcPr>
          <w:p w14:paraId="7378E1B1"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C6EFCE"/>
          </w:tcPr>
          <w:p w14:paraId="7F7739AF"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KWh/gadā</w:t>
            </w:r>
          </w:p>
        </w:tc>
        <w:tc>
          <w:tcPr>
            <w:tcW w:w="535" w:type="dxa"/>
            <w:tcBorders>
              <w:top w:val="single" w:sz="4" w:space="0" w:color="auto"/>
              <w:left w:val="single" w:sz="4" w:space="0" w:color="auto"/>
              <w:bottom w:val="single" w:sz="4" w:space="0" w:color="auto"/>
              <w:right w:val="single" w:sz="4" w:space="0" w:color="auto"/>
            </w:tcBorders>
            <w:shd w:val="clear" w:color="auto" w:fill="C6EFCE"/>
          </w:tcPr>
          <w:p w14:paraId="1BECEE7B"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0</w:t>
            </w:r>
          </w:p>
        </w:tc>
        <w:tc>
          <w:tcPr>
            <w:tcW w:w="926" w:type="dxa"/>
            <w:tcBorders>
              <w:top w:val="single" w:sz="4" w:space="0" w:color="auto"/>
              <w:left w:val="single" w:sz="4" w:space="0" w:color="auto"/>
              <w:bottom w:val="single" w:sz="4" w:space="0" w:color="auto"/>
              <w:right w:val="single" w:sz="4" w:space="0" w:color="auto"/>
            </w:tcBorders>
            <w:shd w:val="clear" w:color="auto" w:fill="C6EFCE"/>
          </w:tcPr>
          <w:p w14:paraId="6B859A8E"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4 544 563</w:t>
            </w:r>
          </w:p>
        </w:tc>
        <w:tc>
          <w:tcPr>
            <w:tcW w:w="523" w:type="dxa"/>
            <w:tcBorders>
              <w:top w:val="single" w:sz="4" w:space="0" w:color="auto"/>
              <w:left w:val="single" w:sz="4" w:space="0" w:color="auto"/>
              <w:bottom w:val="single" w:sz="4" w:space="0" w:color="auto"/>
              <w:right w:val="single" w:sz="4" w:space="0" w:color="auto"/>
            </w:tcBorders>
            <w:shd w:val="clear" w:color="auto" w:fill="C6EFCE"/>
          </w:tcPr>
          <w:p w14:paraId="7F872A6D"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4. cet.</w:t>
            </w:r>
          </w:p>
        </w:tc>
        <w:tc>
          <w:tcPr>
            <w:tcW w:w="568" w:type="dxa"/>
            <w:tcBorders>
              <w:top w:val="single" w:sz="4" w:space="0" w:color="auto"/>
              <w:left w:val="single" w:sz="4" w:space="0" w:color="auto"/>
              <w:bottom w:val="single" w:sz="4" w:space="0" w:color="auto"/>
              <w:right w:val="single" w:sz="4" w:space="0" w:color="auto"/>
            </w:tcBorders>
            <w:shd w:val="clear" w:color="auto" w:fill="C6EFCE"/>
          </w:tcPr>
          <w:p w14:paraId="7F7386B6"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2025</w:t>
            </w:r>
          </w:p>
        </w:tc>
        <w:tc>
          <w:tcPr>
            <w:tcW w:w="1019" w:type="dxa"/>
            <w:tcBorders>
              <w:top w:val="single" w:sz="4" w:space="0" w:color="auto"/>
              <w:left w:val="single" w:sz="4" w:space="0" w:color="auto"/>
              <w:bottom w:val="single" w:sz="4" w:space="0" w:color="auto"/>
              <w:right w:val="single" w:sz="4" w:space="0" w:color="auto"/>
            </w:tcBorders>
            <w:shd w:val="clear" w:color="auto" w:fill="C6EFCE"/>
          </w:tcPr>
          <w:p w14:paraId="0E0402B6"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r w:rsidRPr="008635F8">
              <w:rPr>
                <w:rFonts w:ascii="Times New Roman" w:hAnsi="Times New Roman"/>
                <w:sz w:val="18"/>
                <w:szCs w:val="18"/>
              </w:rPr>
              <w:t>Viedās administrācijas un reģionālās attīstības ministrija, pašvaldības</w:t>
            </w:r>
          </w:p>
        </w:tc>
        <w:tc>
          <w:tcPr>
            <w:tcW w:w="996" w:type="dxa"/>
            <w:tcBorders>
              <w:top w:val="single" w:sz="4" w:space="0" w:color="auto"/>
              <w:left w:val="single" w:sz="4" w:space="0" w:color="auto"/>
              <w:bottom w:val="single" w:sz="4" w:space="0" w:color="auto"/>
              <w:right w:val="single" w:sz="4" w:space="0" w:color="auto"/>
            </w:tcBorders>
            <w:shd w:val="clear" w:color="auto" w:fill="C6EFCE"/>
          </w:tcPr>
          <w:p w14:paraId="4AE8A6B4"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p>
        </w:tc>
        <w:tc>
          <w:tcPr>
            <w:tcW w:w="1486" w:type="dxa"/>
            <w:tcBorders>
              <w:top w:val="single" w:sz="4" w:space="0" w:color="auto"/>
              <w:left w:val="single" w:sz="4" w:space="0" w:color="auto"/>
              <w:bottom w:val="single" w:sz="4" w:space="0" w:color="auto"/>
              <w:right w:val="single" w:sz="4" w:space="0" w:color="auto"/>
            </w:tcBorders>
            <w:shd w:val="clear" w:color="auto" w:fill="C6EFCE"/>
          </w:tcPr>
          <w:p w14:paraId="5A503622" w14:textId="77777777" w:rsidR="00067A3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Kopsavilkuma dokuments, kurā pienācīgi pamatots, kā tika apmierinoši sasniegts mērķis (tostarp visi būtiskie elementi), kopā ar atbilstošām saitēm uz pamatojošajiem pierādījumiem.</w:t>
            </w:r>
          </w:p>
          <w:p w14:paraId="5239A206" w14:textId="77777777" w:rsidR="00067A3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Šā dokumenta pielikumā iekļauj:</w:t>
            </w:r>
          </w:p>
          <w:p w14:paraId="5CEDE773" w14:textId="6955E8A7" w:rsidR="00481482" w:rsidRPr="008635F8" w:rsidRDefault="00DD0740"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a) aptvertos energoefektivitātes sertifikātus pirms atjaunošanas vai pārbūves darbiem un pēc tiem;</w:t>
            </w:r>
          </w:p>
          <w:p w14:paraId="73806252" w14:textId="7BA5B010" w:rsidR="00067A32" w:rsidRPr="008635F8" w:rsidRDefault="00DD0740"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lastRenderedPageBreak/>
              <w:t>b) atjaunoto un pārbūvēto būvju sarakstu un attiecībā uz katru būvi informāciju par pabeigtajiem atjaunošanas vai pārbūves darbiem, energoefektivitātes sertifikātu reģistrācijas numurus pirms un pēc atjaunošanas vai pārbūves darbiem un paredzamo enerģijas ietaupījumu.</w:t>
            </w:r>
          </w:p>
        </w:tc>
        <w:tc>
          <w:tcPr>
            <w:tcW w:w="1707" w:type="dxa"/>
            <w:tcBorders>
              <w:top w:val="single" w:sz="4" w:space="0" w:color="auto"/>
              <w:left w:val="single" w:sz="4" w:space="0" w:color="auto"/>
              <w:bottom w:val="single" w:sz="4" w:space="0" w:color="auto"/>
              <w:right w:val="single" w:sz="4" w:space="0" w:color="auto"/>
            </w:tcBorders>
            <w:shd w:val="clear" w:color="auto" w:fill="C6EFCE"/>
          </w:tcPr>
          <w:p w14:paraId="1F48E4D1" w14:textId="3A1F9AD7" w:rsidR="00067A32" w:rsidRPr="008635F8" w:rsidRDefault="00067A32" w:rsidP="00E147E0">
            <w:pPr>
              <w:widowControl w:val="0"/>
              <w:spacing w:after="0" w:line="240" w:lineRule="auto"/>
              <w:ind w:left="57" w:right="57"/>
              <w:rPr>
                <w:rFonts w:ascii="Times New Roman" w:eastAsiaTheme="minorEastAsia" w:hAnsi="Times New Roman" w:cs="Times New Roman"/>
                <w:noProof/>
                <w:sz w:val="18"/>
                <w:szCs w:val="18"/>
              </w:rPr>
            </w:pPr>
            <w:r w:rsidRPr="008635F8">
              <w:rPr>
                <w:rFonts w:ascii="Times New Roman" w:hAnsi="Times New Roman"/>
                <w:sz w:val="18"/>
                <w:szCs w:val="18"/>
              </w:rPr>
              <w:lastRenderedPageBreak/>
              <w:t>Primārās enerģijas patēriņa samazinājums pašvaldību ēkās un infrastruktūrā, kas izriet no šajā pasākumā atbalstītajiem energoefektivitātes uzlabošanas pasākumiem pašvaldību ēkās un infrastruktūrā. Energosertifikātus var izmantot, lai pierādītu primārās enerģijas patēriņa samazinājumu. Pasākumu mērķis ir samazināt primārās enerģijas patēriņu par vismaz 30 %.</w:t>
            </w:r>
          </w:p>
        </w:tc>
      </w:tr>
      <w:tr w:rsidR="0041037D" w:rsidRPr="008635F8" w14:paraId="5B37ABF2" w14:textId="77777777" w:rsidTr="0044659E">
        <w:trPr>
          <w:trHeight w:val="1200"/>
        </w:trPr>
        <w:tc>
          <w:tcPr>
            <w:tcW w:w="280" w:type="dxa"/>
            <w:tcBorders>
              <w:top w:val="single" w:sz="4" w:space="0" w:color="auto"/>
              <w:left w:val="single" w:sz="4" w:space="0" w:color="auto"/>
              <w:bottom w:val="single" w:sz="4" w:space="0" w:color="auto"/>
              <w:right w:val="single" w:sz="4" w:space="0" w:color="auto"/>
            </w:tcBorders>
            <w:shd w:val="clear" w:color="auto" w:fill="C6EFCE"/>
          </w:tcPr>
          <w:p w14:paraId="03F061D9"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16</w:t>
            </w:r>
          </w:p>
        </w:tc>
        <w:tc>
          <w:tcPr>
            <w:tcW w:w="1416" w:type="dxa"/>
            <w:tcBorders>
              <w:top w:val="single" w:sz="4" w:space="0" w:color="auto"/>
              <w:left w:val="single" w:sz="4" w:space="0" w:color="auto"/>
              <w:bottom w:val="single" w:sz="4" w:space="0" w:color="auto"/>
              <w:right w:val="single" w:sz="4" w:space="0" w:color="auto"/>
            </w:tcBorders>
            <w:shd w:val="clear" w:color="auto" w:fill="C6EFCE"/>
          </w:tcPr>
          <w:p w14:paraId="37E66593"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b/>
                <w:bCs/>
                <w:noProof/>
                <w:sz w:val="18"/>
                <w:szCs w:val="18"/>
              </w:rPr>
            </w:pPr>
            <w:r w:rsidRPr="008635F8">
              <w:rPr>
                <w:rFonts w:ascii="Times New Roman" w:hAnsi="Times New Roman"/>
                <w:b/>
                <w:sz w:val="18"/>
                <w:szCs w:val="18"/>
              </w:rPr>
              <w:t>1.2.1.4.i. Energoefektivitātes uzlabošana valsts sektora ēkās, t. sk. vēsturiskajās ēkās</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CD38488"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Atskaites punkts</w:t>
            </w:r>
          </w:p>
        </w:tc>
        <w:tc>
          <w:tcPr>
            <w:tcW w:w="1100" w:type="dxa"/>
            <w:tcBorders>
              <w:top w:val="single" w:sz="4" w:space="0" w:color="auto"/>
              <w:left w:val="single" w:sz="4" w:space="0" w:color="auto"/>
              <w:bottom w:val="single" w:sz="4" w:space="0" w:color="auto"/>
              <w:right w:val="single" w:sz="4" w:space="0" w:color="auto"/>
            </w:tcBorders>
            <w:shd w:val="clear" w:color="auto" w:fill="C6EFCE"/>
          </w:tcPr>
          <w:p w14:paraId="79901DDC"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 xml:space="preserve">Valsts un vēsturisko ēku energoefektivitātes uzlabošanas atbalsta programmas stāšanās spēkā </w:t>
            </w:r>
          </w:p>
        </w:tc>
        <w:tc>
          <w:tcPr>
            <w:tcW w:w="1595" w:type="dxa"/>
            <w:tcBorders>
              <w:top w:val="single" w:sz="4" w:space="0" w:color="auto"/>
              <w:left w:val="single" w:sz="4" w:space="0" w:color="auto"/>
              <w:bottom w:val="single" w:sz="4" w:space="0" w:color="auto"/>
              <w:right w:val="single" w:sz="4" w:space="0" w:color="auto"/>
            </w:tcBorders>
            <w:shd w:val="clear" w:color="auto" w:fill="C6EFCE"/>
          </w:tcPr>
          <w:p w14:paraId="28D67390"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Ministru kabineta apstiprinātas valsts un vēsturisko ēku energoefektivitātes uzlabošanas atbalsta programmas stāšanās spēkā</w:t>
            </w:r>
          </w:p>
        </w:tc>
        <w:tc>
          <w:tcPr>
            <w:tcW w:w="991" w:type="dxa"/>
            <w:tcBorders>
              <w:top w:val="single" w:sz="4" w:space="0" w:color="auto"/>
              <w:left w:val="single" w:sz="4" w:space="0" w:color="auto"/>
              <w:bottom w:val="single" w:sz="4" w:space="0" w:color="auto"/>
              <w:right w:val="single" w:sz="4" w:space="0" w:color="auto"/>
            </w:tcBorders>
            <w:shd w:val="clear" w:color="auto" w:fill="C6EFCE"/>
          </w:tcPr>
          <w:p w14:paraId="461C31DB"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Neattiecas</w:t>
            </w:r>
          </w:p>
        </w:tc>
        <w:tc>
          <w:tcPr>
            <w:tcW w:w="535" w:type="dxa"/>
            <w:tcBorders>
              <w:top w:val="single" w:sz="4" w:space="0" w:color="auto"/>
              <w:left w:val="single" w:sz="4" w:space="0" w:color="auto"/>
              <w:bottom w:val="single" w:sz="4" w:space="0" w:color="auto"/>
              <w:right w:val="single" w:sz="4" w:space="0" w:color="auto"/>
            </w:tcBorders>
            <w:shd w:val="clear" w:color="auto" w:fill="C6EFCE"/>
          </w:tcPr>
          <w:p w14:paraId="42B17088"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Neattiecas</w:t>
            </w:r>
          </w:p>
        </w:tc>
        <w:tc>
          <w:tcPr>
            <w:tcW w:w="926" w:type="dxa"/>
            <w:tcBorders>
              <w:top w:val="single" w:sz="4" w:space="0" w:color="auto"/>
              <w:left w:val="single" w:sz="4" w:space="0" w:color="auto"/>
              <w:bottom w:val="single" w:sz="4" w:space="0" w:color="auto"/>
              <w:right w:val="single" w:sz="4" w:space="0" w:color="auto"/>
            </w:tcBorders>
            <w:shd w:val="clear" w:color="auto" w:fill="C6EFCE"/>
          </w:tcPr>
          <w:p w14:paraId="2C36E04F"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Neattiecas</w:t>
            </w:r>
          </w:p>
        </w:tc>
        <w:tc>
          <w:tcPr>
            <w:tcW w:w="523" w:type="dxa"/>
            <w:tcBorders>
              <w:top w:val="single" w:sz="4" w:space="0" w:color="auto"/>
              <w:left w:val="single" w:sz="4" w:space="0" w:color="auto"/>
              <w:bottom w:val="single" w:sz="4" w:space="0" w:color="auto"/>
              <w:right w:val="single" w:sz="4" w:space="0" w:color="auto"/>
            </w:tcBorders>
            <w:shd w:val="clear" w:color="auto" w:fill="C6EFCE"/>
          </w:tcPr>
          <w:p w14:paraId="5047F471"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1. cet.</w:t>
            </w:r>
          </w:p>
        </w:tc>
        <w:tc>
          <w:tcPr>
            <w:tcW w:w="568" w:type="dxa"/>
            <w:tcBorders>
              <w:top w:val="single" w:sz="4" w:space="0" w:color="auto"/>
              <w:left w:val="single" w:sz="4" w:space="0" w:color="auto"/>
              <w:bottom w:val="single" w:sz="4" w:space="0" w:color="auto"/>
              <w:right w:val="single" w:sz="4" w:space="0" w:color="auto"/>
            </w:tcBorders>
            <w:shd w:val="clear" w:color="auto" w:fill="C6EFCE"/>
          </w:tcPr>
          <w:p w14:paraId="7379604D"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2022</w:t>
            </w:r>
          </w:p>
        </w:tc>
        <w:tc>
          <w:tcPr>
            <w:tcW w:w="1019" w:type="dxa"/>
            <w:tcBorders>
              <w:top w:val="single" w:sz="4" w:space="0" w:color="auto"/>
              <w:left w:val="single" w:sz="4" w:space="0" w:color="auto"/>
              <w:bottom w:val="single" w:sz="4" w:space="0" w:color="auto"/>
              <w:right w:val="single" w:sz="4" w:space="0" w:color="auto"/>
            </w:tcBorders>
            <w:shd w:val="clear" w:color="auto" w:fill="C6EFCE"/>
          </w:tcPr>
          <w:p w14:paraId="12704E3B"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r w:rsidRPr="008635F8">
              <w:rPr>
                <w:rFonts w:ascii="Times New Roman" w:hAnsi="Times New Roman"/>
                <w:sz w:val="18"/>
                <w:szCs w:val="18"/>
              </w:rPr>
              <w:t>Ekonomikas ministrija</w:t>
            </w:r>
          </w:p>
        </w:tc>
        <w:tc>
          <w:tcPr>
            <w:tcW w:w="996" w:type="dxa"/>
            <w:tcBorders>
              <w:top w:val="single" w:sz="4" w:space="0" w:color="auto"/>
              <w:left w:val="single" w:sz="4" w:space="0" w:color="auto"/>
              <w:bottom w:val="single" w:sz="4" w:space="0" w:color="auto"/>
              <w:right w:val="single" w:sz="4" w:space="0" w:color="auto"/>
            </w:tcBorders>
            <w:shd w:val="clear" w:color="auto" w:fill="C6EFCE"/>
          </w:tcPr>
          <w:p w14:paraId="7975E268"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p>
        </w:tc>
        <w:tc>
          <w:tcPr>
            <w:tcW w:w="1486" w:type="dxa"/>
            <w:tcBorders>
              <w:top w:val="single" w:sz="4" w:space="0" w:color="auto"/>
              <w:left w:val="single" w:sz="4" w:space="0" w:color="auto"/>
              <w:bottom w:val="single" w:sz="4" w:space="0" w:color="auto"/>
              <w:right w:val="single" w:sz="4" w:space="0" w:color="auto"/>
            </w:tcBorders>
            <w:shd w:val="clear" w:color="auto" w:fill="C6EFCE"/>
          </w:tcPr>
          <w:p w14:paraId="3A7B99BB" w14:textId="77777777" w:rsidR="00067A3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 xml:space="preserve">Noteikumu kopija un saite uz publikāciju oficiālajā izdevumā, tostarp atsauce uz noteikumu, kurā norādīta stāšanās spēkā, kopā ar kopsavilkuma dokumentu, kurā pienācīgi pamatots, kā tika apmierinoši sasniegts atskaites punkts, ar atbilstošām saitēm uz </w:t>
            </w:r>
            <w:r w:rsidRPr="008635F8">
              <w:rPr>
                <w:rFonts w:ascii="Times New Roman" w:hAnsi="Times New Roman"/>
                <w:sz w:val="18"/>
                <w:szCs w:val="18"/>
              </w:rPr>
              <w:lastRenderedPageBreak/>
              <w:t>pamatojošajiem pierādījumiem. It īpaši tajā izskaidro, kā ir izpildītas ANM regulas VI pielikuma piemērojamās 026a intervences jomas prasības.</w:t>
            </w:r>
          </w:p>
        </w:tc>
        <w:tc>
          <w:tcPr>
            <w:tcW w:w="1707" w:type="dxa"/>
            <w:tcBorders>
              <w:top w:val="single" w:sz="4" w:space="0" w:color="auto"/>
              <w:left w:val="single" w:sz="4" w:space="0" w:color="auto"/>
              <w:bottom w:val="single" w:sz="4" w:space="0" w:color="auto"/>
              <w:right w:val="single" w:sz="4" w:space="0" w:color="auto"/>
            </w:tcBorders>
            <w:shd w:val="clear" w:color="auto" w:fill="C6EFCE"/>
          </w:tcPr>
          <w:p w14:paraId="32C56EC8" w14:textId="77777777" w:rsidR="00067A32" w:rsidRPr="008635F8" w:rsidRDefault="00067A32" w:rsidP="00E147E0">
            <w:pPr>
              <w:widowControl w:val="0"/>
              <w:spacing w:after="0" w:line="240" w:lineRule="auto"/>
              <w:ind w:left="57" w:right="57"/>
              <w:rPr>
                <w:rFonts w:ascii="Times New Roman" w:eastAsiaTheme="minorEastAsia" w:hAnsi="Times New Roman" w:cs="Times New Roman"/>
                <w:noProof/>
                <w:sz w:val="18"/>
                <w:szCs w:val="18"/>
              </w:rPr>
            </w:pPr>
            <w:r w:rsidRPr="008635F8">
              <w:rPr>
                <w:rFonts w:ascii="Times New Roman" w:hAnsi="Times New Roman"/>
                <w:sz w:val="18"/>
                <w:szCs w:val="18"/>
              </w:rPr>
              <w:lastRenderedPageBreak/>
              <w:t xml:space="preserve">Valsts un vēsturisko ēku energoefektivitātes uzlabošanas atbalsta programmas stāšanās spēkā, nosakot atbilstības kritērijus, lai atspoguļotu ANM regulas VI pielikuma piemērojamās intervences jomas “026a. Publiskās infrastruktūras atjaunošana energoefektivitātes uzlabošanai vai energoefektivitātes pasākumi, </w:t>
            </w:r>
            <w:r w:rsidRPr="008635F8">
              <w:rPr>
                <w:rFonts w:ascii="Times New Roman" w:hAnsi="Times New Roman"/>
                <w:sz w:val="18"/>
                <w:szCs w:val="18"/>
              </w:rPr>
              <w:lastRenderedPageBreak/>
              <w:t>demonstrējuma projekti un atbalsta pasākumi, kas atbilst energoefektivitātes kritērijiem” prasības.</w:t>
            </w:r>
          </w:p>
        </w:tc>
      </w:tr>
      <w:tr w:rsidR="0041037D" w:rsidRPr="008635F8" w14:paraId="7572DEA3" w14:textId="77777777" w:rsidTr="0044659E">
        <w:trPr>
          <w:trHeight w:val="1200"/>
        </w:trPr>
        <w:tc>
          <w:tcPr>
            <w:tcW w:w="280" w:type="dxa"/>
            <w:tcBorders>
              <w:top w:val="single" w:sz="4" w:space="0" w:color="auto"/>
              <w:left w:val="single" w:sz="4" w:space="0" w:color="auto"/>
              <w:bottom w:val="single" w:sz="4" w:space="0" w:color="auto"/>
              <w:right w:val="single" w:sz="4" w:space="0" w:color="auto"/>
            </w:tcBorders>
            <w:shd w:val="clear" w:color="auto" w:fill="C6EFCE"/>
          </w:tcPr>
          <w:p w14:paraId="01CC5316"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lastRenderedPageBreak/>
              <w:t>17</w:t>
            </w:r>
          </w:p>
        </w:tc>
        <w:tc>
          <w:tcPr>
            <w:tcW w:w="1416" w:type="dxa"/>
            <w:tcBorders>
              <w:top w:val="single" w:sz="4" w:space="0" w:color="auto"/>
              <w:left w:val="single" w:sz="4" w:space="0" w:color="auto"/>
              <w:bottom w:val="single" w:sz="4" w:space="0" w:color="auto"/>
              <w:right w:val="single" w:sz="4" w:space="0" w:color="auto"/>
            </w:tcBorders>
            <w:shd w:val="clear" w:color="auto" w:fill="C6EFCE"/>
          </w:tcPr>
          <w:p w14:paraId="169C2340"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b/>
                <w:bCs/>
                <w:noProof/>
                <w:sz w:val="18"/>
                <w:szCs w:val="18"/>
              </w:rPr>
            </w:pPr>
            <w:r w:rsidRPr="008635F8">
              <w:rPr>
                <w:rFonts w:ascii="Times New Roman" w:hAnsi="Times New Roman"/>
                <w:b/>
                <w:sz w:val="18"/>
                <w:szCs w:val="18"/>
              </w:rPr>
              <w:t>1.2.1.4.i. Energoefektivitātes uzlabošana valsts sektora ēkās, t. sk. vēsturiskajās ēkās</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F0100D3"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Mērķis</w:t>
            </w:r>
          </w:p>
        </w:tc>
        <w:tc>
          <w:tcPr>
            <w:tcW w:w="1100" w:type="dxa"/>
            <w:tcBorders>
              <w:top w:val="single" w:sz="4" w:space="0" w:color="auto"/>
              <w:left w:val="single" w:sz="4" w:space="0" w:color="auto"/>
              <w:bottom w:val="single" w:sz="4" w:space="0" w:color="auto"/>
              <w:right w:val="single" w:sz="4" w:space="0" w:color="auto"/>
            </w:tcBorders>
            <w:shd w:val="clear" w:color="auto" w:fill="C6EFCE"/>
          </w:tcPr>
          <w:p w14:paraId="6489A6CC"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Paziņojums par līguma slēgšanas tiesību piešķiršanu par vismaz 16 769 200 EUR</w:t>
            </w:r>
          </w:p>
        </w:tc>
        <w:tc>
          <w:tcPr>
            <w:tcW w:w="1595" w:type="dxa"/>
            <w:tcBorders>
              <w:top w:val="single" w:sz="4" w:space="0" w:color="auto"/>
              <w:left w:val="single" w:sz="4" w:space="0" w:color="auto"/>
              <w:bottom w:val="single" w:sz="4" w:space="0" w:color="auto"/>
              <w:right w:val="single" w:sz="4" w:space="0" w:color="auto"/>
            </w:tcBorders>
            <w:shd w:val="clear" w:color="auto" w:fill="C6EFCE"/>
          </w:tcPr>
          <w:p w14:paraId="0FD0BB9A"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C6EFCE"/>
          </w:tcPr>
          <w:p w14:paraId="55B9AE1A"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EUR</w:t>
            </w:r>
          </w:p>
        </w:tc>
        <w:tc>
          <w:tcPr>
            <w:tcW w:w="535" w:type="dxa"/>
            <w:tcBorders>
              <w:top w:val="single" w:sz="4" w:space="0" w:color="auto"/>
              <w:left w:val="single" w:sz="4" w:space="0" w:color="auto"/>
              <w:bottom w:val="single" w:sz="4" w:space="0" w:color="auto"/>
              <w:right w:val="single" w:sz="4" w:space="0" w:color="auto"/>
            </w:tcBorders>
            <w:shd w:val="clear" w:color="auto" w:fill="C6EFCE"/>
          </w:tcPr>
          <w:p w14:paraId="4F590D43"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0</w:t>
            </w:r>
          </w:p>
        </w:tc>
        <w:tc>
          <w:tcPr>
            <w:tcW w:w="926" w:type="dxa"/>
            <w:tcBorders>
              <w:top w:val="single" w:sz="4" w:space="0" w:color="auto"/>
              <w:left w:val="single" w:sz="4" w:space="0" w:color="auto"/>
              <w:bottom w:val="single" w:sz="4" w:space="0" w:color="auto"/>
              <w:right w:val="single" w:sz="4" w:space="0" w:color="auto"/>
            </w:tcBorders>
            <w:shd w:val="clear" w:color="auto" w:fill="C6EFCE"/>
          </w:tcPr>
          <w:p w14:paraId="265E99CF"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16 769 200</w:t>
            </w:r>
          </w:p>
        </w:tc>
        <w:tc>
          <w:tcPr>
            <w:tcW w:w="523" w:type="dxa"/>
            <w:tcBorders>
              <w:top w:val="single" w:sz="4" w:space="0" w:color="auto"/>
              <w:left w:val="single" w:sz="4" w:space="0" w:color="auto"/>
              <w:bottom w:val="single" w:sz="4" w:space="0" w:color="auto"/>
              <w:right w:val="single" w:sz="4" w:space="0" w:color="auto"/>
            </w:tcBorders>
            <w:shd w:val="clear" w:color="auto" w:fill="C6EFCE"/>
          </w:tcPr>
          <w:p w14:paraId="163F6535"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3. cet.</w:t>
            </w:r>
          </w:p>
        </w:tc>
        <w:tc>
          <w:tcPr>
            <w:tcW w:w="568" w:type="dxa"/>
            <w:tcBorders>
              <w:top w:val="single" w:sz="4" w:space="0" w:color="auto"/>
              <w:left w:val="single" w:sz="4" w:space="0" w:color="auto"/>
              <w:bottom w:val="single" w:sz="4" w:space="0" w:color="auto"/>
              <w:right w:val="single" w:sz="4" w:space="0" w:color="auto"/>
            </w:tcBorders>
            <w:shd w:val="clear" w:color="auto" w:fill="C6EFCE"/>
          </w:tcPr>
          <w:p w14:paraId="191A4EEA"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2024</w:t>
            </w:r>
          </w:p>
        </w:tc>
        <w:tc>
          <w:tcPr>
            <w:tcW w:w="1019" w:type="dxa"/>
            <w:tcBorders>
              <w:top w:val="single" w:sz="4" w:space="0" w:color="auto"/>
              <w:left w:val="single" w:sz="4" w:space="0" w:color="auto"/>
              <w:bottom w:val="single" w:sz="4" w:space="0" w:color="auto"/>
              <w:right w:val="single" w:sz="4" w:space="0" w:color="auto"/>
            </w:tcBorders>
            <w:shd w:val="clear" w:color="auto" w:fill="C6EFCE"/>
          </w:tcPr>
          <w:p w14:paraId="21522460"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r w:rsidRPr="008635F8">
              <w:rPr>
                <w:rFonts w:ascii="Times New Roman" w:hAnsi="Times New Roman"/>
                <w:sz w:val="18"/>
                <w:szCs w:val="18"/>
              </w:rPr>
              <w:t>Ekonomikas ministrija</w:t>
            </w:r>
          </w:p>
        </w:tc>
        <w:tc>
          <w:tcPr>
            <w:tcW w:w="996" w:type="dxa"/>
            <w:tcBorders>
              <w:top w:val="single" w:sz="4" w:space="0" w:color="auto"/>
              <w:left w:val="single" w:sz="4" w:space="0" w:color="auto"/>
              <w:bottom w:val="single" w:sz="4" w:space="0" w:color="auto"/>
              <w:right w:val="single" w:sz="4" w:space="0" w:color="auto"/>
            </w:tcBorders>
            <w:shd w:val="clear" w:color="auto" w:fill="C6EFCE"/>
          </w:tcPr>
          <w:p w14:paraId="674A47A5"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p>
        </w:tc>
        <w:tc>
          <w:tcPr>
            <w:tcW w:w="1486" w:type="dxa"/>
            <w:tcBorders>
              <w:top w:val="single" w:sz="4" w:space="0" w:color="auto"/>
              <w:left w:val="single" w:sz="4" w:space="0" w:color="auto"/>
              <w:bottom w:val="single" w:sz="4" w:space="0" w:color="auto"/>
              <w:right w:val="single" w:sz="4" w:space="0" w:color="auto"/>
            </w:tcBorders>
            <w:shd w:val="clear" w:color="auto" w:fill="C6EFCE"/>
          </w:tcPr>
          <w:p w14:paraId="27AB7DCD" w14:textId="77777777" w:rsidR="00067A3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Kopsavilkuma dokuments, kurā pienācīgi pamatots, kā tika apmierinoši sasniegts mērķis, kopā ar atbilstošām saitēm uz pamatojošajiem pierādījumiem, tostarp piešķirto līguma slēgšanas tiesību un to summu saraksts.</w:t>
            </w:r>
          </w:p>
        </w:tc>
        <w:tc>
          <w:tcPr>
            <w:tcW w:w="1707" w:type="dxa"/>
            <w:tcBorders>
              <w:top w:val="single" w:sz="4" w:space="0" w:color="auto"/>
              <w:left w:val="single" w:sz="4" w:space="0" w:color="auto"/>
              <w:bottom w:val="single" w:sz="4" w:space="0" w:color="auto"/>
              <w:right w:val="single" w:sz="4" w:space="0" w:color="auto"/>
            </w:tcBorders>
            <w:shd w:val="clear" w:color="auto" w:fill="C6EFCE"/>
          </w:tcPr>
          <w:p w14:paraId="7905FAC9" w14:textId="77777777" w:rsidR="00067A32" w:rsidRPr="008635F8" w:rsidRDefault="00067A32" w:rsidP="00E147E0">
            <w:pPr>
              <w:widowControl w:val="0"/>
              <w:spacing w:after="0" w:line="240" w:lineRule="auto"/>
              <w:ind w:left="57" w:right="57"/>
              <w:rPr>
                <w:rFonts w:ascii="Times New Roman" w:eastAsiaTheme="minorEastAsia" w:hAnsi="Times New Roman" w:cs="Times New Roman"/>
                <w:noProof/>
                <w:sz w:val="18"/>
                <w:szCs w:val="18"/>
              </w:rPr>
            </w:pPr>
            <w:r w:rsidRPr="008635F8">
              <w:rPr>
                <w:rFonts w:ascii="Times New Roman" w:hAnsi="Times New Roman"/>
                <w:sz w:val="18"/>
                <w:szCs w:val="18"/>
              </w:rPr>
              <w:t>Paziņojums saņēmējiem par līguma slēgšanas tiesību piešķiršanu par vismaz 16 769 200 EUR.</w:t>
            </w:r>
          </w:p>
        </w:tc>
      </w:tr>
      <w:tr w:rsidR="0041037D" w:rsidRPr="008635F8" w14:paraId="74907E67" w14:textId="77777777" w:rsidTr="0044659E">
        <w:trPr>
          <w:trHeight w:val="1200"/>
        </w:trPr>
        <w:tc>
          <w:tcPr>
            <w:tcW w:w="280" w:type="dxa"/>
            <w:tcBorders>
              <w:top w:val="single" w:sz="4" w:space="0" w:color="auto"/>
              <w:left w:val="single" w:sz="4" w:space="0" w:color="auto"/>
              <w:bottom w:val="single" w:sz="4" w:space="0" w:color="auto"/>
              <w:right w:val="single" w:sz="4" w:space="0" w:color="auto"/>
            </w:tcBorders>
            <w:shd w:val="clear" w:color="auto" w:fill="C6EFCE"/>
          </w:tcPr>
          <w:p w14:paraId="52D40987"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18</w:t>
            </w:r>
          </w:p>
        </w:tc>
        <w:tc>
          <w:tcPr>
            <w:tcW w:w="1416" w:type="dxa"/>
            <w:tcBorders>
              <w:top w:val="single" w:sz="4" w:space="0" w:color="auto"/>
              <w:left w:val="single" w:sz="4" w:space="0" w:color="auto"/>
              <w:bottom w:val="single" w:sz="4" w:space="0" w:color="auto"/>
              <w:right w:val="single" w:sz="4" w:space="0" w:color="auto"/>
            </w:tcBorders>
            <w:shd w:val="clear" w:color="auto" w:fill="C6EFCE"/>
          </w:tcPr>
          <w:p w14:paraId="2B7E52B1"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b/>
                <w:noProof/>
                <w:sz w:val="18"/>
                <w:szCs w:val="18"/>
              </w:rPr>
            </w:pPr>
            <w:r w:rsidRPr="008635F8">
              <w:rPr>
                <w:rFonts w:ascii="Times New Roman" w:hAnsi="Times New Roman"/>
                <w:b/>
                <w:sz w:val="18"/>
                <w:szCs w:val="18"/>
              </w:rPr>
              <w:t>1.2.1.4.i. Energoefektivitātes uzlabošana valsts sektora ēkās, t. sk. vēsturiskajās ēkās</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28371131"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 xml:space="preserve">Mērķis </w:t>
            </w:r>
          </w:p>
        </w:tc>
        <w:tc>
          <w:tcPr>
            <w:tcW w:w="1100" w:type="dxa"/>
            <w:tcBorders>
              <w:top w:val="single" w:sz="4" w:space="0" w:color="auto"/>
              <w:left w:val="single" w:sz="4" w:space="0" w:color="auto"/>
              <w:bottom w:val="single" w:sz="4" w:space="0" w:color="auto"/>
              <w:right w:val="single" w:sz="4" w:space="0" w:color="auto"/>
            </w:tcBorders>
            <w:shd w:val="clear" w:color="auto" w:fill="C6EFCE"/>
          </w:tcPr>
          <w:p w14:paraId="639B43D0"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Primārās enerģijas patēriņa samazinājums valsts ēkās ar uzlabotu energoefektivitāti</w:t>
            </w:r>
          </w:p>
        </w:tc>
        <w:tc>
          <w:tcPr>
            <w:tcW w:w="1595" w:type="dxa"/>
            <w:tcBorders>
              <w:top w:val="single" w:sz="4" w:space="0" w:color="auto"/>
              <w:left w:val="single" w:sz="4" w:space="0" w:color="auto"/>
              <w:bottom w:val="single" w:sz="4" w:space="0" w:color="auto"/>
              <w:right w:val="single" w:sz="4" w:space="0" w:color="auto"/>
            </w:tcBorders>
            <w:shd w:val="clear" w:color="auto" w:fill="C6EFCE"/>
          </w:tcPr>
          <w:p w14:paraId="5685798C"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C6EFCE"/>
          </w:tcPr>
          <w:p w14:paraId="5994DAC8"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MWh/gadā</w:t>
            </w:r>
          </w:p>
        </w:tc>
        <w:tc>
          <w:tcPr>
            <w:tcW w:w="535" w:type="dxa"/>
            <w:tcBorders>
              <w:top w:val="single" w:sz="4" w:space="0" w:color="auto"/>
              <w:left w:val="single" w:sz="4" w:space="0" w:color="auto"/>
              <w:bottom w:val="single" w:sz="4" w:space="0" w:color="auto"/>
              <w:right w:val="single" w:sz="4" w:space="0" w:color="auto"/>
            </w:tcBorders>
            <w:shd w:val="clear" w:color="auto" w:fill="C6EFCE"/>
          </w:tcPr>
          <w:p w14:paraId="3E9A0C37"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0</w:t>
            </w:r>
          </w:p>
        </w:tc>
        <w:tc>
          <w:tcPr>
            <w:tcW w:w="926" w:type="dxa"/>
            <w:tcBorders>
              <w:top w:val="single" w:sz="4" w:space="0" w:color="auto"/>
              <w:left w:val="single" w:sz="4" w:space="0" w:color="auto"/>
              <w:bottom w:val="single" w:sz="4" w:space="0" w:color="auto"/>
              <w:right w:val="single" w:sz="4" w:space="0" w:color="auto"/>
            </w:tcBorders>
            <w:shd w:val="clear" w:color="auto" w:fill="C6EFCE"/>
          </w:tcPr>
          <w:p w14:paraId="36D3607D"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3875</w:t>
            </w:r>
          </w:p>
        </w:tc>
        <w:tc>
          <w:tcPr>
            <w:tcW w:w="523" w:type="dxa"/>
            <w:tcBorders>
              <w:top w:val="single" w:sz="4" w:space="0" w:color="auto"/>
              <w:left w:val="single" w:sz="4" w:space="0" w:color="auto"/>
              <w:bottom w:val="single" w:sz="4" w:space="0" w:color="auto"/>
              <w:right w:val="single" w:sz="4" w:space="0" w:color="auto"/>
            </w:tcBorders>
            <w:shd w:val="clear" w:color="auto" w:fill="C6EFCE"/>
          </w:tcPr>
          <w:p w14:paraId="66297253"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3. cet.</w:t>
            </w:r>
          </w:p>
        </w:tc>
        <w:tc>
          <w:tcPr>
            <w:tcW w:w="568" w:type="dxa"/>
            <w:tcBorders>
              <w:top w:val="single" w:sz="4" w:space="0" w:color="auto"/>
              <w:left w:val="single" w:sz="4" w:space="0" w:color="auto"/>
              <w:bottom w:val="single" w:sz="4" w:space="0" w:color="auto"/>
              <w:right w:val="single" w:sz="4" w:space="0" w:color="auto"/>
            </w:tcBorders>
            <w:shd w:val="clear" w:color="auto" w:fill="C6EFCE"/>
          </w:tcPr>
          <w:p w14:paraId="5F13CEF7"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2026</w:t>
            </w:r>
          </w:p>
        </w:tc>
        <w:tc>
          <w:tcPr>
            <w:tcW w:w="1019" w:type="dxa"/>
            <w:tcBorders>
              <w:top w:val="single" w:sz="4" w:space="0" w:color="auto"/>
              <w:left w:val="single" w:sz="4" w:space="0" w:color="auto"/>
              <w:bottom w:val="single" w:sz="4" w:space="0" w:color="auto"/>
              <w:right w:val="single" w:sz="4" w:space="0" w:color="auto"/>
            </w:tcBorders>
            <w:shd w:val="clear" w:color="auto" w:fill="C6EFCE"/>
          </w:tcPr>
          <w:p w14:paraId="15F7BA64"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r w:rsidRPr="008635F8">
              <w:rPr>
                <w:rFonts w:ascii="Times New Roman" w:hAnsi="Times New Roman"/>
                <w:sz w:val="18"/>
                <w:szCs w:val="18"/>
              </w:rPr>
              <w:t>Ekonomikas ministrija</w:t>
            </w:r>
          </w:p>
        </w:tc>
        <w:tc>
          <w:tcPr>
            <w:tcW w:w="996" w:type="dxa"/>
            <w:tcBorders>
              <w:top w:val="single" w:sz="4" w:space="0" w:color="auto"/>
              <w:left w:val="single" w:sz="4" w:space="0" w:color="auto"/>
              <w:bottom w:val="single" w:sz="4" w:space="0" w:color="auto"/>
              <w:right w:val="single" w:sz="4" w:space="0" w:color="auto"/>
            </w:tcBorders>
            <w:shd w:val="clear" w:color="auto" w:fill="C6EFCE"/>
          </w:tcPr>
          <w:p w14:paraId="5BB64DF1" w14:textId="77777777" w:rsidR="00067A32" w:rsidRPr="008635F8" w:rsidRDefault="00067A32" w:rsidP="00D6290E">
            <w:pPr>
              <w:widowControl w:val="0"/>
              <w:spacing w:after="0" w:line="240" w:lineRule="auto"/>
              <w:ind w:left="57" w:right="57"/>
              <w:jc w:val="both"/>
              <w:rPr>
                <w:rFonts w:ascii="Times New Roman" w:hAnsi="Times New Roman" w:cs="Times New Roman"/>
                <w:noProof/>
                <w:sz w:val="18"/>
                <w:szCs w:val="18"/>
              </w:rPr>
            </w:pPr>
          </w:p>
        </w:tc>
        <w:tc>
          <w:tcPr>
            <w:tcW w:w="1486" w:type="dxa"/>
            <w:tcBorders>
              <w:top w:val="single" w:sz="4" w:space="0" w:color="auto"/>
              <w:left w:val="single" w:sz="4" w:space="0" w:color="auto"/>
              <w:bottom w:val="single" w:sz="4" w:space="0" w:color="auto"/>
              <w:right w:val="single" w:sz="4" w:space="0" w:color="auto"/>
            </w:tcBorders>
            <w:shd w:val="clear" w:color="auto" w:fill="C6EFCE"/>
          </w:tcPr>
          <w:p w14:paraId="7BD8F88E" w14:textId="77777777" w:rsidR="00067A3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 xml:space="preserve">Kopsavilkuma dokuments, kurā pienācīgi pamatots, kā tika apmierinoši sasniegts mērķis (tostarp visi būtiskie elementi), kopā ar atbilstošām saitēm uz </w:t>
            </w:r>
            <w:r w:rsidRPr="008635F8">
              <w:rPr>
                <w:rFonts w:ascii="Times New Roman" w:hAnsi="Times New Roman"/>
                <w:sz w:val="18"/>
                <w:szCs w:val="18"/>
              </w:rPr>
              <w:lastRenderedPageBreak/>
              <w:t>pamatojošajiem pierādījumiem.</w:t>
            </w:r>
          </w:p>
          <w:p w14:paraId="4DC44FE7" w14:textId="77777777" w:rsidR="00067A3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Šā dokumenta pielikumā iekļauj:</w:t>
            </w:r>
          </w:p>
          <w:p w14:paraId="4BEA31F8" w14:textId="4CEAD777" w:rsidR="00481482" w:rsidRPr="008635F8" w:rsidRDefault="000323BB"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a) aptvertos energoefektivitātes sertifikātus pirms atjaunošanas vai pārbūves darbiem un pēc tiem;</w:t>
            </w:r>
          </w:p>
          <w:p w14:paraId="77251386" w14:textId="154A5640" w:rsidR="00067A32" w:rsidRPr="008635F8" w:rsidRDefault="000323BB"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b) atjaunoto un pārbūvēto būvju sarakstu un attiecībā uz katru būvi informāciju par pabeigtajiem atjaunošanas vai pārbūves darbiem, energoefektivitātes sertifikātu reģistrācijas numurus pirms un pēc atjaunošanas vai pārbūves darbiem un paredzamo enerģijas ietaupījumu.</w:t>
            </w:r>
          </w:p>
        </w:tc>
        <w:tc>
          <w:tcPr>
            <w:tcW w:w="1707" w:type="dxa"/>
            <w:tcBorders>
              <w:top w:val="single" w:sz="4" w:space="0" w:color="auto"/>
              <w:left w:val="single" w:sz="4" w:space="0" w:color="auto"/>
              <w:bottom w:val="single" w:sz="4" w:space="0" w:color="auto"/>
              <w:right w:val="single" w:sz="4" w:space="0" w:color="auto"/>
            </w:tcBorders>
            <w:shd w:val="clear" w:color="auto" w:fill="C6EFCE"/>
          </w:tcPr>
          <w:p w14:paraId="646AE999" w14:textId="77777777" w:rsidR="00067A32" w:rsidRPr="008635F8" w:rsidRDefault="00067A32" w:rsidP="00E147E0">
            <w:pPr>
              <w:widowControl w:val="0"/>
              <w:spacing w:after="0" w:line="240" w:lineRule="auto"/>
              <w:ind w:left="57" w:right="57"/>
              <w:rPr>
                <w:rFonts w:ascii="Times New Roman" w:eastAsiaTheme="minorEastAsia" w:hAnsi="Times New Roman" w:cs="Times New Roman"/>
                <w:noProof/>
                <w:sz w:val="18"/>
                <w:szCs w:val="18"/>
              </w:rPr>
            </w:pPr>
            <w:r w:rsidRPr="008635F8">
              <w:rPr>
                <w:rFonts w:ascii="Times New Roman" w:hAnsi="Times New Roman"/>
                <w:sz w:val="18"/>
                <w:szCs w:val="18"/>
              </w:rPr>
              <w:lastRenderedPageBreak/>
              <w:t xml:space="preserve">Primārās enerģijas patēriņa samazinājums valsts ēkās ar uzlabotu energoefektivitāti, kas izriet no šajā pasākumā atbalstītajām investīcijām. Energosertifikātus var izmantot, lai </w:t>
            </w:r>
            <w:r w:rsidRPr="008635F8">
              <w:rPr>
                <w:rFonts w:ascii="Times New Roman" w:hAnsi="Times New Roman"/>
                <w:sz w:val="18"/>
                <w:szCs w:val="18"/>
              </w:rPr>
              <w:lastRenderedPageBreak/>
              <w:t>pierādītu primārās enerģijas patēriņa samazinājumu.</w:t>
            </w:r>
          </w:p>
        </w:tc>
      </w:tr>
      <w:tr w:rsidR="0041037D" w:rsidRPr="008635F8" w14:paraId="2389E2EC" w14:textId="77777777" w:rsidTr="0044659E">
        <w:trPr>
          <w:trHeight w:val="1200"/>
        </w:trPr>
        <w:tc>
          <w:tcPr>
            <w:tcW w:w="280" w:type="dxa"/>
            <w:tcBorders>
              <w:top w:val="single" w:sz="4" w:space="0" w:color="auto"/>
              <w:left w:val="single" w:sz="4" w:space="0" w:color="auto"/>
              <w:bottom w:val="single" w:sz="4" w:space="0" w:color="auto"/>
              <w:right w:val="single" w:sz="4" w:space="0" w:color="auto"/>
            </w:tcBorders>
            <w:shd w:val="clear" w:color="auto" w:fill="C6EFCE"/>
          </w:tcPr>
          <w:p w14:paraId="664E1DDE"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lastRenderedPageBreak/>
              <w:t>19</w:t>
            </w:r>
          </w:p>
        </w:tc>
        <w:tc>
          <w:tcPr>
            <w:tcW w:w="1416" w:type="dxa"/>
            <w:tcBorders>
              <w:top w:val="single" w:sz="4" w:space="0" w:color="auto"/>
              <w:left w:val="single" w:sz="4" w:space="0" w:color="auto"/>
              <w:bottom w:val="single" w:sz="4" w:space="0" w:color="auto"/>
              <w:right w:val="single" w:sz="4" w:space="0" w:color="auto"/>
            </w:tcBorders>
            <w:shd w:val="clear" w:color="auto" w:fill="C6EFCE"/>
          </w:tcPr>
          <w:p w14:paraId="5DDCAF94"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b/>
                <w:noProof/>
                <w:sz w:val="18"/>
                <w:szCs w:val="18"/>
              </w:rPr>
            </w:pPr>
            <w:r w:rsidRPr="008635F8">
              <w:rPr>
                <w:rFonts w:ascii="Times New Roman" w:hAnsi="Times New Roman"/>
                <w:b/>
                <w:sz w:val="18"/>
                <w:szCs w:val="18"/>
              </w:rPr>
              <w:t>1.2.1.5.i. Elektroenerģijas pārvades un sadales tīklu modernizācija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648AA1D"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Mērķis</w:t>
            </w:r>
          </w:p>
        </w:tc>
        <w:tc>
          <w:tcPr>
            <w:tcW w:w="1100" w:type="dxa"/>
            <w:tcBorders>
              <w:top w:val="single" w:sz="4" w:space="0" w:color="auto"/>
              <w:left w:val="single" w:sz="4" w:space="0" w:color="auto"/>
              <w:bottom w:val="single" w:sz="4" w:space="0" w:color="auto"/>
              <w:right w:val="single" w:sz="4" w:space="0" w:color="auto"/>
            </w:tcBorders>
            <w:shd w:val="clear" w:color="auto" w:fill="C6EFCE"/>
          </w:tcPr>
          <w:p w14:paraId="5CB30335"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 xml:space="preserve">Paziņojums par līgumu slēgšanas tiesību piešķiršanu apstiprinātiem </w:t>
            </w:r>
            <w:r w:rsidRPr="008635F8">
              <w:rPr>
                <w:rFonts w:ascii="Times New Roman" w:hAnsi="Times New Roman"/>
                <w:sz w:val="18"/>
                <w:szCs w:val="18"/>
              </w:rPr>
              <w:lastRenderedPageBreak/>
              <w:t>projektiem 80 000 000 EUR apmērā</w:t>
            </w:r>
          </w:p>
        </w:tc>
        <w:tc>
          <w:tcPr>
            <w:tcW w:w="1595" w:type="dxa"/>
            <w:tcBorders>
              <w:top w:val="single" w:sz="4" w:space="0" w:color="auto"/>
              <w:left w:val="single" w:sz="4" w:space="0" w:color="auto"/>
              <w:bottom w:val="single" w:sz="4" w:space="0" w:color="auto"/>
              <w:right w:val="single" w:sz="4" w:space="0" w:color="auto"/>
            </w:tcBorders>
            <w:shd w:val="clear" w:color="auto" w:fill="C6EFCE"/>
          </w:tcPr>
          <w:p w14:paraId="5A8EFF04"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C6EFCE"/>
          </w:tcPr>
          <w:p w14:paraId="3ADA1279"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EUR</w:t>
            </w:r>
          </w:p>
        </w:tc>
        <w:tc>
          <w:tcPr>
            <w:tcW w:w="535" w:type="dxa"/>
            <w:tcBorders>
              <w:top w:val="single" w:sz="4" w:space="0" w:color="auto"/>
              <w:left w:val="single" w:sz="4" w:space="0" w:color="auto"/>
              <w:bottom w:val="single" w:sz="4" w:space="0" w:color="auto"/>
              <w:right w:val="single" w:sz="4" w:space="0" w:color="auto"/>
            </w:tcBorders>
            <w:shd w:val="clear" w:color="auto" w:fill="C6EFCE"/>
          </w:tcPr>
          <w:p w14:paraId="5B037383"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0</w:t>
            </w:r>
          </w:p>
        </w:tc>
        <w:tc>
          <w:tcPr>
            <w:tcW w:w="926" w:type="dxa"/>
            <w:tcBorders>
              <w:top w:val="single" w:sz="4" w:space="0" w:color="auto"/>
              <w:left w:val="single" w:sz="4" w:space="0" w:color="auto"/>
              <w:bottom w:val="single" w:sz="4" w:space="0" w:color="auto"/>
              <w:right w:val="single" w:sz="4" w:space="0" w:color="auto"/>
            </w:tcBorders>
            <w:shd w:val="clear" w:color="auto" w:fill="C6EFCE"/>
          </w:tcPr>
          <w:p w14:paraId="2E735457"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80 000 000</w:t>
            </w:r>
          </w:p>
        </w:tc>
        <w:tc>
          <w:tcPr>
            <w:tcW w:w="523" w:type="dxa"/>
            <w:tcBorders>
              <w:top w:val="single" w:sz="4" w:space="0" w:color="auto"/>
              <w:left w:val="single" w:sz="4" w:space="0" w:color="auto"/>
              <w:bottom w:val="single" w:sz="4" w:space="0" w:color="auto"/>
              <w:right w:val="single" w:sz="4" w:space="0" w:color="auto"/>
            </w:tcBorders>
            <w:shd w:val="clear" w:color="auto" w:fill="C6EFCE"/>
          </w:tcPr>
          <w:p w14:paraId="197748BA"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1. cet.</w:t>
            </w:r>
          </w:p>
        </w:tc>
        <w:tc>
          <w:tcPr>
            <w:tcW w:w="568" w:type="dxa"/>
            <w:tcBorders>
              <w:top w:val="single" w:sz="4" w:space="0" w:color="auto"/>
              <w:left w:val="single" w:sz="4" w:space="0" w:color="auto"/>
              <w:bottom w:val="single" w:sz="4" w:space="0" w:color="auto"/>
              <w:right w:val="single" w:sz="4" w:space="0" w:color="auto"/>
            </w:tcBorders>
            <w:shd w:val="clear" w:color="auto" w:fill="C6EFCE"/>
          </w:tcPr>
          <w:p w14:paraId="102DC71D"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2023</w:t>
            </w:r>
          </w:p>
        </w:tc>
        <w:tc>
          <w:tcPr>
            <w:tcW w:w="1019" w:type="dxa"/>
            <w:tcBorders>
              <w:top w:val="single" w:sz="4" w:space="0" w:color="auto"/>
              <w:left w:val="single" w:sz="4" w:space="0" w:color="auto"/>
              <w:bottom w:val="single" w:sz="4" w:space="0" w:color="auto"/>
              <w:right w:val="single" w:sz="4" w:space="0" w:color="auto"/>
            </w:tcBorders>
            <w:shd w:val="clear" w:color="auto" w:fill="C6EFCE"/>
          </w:tcPr>
          <w:p w14:paraId="473C5836"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r w:rsidRPr="008635F8">
              <w:rPr>
                <w:rFonts w:ascii="Times New Roman" w:hAnsi="Times New Roman"/>
                <w:sz w:val="18"/>
                <w:szCs w:val="18"/>
              </w:rPr>
              <w:t>Ekonomikas ministrija</w:t>
            </w:r>
          </w:p>
        </w:tc>
        <w:tc>
          <w:tcPr>
            <w:tcW w:w="996" w:type="dxa"/>
            <w:tcBorders>
              <w:top w:val="single" w:sz="4" w:space="0" w:color="auto"/>
              <w:left w:val="single" w:sz="4" w:space="0" w:color="auto"/>
              <w:bottom w:val="single" w:sz="4" w:space="0" w:color="auto"/>
              <w:right w:val="single" w:sz="4" w:space="0" w:color="auto"/>
            </w:tcBorders>
            <w:shd w:val="clear" w:color="auto" w:fill="C6EFCE"/>
          </w:tcPr>
          <w:p w14:paraId="7110DDB1"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p>
        </w:tc>
        <w:tc>
          <w:tcPr>
            <w:tcW w:w="1486" w:type="dxa"/>
            <w:tcBorders>
              <w:top w:val="single" w:sz="4" w:space="0" w:color="auto"/>
              <w:left w:val="single" w:sz="4" w:space="0" w:color="auto"/>
              <w:bottom w:val="single" w:sz="4" w:space="0" w:color="auto"/>
              <w:right w:val="single" w:sz="4" w:space="0" w:color="auto"/>
            </w:tcBorders>
            <w:shd w:val="clear" w:color="auto" w:fill="C6EFCE"/>
          </w:tcPr>
          <w:p w14:paraId="2F15B37B" w14:textId="77777777" w:rsidR="00067A3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 xml:space="preserve">Kopsavilkuma dokuments, kurā pienācīgi pamatots, kā tika apmierinoši sasniegts mērķis, kopā ar </w:t>
            </w:r>
            <w:r w:rsidRPr="008635F8">
              <w:rPr>
                <w:rFonts w:ascii="Times New Roman" w:hAnsi="Times New Roman"/>
                <w:sz w:val="18"/>
                <w:szCs w:val="18"/>
              </w:rPr>
              <w:lastRenderedPageBreak/>
              <w:t>atbilstošām saitēm uz pamatojošajiem pierādījumiem, tostarp paziņoto piešķirto līguma slēgšanas tiesību un to summu saraksts.</w:t>
            </w:r>
          </w:p>
        </w:tc>
        <w:tc>
          <w:tcPr>
            <w:tcW w:w="1707" w:type="dxa"/>
            <w:tcBorders>
              <w:top w:val="single" w:sz="4" w:space="0" w:color="auto"/>
              <w:left w:val="single" w:sz="4" w:space="0" w:color="auto"/>
              <w:bottom w:val="single" w:sz="4" w:space="0" w:color="auto"/>
              <w:right w:val="single" w:sz="4" w:space="0" w:color="auto"/>
            </w:tcBorders>
            <w:shd w:val="clear" w:color="auto" w:fill="C6EFCE"/>
          </w:tcPr>
          <w:p w14:paraId="6E9349FA" w14:textId="77777777" w:rsidR="00067A32" w:rsidRPr="008635F8" w:rsidRDefault="00067A32" w:rsidP="00E147E0">
            <w:pPr>
              <w:widowControl w:val="0"/>
              <w:spacing w:after="0" w:line="240" w:lineRule="auto"/>
              <w:ind w:left="57" w:right="57"/>
              <w:rPr>
                <w:rFonts w:ascii="Times New Roman" w:eastAsiaTheme="minorEastAsia" w:hAnsi="Times New Roman" w:cs="Times New Roman"/>
                <w:noProof/>
                <w:sz w:val="18"/>
                <w:szCs w:val="18"/>
              </w:rPr>
            </w:pPr>
            <w:r w:rsidRPr="008635F8">
              <w:rPr>
                <w:rFonts w:ascii="Times New Roman" w:hAnsi="Times New Roman"/>
                <w:sz w:val="18"/>
                <w:szCs w:val="18"/>
              </w:rPr>
              <w:lastRenderedPageBreak/>
              <w:t>Paziņojums saņēmējiem par līgumu slēgšanas tiesību piešķiršanu apstiprinātiem projektiem par 80 000 000 EUR.</w:t>
            </w:r>
          </w:p>
        </w:tc>
      </w:tr>
      <w:tr w:rsidR="0041037D" w:rsidRPr="008635F8" w14:paraId="0EA35081" w14:textId="77777777" w:rsidTr="0044659E">
        <w:trPr>
          <w:trHeight w:val="829"/>
        </w:trPr>
        <w:tc>
          <w:tcPr>
            <w:tcW w:w="280" w:type="dxa"/>
            <w:tcBorders>
              <w:top w:val="single" w:sz="4" w:space="0" w:color="auto"/>
              <w:left w:val="single" w:sz="4" w:space="0" w:color="auto"/>
              <w:bottom w:val="single" w:sz="4" w:space="0" w:color="auto"/>
              <w:right w:val="single" w:sz="4" w:space="0" w:color="auto"/>
            </w:tcBorders>
            <w:shd w:val="clear" w:color="auto" w:fill="C6EFCE"/>
          </w:tcPr>
          <w:p w14:paraId="7BD34F2C"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20</w:t>
            </w:r>
          </w:p>
        </w:tc>
        <w:tc>
          <w:tcPr>
            <w:tcW w:w="1416" w:type="dxa"/>
            <w:tcBorders>
              <w:top w:val="single" w:sz="4" w:space="0" w:color="auto"/>
              <w:left w:val="single" w:sz="4" w:space="0" w:color="auto"/>
              <w:bottom w:val="single" w:sz="4" w:space="0" w:color="auto"/>
              <w:right w:val="single" w:sz="4" w:space="0" w:color="auto"/>
            </w:tcBorders>
            <w:shd w:val="clear" w:color="auto" w:fill="C6EFCE"/>
          </w:tcPr>
          <w:p w14:paraId="74914A36"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b/>
                <w:noProof/>
                <w:sz w:val="18"/>
                <w:szCs w:val="18"/>
              </w:rPr>
            </w:pPr>
            <w:r w:rsidRPr="008635F8">
              <w:rPr>
                <w:rFonts w:ascii="Times New Roman" w:hAnsi="Times New Roman"/>
                <w:b/>
                <w:sz w:val="18"/>
                <w:szCs w:val="18"/>
              </w:rPr>
              <w:t>1.2.1.5.i. Elektroenerģijas pārvades un sadales tīklu modernizācija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04D8E3F2"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Mērķis</w:t>
            </w:r>
          </w:p>
        </w:tc>
        <w:tc>
          <w:tcPr>
            <w:tcW w:w="1100" w:type="dxa"/>
            <w:tcBorders>
              <w:top w:val="single" w:sz="4" w:space="0" w:color="auto"/>
              <w:left w:val="single" w:sz="4" w:space="0" w:color="auto"/>
              <w:bottom w:val="single" w:sz="4" w:space="0" w:color="auto"/>
              <w:right w:val="single" w:sz="4" w:space="0" w:color="auto"/>
            </w:tcBorders>
            <w:shd w:val="clear" w:color="auto" w:fill="C6EFCE"/>
          </w:tcPr>
          <w:p w14:paraId="0FAD64CD"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Pieslēgumpunkti elektrotransportlīdzekļu uzlādei un/vai mikroģenerācijas iekārtām</w:t>
            </w:r>
          </w:p>
        </w:tc>
        <w:tc>
          <w:tcPr>
            <w:tcW w:w="1595" w:type="dxa"/>
            <w:tcBorders>
              <w:top w:val="single" w:sz="4" w:space="0" w:color="auto"/>
              <w:left w:val="single" w:sz="4" w:space="0" w:color="auto"/>
              <w:bottom w:val="single" w:sz="4" w:space="0" w:color="auto"/>
              <w:right w:val="single" w:sz="4" w:space="0" w:color="auto"/>
            </w:tcBorders>
            <w:shd w:val="clear" w:color="auto" w:fill="C6EFCE"/>
          </w:tcPr>
          <w:p w14:paraId="0A00D48F"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C6EFCE"/>
          </w:tcPr>
          <w:p w14:paraId="5CE71B62"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Skaits</w:t>
            </w:r>
          </w:p>
        </w:tc>
        <w:tc>
          <w:tcPr>
            <w:tcW w:w="535" w:type="dxa"/>
            <w:tcBorders>
              <w:top w:val="single" w:sz="4" w:space="0" w:color="auto"/>
              <w:left w:val="single" w:sz="4" w:space="0" w:color="auto"/>
              <w:bottom w:val="single" w:sz="4" w:space="0" w:color="auto"/>
              <w:right w:val="single" w:sz="4" w:space="0" w:color="auto"/>
            </w:tcBorders>
            <w:shd w:val="clear" w:color="auto" w:fill="C6EFCE"/>
          </w:tcPr>
          <w:p w14:paraId="2912699A"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0</w:t>
            </w:r>
          </w:p>
        </w:tc>
        <w:tc>
          <w:tcPr>
            <w:tcW w:w="926" w:type="dxa"/>
            <w:tcBorders>
              <w:top w:val="single" w:sz="4" w:space="0" w:color="auto"/>
              <w:left w:val="single" w:sz="4" w:space="0" w:color="auto"/>
              <w:bottom w:val="single" w:sz="4" w:space="0" w:color="auto"/>
              <w:right w:val="single" w:sz="4" w:space="0" w:color="auto"/>
            </w:tcBorders>
            <w:shd w:val="clear" w:color="auto" w:fill="C6EFCE"/>
          </w:tcPr>
          <w:p w14:paraId="4269FB1B"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2060</w:t>
            </w:r>
          </w:p>
        </w:tc>
        <w:tc>
          <w:tcPr>
            <w:tcW w:w="523" w:type="dxa"/>
            <w:tcBorders>
              <w:top w:val="single" w:sz="4" w:space="0" w:color="auto"/>
              <w:left w:val="single" w:sz="4" w:space="0" w:color="auto"/>
              <w:bottom w:val="single" w:sz="4" w:space="0" w:color="auto"/>
              <w:right w:val="single" w:sz="4" w:space="0" w:color="auto"/>
            </w:tcBorders>
            <w:shd w:val="clear" w:color="auto" w:fill="C6EFCE"/>
          </w:tcPr>
          <w:p w14:paraId="76D3238E"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3. cet.</w:t>
            </w:r>
          </w:p>
        </w:tc>
        <w:tc>
          <w:tcPr>
            <w:tcW w:w="568" w:type="dxa"/>
            <w:tcBorders>
              <w:top w:val="single" w:sz="4" w:space="0" w:color="auto"/>
              <w:left w:val="single" w:sz="4" w:space="0" w:color="auto"/>
              <w:bottom w:val="single" w:sz="4" w:space="0" w:color="auto"/>
              <w:right w:val="single" w:sz="4" w:space="0" w:color="auto"/>
            </w:tcBorders>
            <w:shd w:val="clear" w:color="auto" w:fill="C6EFCE"/>
          </w:tcPr>
          <w:p w14:paraId="1D07FC3E"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2026</w:t>
            </w:r>
          </w:p>
        </w:tc>
        <w:tc>
          <w:tcPr>
            <w:tcW w:w="1019" w:type="dxa"/>
            <w:tcBorders>
              <w:top w:val="single" w:sz="4" w:space="0" w:color="auto"/>
              <w:left w:val="single" w:sz="4" w:space="0" w:color="auto"/>
              <w:bottom w:val="single" w:sz="4" w:space="0" w:color="auto"/>
              <w:right w:val="single" w:sz="4" w:space="0" w:color="auto"/>
            </w:tcBorders>
            <w:shd w:val="clear" w:color="auto" w:fill="C6EFCE"/>
          </w:tcPr>
          <w:p w14:paraId="5664A187"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r w:rsidRPr="008635F8">
              <w:rPr>
                <w:rFonts w:ascii="Times New Roman" w:hAnsi="Times New Roman"/>
                <w:sz w:val="18"/>
                <w:szCs w:val="18"/>
              </w:rPr>
              <w:t>Ekonomikas ministrija</w:t>
            </w:r>
          </w:p>
        </w:tc>
        <w:tc>
          <w:tcPr>
            <w:tcW w:w="996" w:type="dxa"/>
            <w:tcBorders>
              <w:top w:val="single" w:sz="4" w:space="0" w:color="auto"/>
              <w:left w:val="single" w:sz="4" w:space="0" w:color="auto"/>
              <w:bottom w:val="single" w:sz="4" w:space="0" w:color="auto"/>
              <w:right w:val="single" w:sz="4" w:space="0" w:color="auto"/>
            </w:tcBorders>
            <w:shd w:val="clear" w:color="auto" w:fill="C6EFCE"/>
          </w:tcPr>
          <w:p w14:paraId="6D958B10"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p>
        </w:tc>
        <w:tc>
          <w:tcPr>
            <w:tcW w:w="1486" w:type="dxa"/>
            <w:tcBorders>
              <w:top w:val="single" w:sz="4" w:space="0" w:color="auto"/>
              <w:left w:val="single" w:sz="4" w:space="0" w:color="auto"/>
              <w:bottom w:val="single" w:sz="4" w:space="0" w:color="auto"/>
              <w:right w:val="single" w:sz="4" w:space="0" w:color="auto"/>
            </w:tcBorders>
            <w:shd w:val="clear" w:color="auto" w:fill="C6EFCE"/>
          </w:tcPr>
          <w:p w14:paraId="1D04C88B" w14:textId="77777777" w:rsidR="00067A3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Kopsavilkuma dokuments, kurā pienācīgi pamatots, kā tika apmierinoši sasniegts mērķis, kopā ar atbilstošām saitēm uz pamatojošajiem pierādījumiem.</w:t>
            </w:r>
          </w:p>
          <w:p w14:paraId="5B8E4D58" w14:textId="77777777" w:rsidR="00067A3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Šā dokumenta pielikumā iekļauj:</w:t>
            </w:r>
          </w:p>
          <w:p w14:paraId="7941850F" w14:textId="7C8435FC" w:rsidR="00481482" w:rsidRPr="008635F8" w:rsidRDefault="006B1928"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a) sarakstu ar atrašanās vietām, īsu aprakstu par darba kārtībā esošajiem pieslēgumpunktiem elektrotransportlīdzekļu uzlādei un/vai darba kārtībā esošām mikroģenerācijas iekārtām;</w:t>
            </w:r>
          </w:p>
          <w:p w14:paraId="357C3185" w14:textId="1D9DB2C7" w:rsidR="00067A32" w:rsidRPr="008635F8" w:rsidRDefault="006B1928"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 xml:space="preserve">b) sertifikātus, kas apliecina, ka </w:t>
            </w:r>
            <w:r w:rsidRPr="008635F8">
              <w:rPr>
                <w:rFonts w:ascii="Times New Roman" w:hAnsi="Times New Roman"/>
                <w:sz w:val="18"/>
                <w:szCs w:val="18"/>
              </w:rPr>
              <w:lastRenderedPageBreak/>
              <w:t>pieslēgumpunkti un mikroģenerācijas iekārtas ir darba kārtībā.</w:t>
            </w:r>
          </w:p>
        </w:tc>
        <w:tc>
          <w:tcPr>
            <w:tcW w:w="1707" w:type="dxa"/>
            <w:tcBorders>
              <w:top w:val="single" w:sz="4" w:space="0" w:color="auto"/>
              <w:left w:val="single" w:sz="4" w:space="0" w:color="auto"/>
              <w:bottom w:val="single" w:sz="4" w:space="0" w:color="auto"/>
              <w:right w:val="single" w:sz="4" w:space="0" w:color="auto"/>
            </w:tcBorders>
            <w:shd w:val="clear" w:color="auto" w:fill="C6EFCE"/>
          </w:tcPr>
          <w:p w14:paraId="78848305" w14:textId="77777777" w:rsidR="00067A32" w:rsidRPr="008635F8" w:rsidRDefault="00067A32" w:rsidP="00E147E0">
            <w:pPr>
              <w:widowControl w:val="0"/>
              <w:spacing w:after="0" w:line="240" w:lineRule="auto"/>
              <w:ind w:left="57" w:right="57"/>
              <w:rPr>
                <w:rFonts w:ascii="Times New Roman" w:eastAsiaTheme="minorEastAsia" w:hAnsi="Times New Roman" w:cs="Times New Roman"/>
                <w:noProof/>
                <w:sz w:val="18"/>
                <w:szCs w:val="18"/>
              </w:rPr>
            </w:pPr>
            <w:r w:rsidRPr="008635F8">
              <w:rPr>
                <w:rFonts w:ascii="Times New Roman" w:hAnsi="Times New Roman"/>
                <w:sz w:val="18"/>
                <w:szCs w:val="18"/>
              </w:rPr>
              <w:lastRenderedPageBreak/>
              <w:t>Kopējais skaits darba kārtībā esošu pieslēgumpunktu, kas paredzēti elektrotransportlīdzekļu uzlādei un/vai darba kārtībā esošām mikroģenerācijas iekārtām.</w:t>
            </w:r>
          </w:p>
        </w:tc>
      </w:tr>
      <w:tr w:rsidR="0041037D" w:rsidRPr="008635F8" w14:paraId="3F143943" w14:textId="77777777" w:rsidTr="0044659E">
        <w:trPr>
          <w:trHeight w:val="1200"/>
        </w:trPr>
        <w:tc>
          <w:tcPr>
            <w:tcW w:w="280" w:type="dxa"/>
            <w:tcBorders>
              <w:top w:val="single" w:sz="4" w:space="0" w:color="auto"/>
              <w:left w:val="single" w:sz="4" w:space="0" w:color="auto"/>
              <w:bottom w:val="single" w:sz="4" w:space="0" w:color="auto"/>
              <w:right w:val="single" w:sz="4" w:space="0" w:color="auto"/>
            </w:tcBorders>
            <w:shd w:val="clear" w:color="auto" w:fill="C6EFCE"/>
          </w:tcPr>
          <w:p w14:paraId="2A5417BE"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21</w:t>
            </w:r>
          </w:p>
        </w:tc>
        <w:tc>
          <w:tcPr>
            <w:tcW w:w="1416" w:type="dxa"/>
            <w:tcBorders>
              <w:top w:val="single" w:sz="4" w:space="0" w:color="auto"/>
              <w:left w:val="single" w:sz="4" w:space="0" w:color="auto"/>
              <w:bottom w:val="single" w:sz="4" w:space="0" w:color="auto"/>
              <w:right w:val="single" w:sz="4" w:space="0" w:color="auto"/>
            </w:tcBorders>
            <w:shd w:val="clear" w:color="auto" w:fill="C6EFCE"/>
          </w:tcPr>
          <w:p w14:paraId="771F944F"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b/>
                <w:noProof/>
                <w:sz w:val="18"/>
                <w:szCs w:val="18"/>
              </w:rPr>
            </w:pPr>
            <w:r w:rsidRPr="008635F8">
              <w:rPr>
                <w:rFonts w:ascii="Times New Roman" w:hAnsi="Times New Roman"/>
                <w:b/>
                <w:sz w:val="18"/>
                <w:szCs w:val="18"/>
              </w:rPr>
              <w:t>1.2.1.5.i. Elektroenerģijas pārvades un sadales tīklu modernizācija</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189950F"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Atskaites punkts</w:t>
            </w:r>
          </w:p>
        </w:tc>
        <w:tc>
          <w:tcPr>
            <w:tcW w:w="1100" w:type="dxa"/>
            <w:tcBorders>
              <w:top w:val="single" w:sz="4" w:space="0" w:color="auto"/>
              <w:left w:val="single" w:sz="4" w:space="0" w:color="auto"/>
              <w:bottom w:val="single" w:sz="4" w:space="0" w:color="auto"/>
              <w:right w:val="single" w:sz="4" w:space="0" w:color="auto"/>
            </w:tcBorders>
            <w:shd w:val="clear" w:color="auto" w:fill="C6EFCE"/>
          </w:tcPr>
          <w:p w14:paraId="66282BC0"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 xml:space="preserve">Tiesiskā regulējuma stāšanās spēkā, lai nodrošinātu no AER saražotās elektroenerģijas pārvadi uz tīkliem (tostarp mežu un citas valsts zemes izmantošanu vēja enerģijas ražošanai) un veicinātu vēja enerģijas infrastruktūras attīstību. </w:t>
            </w:r>
          </w:p>
        </w:tc>
        <w:tc>
          <w:tcPr>
            <w:tcW w:w="1595" w:type="dxa"/>
            <w:tcBorders>
              <w:top w:val="single" w:sz="4" w:space="0" w:color="auto"/>
              <w:left w:val="single" w:sz="4" w:space="0" w:color="auto"/>
              <w:bottom w:val="single" w:sz="4" w:space="0" w:color="auto"/>
              <w:right w:val="single" w:sz="4" w:space="0" w:color="auto"/>
            </w:tcBorders>
            <w:shd w:val="clear" w:color="auto" w:fill="C6EFCE"/>
          </w:tcPr>
          <w:p w14:paraId="01E8348C" w14:textId="50EDCFD2" w:rsidR="0048148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Stājas spēkā: a) tiesību akti / noteikumi, ar kuriem valsts mežus dara pieejamus vēja enerģijas izmantošanai, nosaka piemērotas teritorijas attīstībai un dara tās pieejamas privātajiem investoriem solīšanai;</w:t>
            </w:r>
          </w:p>
          <w:p w14:paraId="1C4CB430" w14:textId="509F14A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 xml:space="preserve">b) tiesību akti / noteikumi, ar kuriem samazina tiesisko nenoteiktību attiecībā uz investīcijām vēja enerģijā, precizējot gadījumus, kad investīcijas var noraidīt pēc ietekmes novērtējuma, un ieviešot paātrinātu noregulējuma mehānismu šādiem gadījumiem. </w:t>
            </w:r>
          </w:p>
        </w:tc>
        <w:tc>
          <w:tcPr>
            <w:tcW w:w="991" w:type="dxa"/>
            <w:tcBorders>
              <w:top w:val="single" w:sz="4" w:space="0" w:color="auto"/>
              <w:left w:val="single" w:sz="4" w:space="0" w:color="auto"/>
              <w:bottom w:val="single" w:sz="4" w:space="0" w:color="auto"/>
              <w:right w:val="single" w:sz="4" w:space="0" w:color="auto"/>
            </w:tcBorders>
            <w:shd w:val="clear" w:color="auto" w:fill="C6EFCE"/>
          </w:tcPr>
          <w:p w14:paraId="45A967B5"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Neattiecas</w:t>
            </w:r>
          </w:p>
        </w:tc>
        <w:tc>
          <w:tcPr>
            <w:tcW w:w="535" w:type="dxa"/>
            <w:tcBorders>
              <w:top w:val="single" w:sz="4" w:space="0" w:color="auto"/>
              <w:left w:val="single" w:sz="4" w:space="0" w:color="auto"/>
              <w:bottom w:val="single" w:sz="4" w:space="0" w:color="auto"/>
              <w:right w:val="single" w:sz="4" w:space="0" w:color="auto"/>
            </w:tcBorders>
            <w:shd w:val="clear" w:color="auto" w:fill="C6EFCE"/>
          </w:tcPr>
          <w:p w14:paraId="0EFC7588"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Neattiecas</w:t>
            </w:r>
          </w:p>
        </w:tc>
        <w:tc>
          <w:tcPr>
            <w:tcW w:w="926" w:type="dxa"/>
            <w:tcBorders>
              <w:top w:val="single" w:sz="4" w:space="0" w:color="auto"/>
              <w:left w:val="single" w:sz="4" w:space="0" w:color="auto"/>
              <w:bottom w:val="single" w:sz="4" w:space="0" w:color="auto"/>
              <w:right w:val="single" w:sz="4" w:space="0" w:color="auto"/>
            </w:tcBorders>
            <w:shd w:val="clear" w:color="auto" w:fill="C6EFCE"/>
          </w:tcPr>
          <w:p w14:paraId="06358FAB"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Neattiecas</w:t>
            </w:r>
          </w:p>
        </w:tc>
        <w:tc>
          <w:tcPr>
            <w:tcW w:w="523" w:type="dxa"/>
            <w:tcBorders>
              <w:top w:val="single" w:sz="4" w:space="0" w:color="auto"/>
              <w:left w:val="single" w:sz="4" w:space="0" w:color="auto"/>
              <w:bottom w:val="single" w:sz="4" w:space="0" w:color="auto"/>
              <w:right w:val="single" w:sz="4" w:space="0" w:color="auto"/>
            </w:tcBorders>
            <w:shd w:val="clear" w:color="auto" w:fill="C6EFCE"/>
          </w:tcPr>
          <w:p w14:paraId="4FD53B82"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2. cet.</w:t>
            </w:r>
          </w:p>
        </w:tc>
        <w:tc>
          <w:tcPr>
            <w:tcW w:w="568" w:type="dxa"/>
            <w:tcBorders>
              <w:top w:val="single" w:sz="4" w:space="0" w:color="auto"/>
              <w:left w:val="single" w:sz="4" w:space="0" w:color="auto"/>
              <w:bottom w:val="single" w:sz="4" w:space="0" w:color="auto"/>
              <w:right w:val="single" w:sz="4" w:space="0" w:color="auto"/>
            </w:tcBorders>
            <w:shd w:val="clear" w:color="auto" w:fill="C6EFCE"/>
          </w:tcPr>
          <w:p w14:paraId="4258C065"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2024</w:t>
            </w:r>
          </w:p>
        </w:tc>
        <w:tc>
          <w:tcPr>
            <w:tcW w:w="1019" w:type="dxa"/>
            <w:tcBorders>
              <w:top w:val="single" w:sz="4" w:space="0" w:color="auto"/>
              <w:left w:val="single" w:sz="4" w:space="0" w:color="auto"/>
              <w:bottom w:val="single" w:sz="4" w:space="0" w:color="auto"/>
              <w:right w:val="single" w:sz="4" w:space="0" w:color="auto"/>
            </w:tcBorders>
            <w:shd w:val="clear" w:color="auto" w:fill="C6EFCE"/>
          </w:tcPr>
          <w:p w14:paraId="61D9B82F"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r w:rsidRPr="008635F8">
              <w:rPr>
                <w:rFonts w:ascii="Times New Roman" w:hAnsi="Times New Roman"/>
                <w:sz w:val="18"/>
                <w:szCs w:val="18"/>
              </w:rPr>
              <w:t>Ekonomikas ministrija</w:t>
            </w:r>
          </w:p>
        </w:tc>
        <w:tc>
          <w:tcPr>
            <w:tcW w:w="996" w:type="dxa"/>
            <w:tcBorders>
              <w:top w:val="single" w:sz="4" w:space="0" w:color="auto"/>
              <w:left w:val="single" w:sz="4" w:space="0" w:color="auto"/>
              <w:bottom w:val="single" w:sz="4" w:space="0" w:color="auto"/>
              <w:right w:val="single" w:sz="4" w:space="0" w:color="auto"/>
            </w:tcBorders>
            <w:shd w:val="clear" w:color="auto" w:fill="C6EFCE"/>
          </w:tcPr>
          <w:p w14:paraId="787BC693"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p>
        </w:tc>
        <w:tc>
          <w:tcPr>
            <w:tcW w:w="1486" w:type="dxa"/>
            <w:tcBorders>
              <w:top w:val="single" w:sz="4" w:space="0" w:color="auto"/>
              <w:left w:val="single" w:sz="4" w:space="0" w:color="auto"/>
              <w:bottom w:val="single" w:sz="4" w:space="0" w:color="auto"/>
              <w:right w:val="single" w:sz="4" w:space="0" w:color="auto"/>
            </w:tcBorders>
            <w:shd w:val="clear" w:color="auto" w:fill="C6EFCE"/>
          </w:tcPr>
          <w:p w14:paraId="1D4CDB1E" w14:textId="77777777" w:rsidR="0048148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Attiecīgā tiesību akta kopija un saite uz publikāciju oficiālajā izdevumā, tostarp atsauce uz noteikumu, kurā norādīta stāšanās spēkā, kopā ar kopsavilkuma dokumentu, kurā pienācīgi pamatots, kā tika apmierinoši sasniegts atskaites punkts, ar atbilstošām saitēm uz pamatojošajiem pierādījumiem.</w:t>
            </w:r>
          </w:p>
          <w:p w14:paraId="5F85FE92" w14:textId="1541EDCF" w:rsidR="00067A3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It īpaši tajā izskaidro, kā:</w:t>
            </w:r>
          </w:p>
          <w:p w14:paraId="7BB2186D" w14:textId="3500639D" w:rsidR="00481482" w:rsidRPr="008635F8" w:rsidRDefault="006B1928"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 xml:space="preserve">a) tiesību akti padarīs valsts mežus pieejamus vēja enerģijas izmantošanai un samazinās tiesisko nenoteiktību attiecībā uz </w:t>
            </w:r>
            <w:r w:rsidRPr="008635F8">
              <w:rPr>
                <w:rFonts w:ascii="Times New Roman" w:hAnsi="Times New Roman"/>
                <w:sz w:val="18"/>
                <w:szCs w:val="18"/>
              </w:rPr>
              <w:lastRenderedPageBreak/>
              <w:t>investīcijām vēja enerģijā;</w:t>
            </w:r>
          </w:p>
          <w:p w14:paraId="0DEEA03B" w14:textId="5C444317" w:rsidR="00067A32" w:rsidRPr="008635F8" w:rsidRDefault="006B1928"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b) tiesību akti atbilst principam “nenodarīt būtisku kaitējumu”, jo īpaši saistībā ar pasākuma ietekmi uz mežiem, ko rada zemes izmantošanas maiņa, kā arī ES tiesību aktiem vides jomā.</w:t>
            </w:r>
          </w:p>
        </w:tc>
        <w:tc>
          <w:tcPr>
            <w:tcW w:w="1707" w:type="dxa"/>
            <w:tcBorders>
              <w:top w:val="single" w:sz="4" w:space="0" w:color="auto"/>
              <w:left w:val="single" w:sz="4" w:space="0" w:color="auto"/>
              <w:bottom w:val="single" w:sz="4" w:space="0" w:color="auto"/>
              <w:right w:val="single" w:sz="4" w:space="0" w:color="auto"/>
            </w:tcBorders>
            <w:shd w:val="clear" w:color="auto" w:fill="C6EFCE"/>
          </w:tcPr>
          <w:p w14:paraId="73B84EB6" w14:textId="77777777" w:rsidR="00481482" w:rsidRPr="008635F8" w:rsidRDefault="00067A32" w:rsidP="00E147E0">
            <w:pPr>
              <w:widowControl w:val="0"/>
              <w:spacing w:after="0" w:line="240" w:lineRule="auto"/>
              <w:ind w:left="57" w:right="57"/>
              <w:rPr>
                <w:rFonts w:ascii="Times New Roman" w:eastAsiaTheme="minorEastAsia" w:hAnsi="Times New Roman" w:cs="Times New Roman"/>
                <w:noProof/>
                <w:sz w:val="18"/>
                <w:szCs w:val="18"/>
              </w:rPr>
            </w:pPr>
            <w:r w:rsidRPr="008635F8">
              <w:rPr>
                <w:rFonts w:ascii="Times New Roman" w:hAnsi="Times New Roman"/>
                <w:sz w:val="18"/>
                <w:szCs w:val="18"/>
              </w:rPr>
              <w:lastRenderedPageBreak/>
              <w:t>Stājas spēkā:</w:t>
            </w:r>
          </w:p>
          <w:p w14:paraId="2E3AE210" w14:textId="77777777" w:rsidR="00481482" w:rsidRPr="008635F8" w:rsidRDefault="00067A32" w:rsidP="00E147E0">
            <w:pPr>
              <w:widowControl w:val="0"/>
              <w:spacing w:after="0" w:line="240" w:lineRule="auto"/>
              <w:ind w:left="57" w:right="57"/>
              <w:rPr>
                <w:rFonts w:ascii="Times New Roman" w:eastAsiaTheme="minorEastAsia" w:hAnsi="Times New Roman" w:cs="Times New Roman"/>
                <w:noProof/>
                <w:sz w:val="18"/>
                <w:szCs w:val="18"/>
              </w:rPr>
            </w:pPr>
            <w:r w:rsidRPr="008635F8">
              <w:rPr>
                <w:rFonts w:ascii="Times New Roman" w:hAnsi="Times New Roman"/>
                <w:sz w:val="18"/>
                <w:szCs w:val="18"/>
              </w:rPr>
              <w:t>a) tiesību akti / noteikumi, ar kuriem valsts mežus dara pieejamus vēja enerģijas izmantošanai, nosaka piemērotas teritorijas attīstībai un dara tās pieejamas privātajiem investoriem solīšanai;</w:t>
            </w:r>
          </w:p>
          <w:p w14:paraId="0FB73226" w14:textId="77777777" w:rsidR="00481482" w:rsidRPr="008635F8" w:rsidRDefault="00067A32" w:rsidP="00E147E0">
            <w:pPr>
              <w:widowControl w:val="0"/>
              <w:spacing w:after="0" w:line="240" w:lineRule="auto"/>
              <w:ind w:left="57" w:right="57"/>
              <w:rPr>
                <w:rFonts w:ascii="Times New Roman" w:eastAsiaTheme="minorEastAsia" w:hAnsi="Times New Roman" w:cs="Times New Roman"/>
                <w:noProof/>
                <w:sz w:val="18"/>
                <w:szCs w:val="18"/>
              </w:rPr>
            </w:pPr>
            <w:r w:rsidRPr="008635F8">
              <w:rPr>
                <w:rFonts w:ascii="Times New Roman" w:hAnsi="Times New Roman"/>
                <w:sz w:val="18"/>
                <w:szCs w:val="18"/>
              </w:rPr>
              <w:t>b) tiesību akti / noteikumi, ar kuriem samazina tiesisko nenoteiktību attiecībā uz investīcijām vēja enerģijā, precizējot gadījumus, kad investīcijas var noraidīt pēc ietekmes novērtējuma, un ieviešot paātrinātu noregulējuma mehānismu šādiem gadījumiem.</w:t>
            </w:r>
          </w:p>
          <w:p w14:paraId="60808FA9" w14:textId="2C428A0F" w:rsidR="00067A32" w:rsidRPr="008635F8" w:rsidRDefault="00067A32" w:rsidP="00E147E0">
            <w:pPr>
              <w:widowControl w:val="0"/>
              <w:spacing w:after="0" w:line="240" w:lineRule="auto"/>
              <w:ind w:left="57" w:right="57"/>
              <w:rPr>
                <w:rFonts w:ascii="Times New Roman" w:eastAsiaTheme="minorEastAsia" w:hAnsi="Times New Roman" w:cs="Times New Roman"/>
                <w:noProof/>
                <w:sz w:val="18"/>
                <w:szCs w:val="18"/>
              </w:rPr>
            </w:pPr>
            <w:r w:rsidRPr="008635F8">
              <w:rPr>
                <w:rFonts w:ascii="Times New Roman" w:hAnsi="Times New Roman"/>
                <w:sz w:val="18"/>
                <w:szCs w:val="18"/>
              </w:rPr>
              <w:t xml:space="preserve">Pasākums nodrošina atbilstību principam </w:t>
            </w:r>
            <w:r w:rsidRPr="008635F8">
              <w:rPr>
                <w:rFonts w:ascii="Times New Roman" w:hAnsi="Times New Roman"/>
                <w:sz w:val="18"/>
                <w:szCs w:val="18"/>
              </w:rPr>
              <w:lastRenderedPageBreak/>
              <w:t>“nenodarīt būtisku kaitējumu” saskaņā ar Tehniskajiem norādījumiem par principa “nenodarīt būtisku kaitējumu” piemērošanu (2021/C58/01), jo īpaši saistībā ar pasākuma ietekmi uz mežiem zemes izmantošanas maiņas dēļ un ES tiesību aktiem vides jomā.</w:t>
            </w:r>
          </w:p>
        </w:tc>
      </w:tr>
      <w:tr w:rsidR="0041037D" w:rsidRPr="008635F8" w14:paraId="008810EC" w14:textId="77777777" w:rsidTr="0044659E">
        <w:trPr>
          <w:trHeight w:val="1200"/>
        </w:trPr>
        <w:tc>
          <w:tcPr>
            <w:tcW w:w="280" w:type="dxa"/>
            <w:tcBorders>
              <w:top w:val="single" w:sz="4" w:space="0" w:color="auto"/>
              <w:left w:val="single" w:sz="4" w:space="0" w:color="auto"/>
              <w:bottom w:val="single" w:sz="4" w:space="0" w:color="auto"/>
              <w:right w:val="single" w:sz="4" w:space="0" w:color="auto"/>
            </w:tcBorders>
            <w:shd w:val="clear" w:color="auto" w:fill="C6EFCE"/>
          </w:tcPr>
          <w:p w14:paraId="05E58447"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lastRenderedPageBreak/>
              <w:t>22</w:t>
            </w:r>
          </w:p>
        </w:tc>
        <w:tc>
          <w:tcPr>
            <w:tcW w:w="1416" w:type="dxa"/>
            <w:tcBorders>
              <w:top w:val="single" w:sz="4" w:space="0" w:color="auto"/>
              <w:left w:val="single" w:sz="4" w:space="0" w:color="auto"/>
              <w:bottom w:val="single" w:sz="4" w:space="0" w:color="auto"/>
              <w:right w:val="single" w:sz="4" w:space="0" w:color="auto"/>
            </w:tcBorders>
            <w:shd w:val="clear" w:color="auto" w:fill="C6EFCE"/>
          </w:tcPr>
          <w:p w14:paraId="51104F77"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b/>
                <w:noProof/>
                <w:sz w:val="18"/>
                <w:szCs w:val="18"/>
              </w:rPr>
            </w:pPr>
            <w:r w:rsidRPr="008635F8">
              <w:rPr>
                <w:rFonts w:ascii="Times New Roman" w:hAnsi="Times New Roman"/>
                <w:b/>
                <w:sz w:val="18"/>
                <w:szCs w:val="18"/>
              </w:rPr>
              <w:t>1.3.1.r. Katastrofu pārvaldības sistēmas adaptācija klimata pārmaiņām, glābšanas un ātrās reaģēšanas dienesti</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9C5607E"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Atskaites punkts</w:t>
            </w:r>
          </w:p>
        </w:tc>
        <w:tc>
          <w:tcPr>
            <w:tcW w:w="1100" w:type="dxa"/>
            <w:tcBorders>
              <w:top w:val="single" w:sz="4" w:space="0" w:color="auto"/>
              <w:left w:val="single" w:sz="4" w:space="0" w:color="auto"/>
              <w:bottom w:val="single" w:sz="4" w:space="0" w:color="auto"/>
              <w:right w:val="single" w:sz="4" w:space="0" w:color="auto"/>
            </w:tcBorders>
            <w:shd w:val="clear" w:color="auto" w:fill="C6EFCE"/>
          </w:tcPr>
          <w:p w14:paraId="2413C0EE"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Ziņojuma publicēšana par katastrofu riska pārvaldības sistēmas ieviešanu</w:t>
            </w:r>
          </w:p>
        </w:tc>
        <w:tc>
          <w:tcPr>
            <w:tcW w:w="1595" w:type="dxa"/>
            <w:tcBorders>
              <w:top w:val="single" w:sz="4" w:space="0" w:color="auto"/>
              <w:left w:val="single" w:sz="4" w:space="0" w:color="auto"/>
              <w:bottom w:val="single" w:sz="4" w:space="0" w:color="auto"/>
              <w:right w:val="single" w:sz="4" w:space="0" w:color="auto"/>
            </w:tcBorders>
            <w:shd w:val="clear" w:color="auto" w:fill="C6EFCE"/>
          </w:tcPr>
          <w:p w14:paraId="24DD2761"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Informatīva ziņojuma publicēšana par Ministru kabineta apstiprinātas katastrofu riska pārvaldības sistēmas ieviešanu</w:t>
            </w:r>
          </w:p>
        </w:tc>
        <w:tc>
          <w:tcPr>
            <w:tcW w:w="991" w:type="dxa"/>
            <w:tcBorders>
              <w:top w:val="single" w:sz="4" w:space="0" w:color="auto"/>
              <w:left w:val="single" w:sz="4" w:space="0" w:color="auto"/>
              <w:bottom w:val="single" w:sz="4" w:space="0" w:color="auto"/>
              <w:right w:val="single" w:sz="4" w:space="0" w:color="auto"/>
            </w:tcBorders>
            <w:shd w:val="clear" w:color="auto" w:fill="C6EFCE"/>
          </w:tcPr>
          <w:p w14:paraId="533C8190"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Neattiecas</w:t>
            </w:r>
          </w:p>
        </w:tc>
        <w:tc>
          <w:tcPr>
            <w:tcW w:w="535" w:type="dxa"/>
            <w:tcBorders>
              <w:top w:val="single" w:sz="4" w:space="0" w:color="auto"/>
              <w:left w:val="single" w:sz="4" w:space="0" w:color="auto"/>
              <w:bottom w:val="single" w:sz="4" w:space="0" w:color="auto"/>
              <w:right w:val="single" w:sz="4" w:space="0" w:color="auto"/>
            </w:tcBorders>
            <w:shd w:val="clear" w:color="auto" w:fill="C6EFCE"/>
          </w:tcPr>
          <w:p w14:paraId="53435C89"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Neattiecas</w:t>
            </w:r>
          </w:p>
        </w:tc>
        <w:tc>
          <w:tcPr>
            <w:tcW w:w="926" w:type="dxa"/>
            <w:tcBorders>
              <w:top w:val="single" w:sz="4" w:space="0" w:color="auto"/>
              <w:left w:val="single" w:sz="4" w:space="0" w:color="auto"/>
              <w:bottom w:val="single" w:sz="4" w:space="0" w:color="auto"/>
              <w:right w:val="single" w:sz="4" w:space="0" w:color="auto"/>
            </w:tcBorders>
            <w:shd w:val="clear" w:color="auto" w:fill="C6EFCE"/>
          </w:tcPr>
          <w:p w14:paraId="5A41CAD6"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Neattiecas</w:t>
            </w:r>
          </w:p>
        </w:tc>
        <w:tc>
          <w:tcPr>
            <w:tcW w:w="523" w:type="dxa"/>
            <w:tcBorders>
              <w:top w:val="single" w:sz="4" w:space="0" w:color="auto"/>
              <w:left w:val="single" w:sz="4" w:space="0" w:color="auto"/>
              <w:bottom w:val="single" w:sz="4" w:space="0" w:color="auto"/>
              <w:right w:val="single" w:sz="4" w:space="0" w:color="auto"/>
            </w:tcBorders>
            <w:shd w:val="clear" w:color="auto" w:fill="C6EFCE"/>
          </w:tcPr>
          <w:p w14:paraId="290F5021"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1. cet.</w:t>
            </w:r>
          </w:p>
        </w:tc>
        <w:tc>
          <w:tcPr>
            <w:tcW w:w="568" w:type="dxa"/>
            <w:tcBorders>
              <w:top w:val="single" w:sz="4" w:space="0" w:color="auto"/>
              <w:left w:val="single" w:sz="4" w:space="0" w:color="auto"/>
              <w:bottom w:val="single" w:sz="4" w:space="0" w:color="auto"/>
              <w:right w:val="single" w:sz="4" w:space="0" w:color="auto"/>
            </w:tcBorders>
            <w:shd w:val="clear" w:color="auto" w:fill="C6EFCE"/>
          </w:tcPr>
          <w:p w14:paraId="4B81DA67"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2022</w:t>
            </w:r>
          </w:p>
        </w:tc>
        <w:tc>
          <w:tcPr>
            <w:tcW w:w="1019" w:type="dxa"/>
            <w:tcBorders>
              <w:top w:val="single" w:sz="4" w:space="0" w:color="auto"/>
              <w:left w:val="single" w:sz="4" w:space="0" w:color="auto"/>
              <w:bottom w:val="single" w:sz="4" w:space="0" w:color="auto"/>
              <w:right w:val="single" w:sz="4" w:space="0" w:color="auto"/>
            </w:tcBorders>
            <w:shd w:val="clear" w:color="auto" w:fill="C6EFCE"/>
          </w:tcPr>
          <w:p w14:paraId="4FA48825"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r w:rsidRPr="008635F8">
              <w:rPr>
                <w:rFonts w:ascii="Times New Roman" w:hAnsi="Times New Roman"/>
                <w:sz w:val="18"/>
                <w:szCs w:val="18"/>
              </w:rPr>
              <w:t xml:space="preserve">Iekšlietu ministrijas Nodrošinājuma valsts aģentūra ir atbildīga par iekšlietu ministra vadītās Būvniecības padomes lēmumu īstenošanu. Iekšlietu ministrija atbild par ziņojuma sagatavošanu un sniegšanu Ministru </w:t>
            </w:r>
            <w:r w:rsidRPr="008635F8">
              <w:rPr>
                <w:rFonts w:ascii="Times New Roman" w:hAnsi="Times New Roman"/>
                <w:sz w:val="18"/>
                <w:szCs w:val="18"/>
              </w:rPr>
              <w:lastRenderedPageBreak/>
              <w:t>kabinetam.</w:t>
            </w:r>
          </w:p>
        </w:tc>
        <w:tc>
          <w:tcPr>
            <w:tcW w:w="996" w:type="dxa"/>
            <w:tcBorders>
              <w:top w:val="single" w:sz="4" w:space="0" w:color="auto"/>
              <w:left w:val="single" w:sz="4" w:space="0" w:color="auto"/>
              <w:bottom w:val="single" w:sz="4" w:space="0" w:color="auto"/>
              <w:right w:val="single" w:sz="4" w:space="0" w:color="auto"/>
            </w:tcBorders>
            <w:shd w:val="clear" w:color="auto" w:fill="C6EFCE"/>
          </w:tcPr>
          <w:p w14:paraId="7607CE67"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p>
        </w:tc>
        <w:tc>
          <w:tcPr>
            <w:tcW w:w="1486" w:type="dxa"/>
            <w:tcBorders>
              <w:top w:val="single" w:sz="4" w:space="0" w:color="auto"/>
              <w:left w:val="single" w:sz="4" w:space="0" w:color="auto"/>
              <w:bottom w:val="single" w:sz="4" w:space="0" w:color="auto"/>
              <w:right w:val="single" w:sz="4" w:space="0" w:color="auto"/>
            </w:tcBorders>
            <w:shd w:val="clear" w:color="auto" w:fill="C6EFCE"/>
          </w:tcPr>
          <w:p w14:paraId="248632E4" w14:textId="77777777" w:rsidR="00067A3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Kopsavilkuma dokuments, kurā pienācīgi pamatots, kā tika apmierinoši sasniegts mērķis, kopā ar atbilstošām saitēm uz pamatojošajiem dokumentiem, kas noteikti atskaites punkta aprakstā. Šā dokumenta pielikumā iekļauj ziņojumu, kas ir noteikts atskaites punkta aprakstā.</w:t>
            </w:r>
          </w:p>
        </w:tc>
        <w:tc>
          <w:tcPr>
            <w:tcW w:w="1707" w:type="dxa"/>
            <w:tcBorders>
              <w:top w:val="single" w:sz="4" w:space="0" w:color="auto"/>
              <w:left w:val="single" w:sz="4" w:space="0" w:color="auto"/>
              <w:bottom w:val="single" w:sz="4" w:space="0" w:color="auto"/>
              <w:right w:val="single" w:sz="4" w:space="0" w:color="auto"/>
            </w:tcBorders>
            <w:shd w:val="clear" w:color="auto" w:fill="C6EFCE"/>
          </w:tcPr>
          <w:p w14:paraId="4B5B16D7" w14:textId="2DFF55E0" w:rsidR="00067A32" w:rsidRPr="008635F8" w:rsidRDefault="00067A32" w:rsidP="00E147E0">
            <w:pPr>
              <w:widowControl w:val="0"/>
              <w:spacing w:after="0" w:line="240" w:lineRule="auto"/>
              <w:ind w:left="57" w:right="57"/>
              <w:rPr>
                <w:rFonts w:ascii="Times New Roman" w:hAnsi="Times New Roman" w:cs="Times New Roman"/>
                <w:noProof/>
                <w:sz w:val="18"/>
                <w:szCs w:val="18"/>
              </w:rPr>
            </w:pPr>
            <w:r w:rsidRPr="008635F8">
              <w:rPr>
                <w:rFonts w:ascii="Times New Roman" w:hAnsi="Times New Roman"/>
                <w:sz w:val="18"/>
                <w:szCs w:val="18"/>
              </w:rPr>
              <w:t xml:space="preserve">Vienojoties ar katastrofu pārvaldības sistēmā iesaistītajām institūcijām, Iekšlietu ministrija publicē informatīvu ziņojumu Ministru kabinetam par katastrofu pārvaldības centru būvlaukumiem, būvniecības platībām un izmaksām katrā būvlaukumā, kā arī orientējošu grafiku katrā teritorijā īstenojamo katastrofu pārvaldības plānu īstenošanai un par būvlīgumu slēgšanu, </w:t>
            </w:r>
            <w:r w:rsidRPr="008635F8">
              <w:rPr>
                <w:rFonts w:ascii="Times New Roman" w:hAnsi="Times New Roman"/>
                <w:sz w:val="18"/>
                <w:szCs w:val="18"/>
              </w:rPr>
              <w:lastRenderedPageBreak/>
              <w:t>t. sk. ziņojumā. Ziņojumā iekļauj arī vispārēju reformas progresa ziņojumu un īstenošanas plānu attiecībā uz šādiem reformas komponentiem: i) tehniskās kapacitātes celšana (jo īpaši attiecībā uz specializēto reaģēšanas un glābšanas transportlīdzekļu modernizēšanu); ii) saistīto katastrofu pārvaldības IKT risinājumu īstenošanas grafiks un iii) progress mācību un preventīvo pasākumu īstenošanas jomā.</w:t>
            </w:r>
          </w:p>
        </w:tc>
      </w:tr>
      <w:tr w:rsidR="0041037D" w:rsidRPr="008635F8" w14:paraId="2B57C224" w14:textId="77777777" w:rsidTr="0044659E">
        <w:trPr>
          <w:trHeight w:val="1200"/>
        </w:trPr>
        <w:tc>
          <w:tcPr>
            <w:tcW w:w="280" w:type="dxa"/>
            <w:tcBorders>
              <w:top w:val="single" w:sz="4" w:space="0" w:color="auto"/>
              <w:left w:val="single" w:sz="4" w:space="0" w:color="auto"/>
              <w:bottom w:val="single" w:sz="4" w:space="0" w:color="auto"/>
              <w:right w:val="single" w:sz="4" w:space="0" w:color="auto"/>
            </w:tcBorders>
            <w:shd w:val="clear" w:color="auto" w:fill="C6EFCE"/>
          </w:tcPr>
          <w:p w14:paraId="7EFDE6E7"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lastRenderedPageBreak/>
              <w:t>23</w:t>
            </w:r>
          </w:p>
        </w:tc>
        <w:tc>
          <w:tcPr>
            <w:tcW w:w="1416" w:type="dxa"/>
            <w:tcBorders>
              <w:top w:val="single" w:sz="4" w:space="0" w:color="auto"/>
              <w:left w:val="single" w:sz="4" w:space="0" w:color="auto"/>
              <w:bottom w:val="single" w:sz="4" w:space="0" w:color="auto"/>
              <w:right w:val="single" w:sz="4" w:space="0" w:color="auto"/>
            </w:tcBorders>
            <w:shd w:val="clear" w:color="auto" w:fill="C6EFCE"/>
          </w:tcPr>
          <w:p w14:paraId="6D901C75"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b/>
                <w:noProof/>
                <w:sz w:val="18"/>
                <w:szCs w:val="18"/>
              </w:rPr>
            </w:pPr>
            <w:r w:rsidRPr="008635F8">
              <w:rPr>
                <w:rFonts w:ascii="Times New Roman" w:hAnsi="Times New Roman"/>
                <w:b/>
                <w:sz w:val="18"/>
                <w:szCs w:val="18"/>
              </w:rPr>
              <w:t>1.3.1.1.i. Katastrofu pārvaldības sistēmas adaptācija klimata pārmaiņām, glābšanas un ātrās reaģēšanas dienesti</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4CA0B980"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Mērķis</w:t>
            </w:r>
          </w:p>
        </w:tc>
        <w:tc>
          <w:tcPr>
            <w:tcW w:w="1100" w:type="dxa"/>
            <w:tcBorders>
              <w:top w:val="single" w:sz="4" w:space="0" w:color="auto"/>
              <w:left w:val="single" w:sz="4" w:space="0" w:color="auto"/>
              <w:bottom w:val="single" w:sz="4" w:space="0" w:color="auto"/>
              <w:right w:val="single" w:sz="4" w:space="0" w:color="auto"/>
            </w:tcBorders>
            <w:shd w:val="clear" w:color="auto" w:fill="C6EFCE"/>
          </w:tcPr>
          <w:p w14:paraId="4CF94D39"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 xml:space="preserve">Katastrofu pārvaldības un ārkārtas reaģēšanas centru ar gandrīz nulles enerģijas patēriņu būvniecība </w:t>
            </w:r>
          </w:p>
        </w:tc>
        <w:tc>
          <w:tcPr>
            <w:tcW w:w="1595" w:type="dxa"/>
            <w:tcBorders>
              <w:top w:val="single" w:sz="4" w:space="0" w:color="auto"/>
              <w:left w:val="single" w:sz="4" w:space="0" w:color="auto"/>
              <w:bottom w:val="single" w:sz="4" w:space="0" w:color="auto"/>
              <w:right w:val="single" w:sz="4" w:space="0" w:color="auto"/>
            </w:tcBorders>
            <w:shd w:val="clear" w:color="auto" w:fill="C6EFCE"/>
          </w:tcPr>
          <w:p w14:paraId="131468DD"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C6EFCE"/>
          </w:tcPr>
          <w:p w14:paraId="1107A202"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Skaits</w:t>
            </w:r>
          </w:p>
        </w:tc>
        <w:tc>
          <w:tcPr>
            <w:tcW w:w="535" w:type="dxa"/>
            <w:tcBorders>
              <w:top w:val="single" w:sz="4" w:space="0" w:color="auto"/>
              <w:left w:val="single" w:sz="4" w:space="0" w:color="auto"/>
              <w:bottom w:val="single" w:sz="4" w:space="0" w:color="auto"/>
              <w:right w:val="single" w:sz="4" w:space="0" w:color="auto"/>
            </w:tcBorders>
            <w:shd w:val="clear" w:color="auto" w:fill="C6EFCE"/>
          </w:tcPr>
          <w:p w14:paraId="6CDED149"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0</w:t>
            </w:r>
          </w:p>
        </w:tc>
        <w:tc>
          <w:tcPr>
            <w:tcW w:w="926" w:type="dxa"/>
            <w:tcBorders>
              <w:top w:val="single" w:sz="4" w:space="0" w:color="auto"/>
              <w:left w:val="single" w:sz="4" w:space="0" w:color="auto"/>
              <w:bottom w:val="single" w:sz="4" w:space="0" w:color="auto"/>
              <w:right w:val="single" w:sz="4" w:space="0" w:color="auto"/>
            </w:tcBorders>
            <w:shd w:val="clear" w:color="auto" w:fill="C6EFCE"/>
          </w:tcPr>
          <w:p w14:paraId="3B0FBDF4"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8</w:t>
            </w:r>
          </w:p>
        </w:tc>
        <w:tc>
          <w:tcPr>
            <w:tcW w:w="523" w:type="dxa"/>
            <w:tcBorders>
              <w:top w:val="single" w:sz="4" w:space="0" w:color="auto"/>
              <w:left w:val="single" w:sz="4" w:space="0" w:color="auto"/>
              <w:bottom w:val="single" w:sz="4" w:space="0" w:color="auto"/>
              <w:right w:val="single" w:sz="4" w:space="0" w:color="auto"/>
            </w:tcBorders>
            <w:shd w:val="clear" w:color="auto" w:fill="C6EFCE"/>
          </w:tcPr>
          <w:p w14:paraId="65F70AC9"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1. cet.</w:t>
            </w:r>
          </w:p>
        </w:tc>
        <w:tc>
          <w:tcPr>
            <w:tcW w:w="568" w:type="dxa"/>
            <w:tcBorders>
              <w:top w:val="single" w:sz="4" w:space="0" w:color="auto"/>
              <w:left w:val="single" w:sz="4" w:space="0" w:color="auto"/>
              <w:bottom w:val="single" w:sz="4" w:space="0" w:color="auto"/>
              <w:right w:val="single" w:sz="4" w:space="0" w:color="auto"/>
            </w:tcBorders>
            <w:shd w:val="clear" w:color="auto" w:fill="C6EFCE"/>
          </w:tcPr>
          <w:p w14:paraId="5165B65B"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2026</w:t>
            </w:r>
          </w:p>
        </w:tc>
        <w:tc>
          <w:tcPr>
            <w:tcW w:w="1019" w:type="dxa"/>
            <w:tcBorders>
              <w:top w:val="single" w:sz="4" w:space="0" w:color="auto"/>
              <w:left w:val="single" w:sz="4" w:space="0" w:color="auto"/>
              <w:bottom w:val="single" w:sz="4" w:space="0" w:color="auto"/>
              <w:right w:val="single" w:sz="4" w:space="0" w:color="auto"/>
            </w:tcBorders>
            <w:shd w:val="clear" w:color="auto" w:fill="C6EFCE"/>
          </w:tcPr>
          <w:p w14:paraId="4611AC22"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r w:rsidRPr="008635F8">
              <w:rPr>
                <w:rFonts w:ascii="Times New Roman" w:hAnsi="Times New Roman"/>
                <w:sz w:val="18"/>
                <w:szCs w:val="18"/>
              </w:rPr>
              <w:t xml:space="preserve">Iekšlietu ministrija ir atbildīga par ziņošanu to informatīvo ziņojumu satvarā, kas tiek sniegti Ministru kabinetam par </w:t>
            </w:r>
            <w:r w:rsidRPr="008635F8">
              <w:rPr>
                <w:rFonts w:ascii="Times New Roman" w:hAnsi="Times New Roman"/>
                <w:sz w:val="18"/>
                <w:szCs w:val="18"/>
              </w:rPr>
              <w:lastRenderedPageBreak/>
              <w:t>investīciju īstenošanu. Par īstenošanu ir atbildīga Nodrošinājuma valsts aģentūra.</w:t>
            </w:r>
          </w:p>
        </w:tc>
        <w:tc>
          <w:tcPr>
            <w:tcW w:w="996" w:type="dxa"/>
            <w:tcBorders>
              <w:top w:val="single" w:sz="4" w:space="0" w:color="auto"/>
              <w:left w:val="single" w:sz="4" w:space="0" w:color="auto"/>
              <w:bottom w:val="single" w:sz="4" w:space="0" w:color="auto"/>
              <w:right w:val="single" w:sz="4" w:space="0" w:color="auto"/>
            </w:tcBorders>
            <w:shd w:val="clear" w:color="auto" w:fill="C6EFCE"/>
          </w:tcPr>
          <w:p w14:paraId="2F055D7C"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p>
        </w:tc>
        <w:tc>
          <w:tcPr>
            <w:tcW w:w="1486" w:type="dxa"/>
            <w:tcBorders>
              <w:top w:val="single" w:sz="4" w:space="0" w:color="auto"/>
              <w:left w:val="single" w:sz="4" w:space="0" w:color="auto"/>
              <w:bottom w:val="single" w:sz="4" w:space="0" w:color="auto"/>
              <w:right w:val="single" w:sz="4" w:space="0" w:color="auto"/>
            </w:tcBorders>
            <w:shd w:val="clear" w:color="auto" w:fill="C6EFCE"/>
          </w:tcPr>
          <w:p w14:paraId="7BE01C4F" w14:textId="77777777" w:rsidR="00067A3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Kopsavilkuma dokuments, kurā pienācīgi pamatots, kā tika apmierinoši sasniegts mērķis, kopā ar atbilstošām saitēm uz pamatojošajiem pierādījumiem.</w:t>
            </w:r>
          </w:p>
          <w:p w14:paraId="5FAB00BA" w14:textId="77777777" w:rsidR="00067A3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 xml:space="preserve">Šā dokumenta </w:t>
            </w:r>
            <w:r w:rsidRPr="008635F8">
              <w:rPr>
                <w:rFonts w:ascii="Times New Roman" w:hAnsi="Times New Roman"/>
                <w:sz w:val="18"/>
                <w:szCs w:val="18"/>
              </w:rPr>
              <w:lastRenderedPageBreak/>
              <w:t>pielikumā iekļauj:</w:t>
            </w:r>
          </w:p>
          <w:p w14:paraId="035FF01A" w14:textId="4AD94FA0" w:rsidR="00481482" w:rsidRPr="008635F8" w:rsidRDefault="00F80924"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a) reaģēšanas centru būvniecības pabeigšanas apliecinājumu kopijas;</w:t>
            </w:r>
          </w:p>
          <w:p w14:paraId="53A440FC" w14:textId="6FCCA7E1" w:rsidR="00481482" w:rsidRPr="008635F8" w:rsidRDefault="00F80924" w:rsidP="00E147E0">
            <w:pPr>
              <w:widowControl w:val="0"/>
              <w:spacing w:after="0" w:line="240" w:lineRule="auto"/>
              <w:ind w:left="57" w:right="57"/>
              <w:rPr>
                <w:rFonts w:ascii="Times New Roman" w:hAnsi="Times New Roman"/>
                <w:noProof/>
                <w:sz w:val="18"/>
                <w:szCs w:val="18"/>
              </w:rPr>
            </w:pPr>
            <w:r w:rsidRPr="008635F8">
              <w:rPr>
                <w:rFonts w:ascii="Times New Roman" w:hAnsi="Times New Roman"/>
                <w:sz w:val="18"/>
                <w:szCs w:val="18"/>
              </w:rPr>
              <w:t>b) jaunuzcelto katastrofu pārvaldības un ārkārtas reaģēšanas centru nodošanas ekspluatācijā apliecinājumu kopijas;</w:t>
            </w:r>
          </w:p>
          <w:p w14:paraId="47DCD8FE" w14:textId="2EE52ABB" w:rsidR="00067A32" w:rsidRPr="008635F8" w:rsidRDefault="00F80924"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c) sertifikātus, kas apliecina, ka katastrofu pārvaldības centri ir gandrīz nulles enerģijas ēkas.</w:t>
            </w:r>
          </w:p>
        </w:tc>
        <w:tc>
          <w:tcPr>
            <w:tcW w:w="1707" w:type="dxa"/>
            <w:tcBorders>
              <w:top w:val="single" w:sz="4" w:space="0" w:color="auto"/>
              <w:left w:val="single" w:sz="4" w:space="0" w:color="auto"/>
              <w:bottom w:val="single" w:sz="4" w:space="0" w:color="auto"/>
              <w:right w:val="single" w:sz="4" w:space="0" w:color="auto"/>
            </w:tcBorders>
            <w:shd w:val="clear" w:color="auto" w:fill="C6EFCE"/>
          </w:tcPr>
          <w:p w14:paraId="7E7D634F" w14:textId="28A51E2E" w:rsidR="00067A32" w:rsidRPr="008635F8" w:rsidRDefault="00067A32" w:rsidP="00E147E0">
            <w:pPr>
              <w:widowControl w:val="0"/>
              <w:spacing w:after="0" w:line="240" w:lineRule="auto"/>
              <w:ind w:left="57" w:right="57"/>
              <w:rPr>
                <w:rFonts w:ascii="Times New Roman" w:eastAsiaTheme="minorEastAsia" w:hAnsi="Times New Roman" w:cs="Times New Roman"/>
                <w:noProof/>
                <w:sz w:val="18"/>
                <w:szCs w:val="18"/>
              </w:rPr>
            </w:pPr>
            <w:r w:rsidRPr="008635F8">
              <w:rPr>
                <w:rFonts w:ascii="Times New Roman" w:hAnsi="Times New Roman"/>
                <w:sz w:val="18"/>
                <w:szCs w:val="18"/>
              </w:rPr>
              <w:lastRenderedPageBreak/>
              <w:t>Ekspluatācijā nodoto jaunuzcelto centru skaits. Investīcija tiks izmantota katastrofu pārvaldības centru ar gandrīz nulles enerģijas patēriņu būvniecībai.</w:t>
            </w:r>
          </w:p>
        </w:tc>
      </w:tr>
      <w:tr w:rsidR="0041037D" w:rsidRPr="008635F8" w14:paraId="0377646D" w14:textId="77777777" w:rsidTr="0044659E">
        <w:trPr>
          <w:trHeight w:val="1200"/>
        </w:trPr>
        <w:tc>
          <w:tcPr>
            <w:tcW w:w="280" w:type="dxa"/>
            <w:tcBorders>
              <w:top w:val="single" w:sz="4" w:space="0" w:color="auto"/>
              <w:left w:val="single" w:sz="4" w:space="0" w:color="auto"/>
              <w:bottom w:val="single" w:sz="4" w:space="0" w:color="auto"/>
              <w:right w:val="single" w:sz="4" w:space="0" w:color="auto"/>
            </w:tcBorders>
            <w:shd w:val="clear" w:color="auto" w:fill="C6EFCE"/>
          </w:tcPr>
          <w:p w14:paraId="60BF9D0B"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24</w:t>
            </w:r>
          </w:p>
        </w:tc>
        <w:tc>
          <w:tcPr>
            <w:tcW w:w="1416" w:type="dxa"/>
            <w:tcBorders>
              <w:top w:val="single" w:sz="4" w:space="0" w:color="auto"/>
              <w:left w:val="single" w:sz="4" w:space="0" w:color="auto"/>
              <w:bottom w:val="single" w:sz="4" w:space="0" w:color="auto"/>
              <w:right w:val="single" w:sz="4" w:space="0" w:color="auto"/>
            </w:tcBorders>
            <w:shd w:val="clear" w:color="auto" w:fill="C6EFCE"/>
          </w:tcPr>
          <w:p w14:paraId="31F89127"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b/>
                <w:noProof/>
                <w:sz w:val="18"/>
                <w:szCs w:val="18"/>
              </w:rPr>
            </w:pPr>
            <w:r w:rsidRPr="008635F8">
              <w:rPr>
                <w:rFonts w:ascii="Times New Roman" w:hAnsi="Times New Roman"/>
                <w:b/>
                <w:sz w:val="18"/>
                <w:szCs w:val="18"/>
              </w:rPr>
              <w:t>1.3.1.r. Katastrofu pārvaldības sistēmas adaptācija klimata pārmaiņām, glābšanas un ātrās reaģēšanas dienesti</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27E55D10"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Mērķis</w:t>
            </w:r>
          </w:p>
        </w:tc>
        <w:tc>
          <w:tcPr>
            <w:tcW w:w="1100" w:type="dxa"/>
            <w:tcBorders>
              <w:top w:val="single" w:sz="4" w:space="0" w:color="auto"/>
              <w:left w:val="single" w:sz="4" w:space="0" w:color="auto"/>
              <w:bottom w:val="single" w:sz="4" w:space="0" w:color="auto"/>
              <w:right w:val="single" w:sz="4" w:space="0" w:color="auto"/>
            </w:tcBorders>
            <w:shd w:val="clear" w:color="auto" w:fill="C6EFCE"/>
          </w:tcPr>
          <w:p w14:paraId="252FE4C3"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Dabas ugunsgrēku kopējā ugunsplatība 5 gadu laikposmā (2020.–2024. gads)</w:t>
            </w:r>
          </w:p>
        </w:tc>
        <w:tc>
          <w:tcPr>
            <w:tcW w:w="1595" w:type="dxa"/>
            <w:tcBorders>
              <w:top w:val="single" w:sz="4" w:space="0" w:color="auto"/>
              <w:left w:val="single" w:sz="4" w:space="0" w:color="auto"/>
              <w:bottom w:val="single" w:sz="4" w:space="0" w:color="auto"/>
              <w:right w:val="single" w:sz="4" w:space="0" w:color="auto"/>
            </w:tcBorders>
            <w:shd w:val="clear" w:color="auto" w:fill="C6EFCE"/>
          </w:tcPr>
          <w:p w14:paraId="3967DE4A"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C6EFCE"/>
          </w:tcPr>
          <w:p w14:paraId="60C7815E"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Platība (hektāri)</w:t>
            </w:r>
          </w:p>
        </w:tc>
        <w:tc>
          <w:tcPr>
            <w:tcW w:w="535" w:type="dxa"/>
            <w:tcBorders>
              <w:top w:val="single" w:sz="4" w:space="0" w:color="auto"/>
              <w:left w:val="single" w:sz="4" w:space="0" w:color="auto"/>
              <w:bottom w:val="single" w:sz="4" w:space="0" w:color="auto"/>
              <w:right w:val="single" w:sz="4" w:space="0" w:color="auto"/>
            </w:tcBorders>
            <w:shd w:val="clear" w:color="auto" w:fill="C6EFCE"/>
          </w:tcPr>
          <w:p w14:paraId="60BACDBC"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3923,1</w:t>
            </w:r>
          </w:p>
        </w:tc>
        <w:tc>
          <w:tcPr>
            <w:tcW w:w="926" w:type="dxa"/>
            <w:tcBorders>
              <w:top w:val="single" w:sz="4" w:space="0" w:color="auto"/>
              <w:left w:val="single" w:sz="4" w:space="0" w:color="auto"/>
              <w:bottom w:val="single" w:sz="4" w:space="0" w:color="auto"/>
              <w:right w:val="single" w:sz="4" w:space="0" w:color="auto"/>
            </w:tcBorders>
            <w:shd w:val="clear" w:color="auto" w:fill="C6EFCE"/>
          </w:tcPr>
          <w:p w14:paraId="79739649"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2635,3</w:t>
            </w:r>
          </w:p>
        </w:tc>
        <w:tc>
          <w:tcPr>
            <w:tcW w:w="523" w:type="dxa"/>
            <w:tcBorders>
              <w:top w:val="single" w:sz="4" w:space="0" w:color="auto"/>
              <w:left w:val="single" w:sz="4" w:space="0" w:color="auto"/>
              <w:bottom w:val="single" w:sz="4" w:space="0" w:color="auto"/>
              <w:right w:val="single" w:sz="4" w:space="0" w:color="auto"/>
            </w:tcBorders>
            <w:shd w:val="clear" w:color="auto" w:fill="C6EFCE"/>
          </w:tcPr>
          <w:p w14:paraId="62596B6C"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1. cet.</w:t>
            </w:r>
          </w:p>
        </w:tc>
        <w:tc>
          <w:tcPr>
            <w:tcW w:w="568" w:type="dxa"/>
            <w:tcBorders>
              <w:top w:val="single" w:sz="4" w:space="0" w:color="auto"/>
              <w:left w:val="single" w:sz="4" w:space="0" w:color="auto"/>
              <w:bottom w:val="single" w:sz="4" w:space="0" w:color="auto"/>
              <w:right w:val="single" w:sz="4" w:space="0" w:color="auto"/>
            </w:tcBorders>
            <w:shd w:val="clear" w:color="auto" w:fill="C6EFCE"/>
          </w:tcPr>
          <w:p w14:paraId="1B7B06A6"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2025</w:t>
            </w:r>
          </w:p>
        </w:tc>
        <w:tc>
          <w:tcPr>
            <w:tcW w:w="1019" w:type="dxa"/>
            <w:tcBorders>
              <w:top w:val="single" w:sz="4" w:space="0" w:color="auto"/>
              <w:left w:val="single" w:sz="4" w:space="0" w:color="auto"/>
              <w:bottom w:val="single" w:sz="4" w:space="0" w:color="auto"/>
              <w:right w:val="single" w:sz="4" w:space="0" w:color="auto"/>
            </w:tcBorders>
            <w:shd w:val="clear" w:color="auto" w:fill="C6EFCE"/>
          </w:tcPr>
          <w:p w14:paraId="59BABDCF"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r w:rsidRPr="008635F8">
              <w:rPr>
                <w:rFonts w:ascii="Times New Roman" w:hAnsi="Times New Roman"/>
                <w:sz w:val="18"/>
                <w:szCs w:val="18"/>
              </w:rPr>
              <w:t>Valsts ugunsdzēsības un glābšanas dienests ar ziņojumiem par sniegumu 2020.–2024. gadā nodrošinās pamatu snieguma ziņojuma sagatavoša</w:t>
            </w:r>
            <w:r w:rsidRPr="008635F8">
              <w:rPr>
                <w:rFonts w:ascii="Times New Roman" w:hAnsi="Times New Roman"/>
                <w:sz w:val="18"/>
                <w:szCs w:val="18"/>
              </w:rPr>
              <w:lastRenderedPageBreak/>
              <w:t>nai par noteikto rādītāju. Iekšlietu ministrija kā atbildīgā iestāde par ziņošanu saistībā ar ANM plāna īstenošanu sagatavos informatīvo ziņojumu Ministru kabinetam par investīciju īstenošanu, tostarp ziņojumus par rādītāju izpildi.</w:t>
            </w:r>
          </w:p>
        </w:tc>
        <w:tc>
          <w:tcPr>
            <w:tcW w:w="996" w:type="dxa"/>
            <w:tcBorders>
              <w:top w:val="single" w:sz="4" w:space="0" w:color="auto"/>
              <w:left w:val="single" w:sz="4" w:space="0" w:color="auto"/>
              <w:bottom w:val="single" w:sz="4" w:space="0" w:color="auto"/>
              <w:right w:val="single" w:sz="4" w:space="0" w:color="auto"/>
            </w:tcBorders>
            <w:shd w:val="clear" w:color="auto" w:fill="C6EFCE"/>
          </w:tcPr>
          <w:p w14:paraId="6C108E2E"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p>
        </w:tc>
        <w:tc>
          <w:tcPr>
            <w:tcW w:w="1486" w:type="dxa"/>
            <w:tcBorders>
              <w:top w:val="single" w:sz="4" w:space="0" w:color="auto"/>
              <w:left w:val="single" w:sz="4" w:space="0" w:color="auto"/>
              <w:bottom w:val="single" w:sz="4" w:space="0" w:color="auto"/>
              <w:right w:val="single" w:sz="4" w:space="0" w:color="auto"/>
            </w:tcBorders>
            <w:shd w:val="clear" w:color="auto" w:fill="C6EFCE"/>
          </w:tcPr>
          <w:p w14:paraId="522B6EB3" w14:textId="77777777" w:rsidR="00067A32" w:rsidRPr="008635F8" w:rsidRDefault="00067A32" w:rsidP="00E147E0">
            <w:pPr>
              <w:widowControl w:val="0"/>
              <w:spacing w:after="0" w:line="240" w:lineRule="auto"/>
              <w:ind w:left="57" w:right="57"/>
              <w:rPr>
                <w:rFonts w:ascii="Times New Roman" w:hAnsi="Times New Roman"/>
                <w:noProof/>
                <w:sz w:val="18"/>
                <w:szCs w:val="18"/>
              </w:rPr>
            </w:pPr>
            <w:r w:rsidRPr="008635F8">
              <w:rPr>
                <w:rFonts w:ascii="Times New Roman" w:hAnsi="Times New Roman"/>
                <w:sz w:val="18"/>
                <w:szCs w:val="18"/>
              </w:rPr>
              <w:t xml:space="preserve">Kopsavilkuma dokuments, kurā pienācīgi pamatots, kā tika apmierinoši sasniegts mērķis (tostarp visi būtiskie elementi), kopā ar atbilstošām saitēm uz pamatojošajiem pierādījumiem. Šā dokumenta pielikumā iekļauj </w:t>
            </w:r>
            <w:r w:rsidRPr="008635F8">
              <w:rPr>
                <w:rFonts w:ascii="Times New Roman" w:hAnsi="Times New Roman"/>
                <w:sz w:val="18"/>
                <w:szCs w:val="18"/>
              </w:rPr>
              <w:lastRenderedPageBreak/>
              <w:t>Valsts ugunsdzēsības un glābšanas dienesta ziņojumu.</w:t>
            </w:r>
          </w:p>
        </w:tc>
        <w:tc>
          <w:tcPr>
            <w:tcW w:w="1707" w:type="dxa"/>
            <w:tcBorders>
              <w:top w:val="single" w:sz="4" w:space="0" w:color="auto"/>
              <w:left w:val="single" w:sz="4" w:space="0" w:color="auto"/>
              <w:bottom w:val="single" w:sz="4" w:space="0" w:color="auto"/>
              <w:right w:val="single" w:sz="4" w:space="0" w:color="auto"/>
            </w:tcBorders>
            <w:shd w:val="clear" w:color="auto" w:fill="C6EFCE"/>
          </w:tcPr>
          <w:p w14:paraId="6742A9C2" w14:textId="6983FC13" w:rsidR="00067A32" w:rsidRPr="008635F8" w:rsidRDefault="00067A32" w:rsidP="00E147E0">
            <w:pPr>
              <w:widowControl w:val="0"/>
              <w:spacing w:after="0" w:line="240" w:lineRule="auto"/>
              <w:ind w:left="57" w:right="57"/>
              <w:rPr>
                <w:rFonts w:ascii="Times New Roman" w:hAnsi="Times New Roman"/>
                <w:noProof/>
                <w:sz w:val="18"/>
                <w:szCs w:val="18"/>
              </w:rPr>
            </w:pPr>
            <w:r w:rsidRPr="008635F8">
              <w:rPr>
                <w:rFonts w:ascii="Times New Roman" w:hAnsi="Times New Roman"/>
                <w:sz w:val="18"/>
                <w:szCs w:val="18"/>
              </w:rPr>
              <w:lastRenderedPageBreak/>
              <w:t xml:space="preserve">Dabas ugunsgrēku skartā kopējā platība, kas aprēķināta kā vidējais rādītājs par pēdējiem četriem gadiem pēc kārtas. Dabas ugunsgrēki ir kūdras, sausas zāles, kūlas, krūmu, koku, kultūraugu rugāju, siena, meldru un niedru, zemsegas, atsevišķu koku ugunsgrēki saskaņā ar Valsts </w:t>
            </w:r>
            <w:r w:rsidRPr="008635F8">
              <w:rPr>
                <w:rFonts w:ascii="Times New Roman" w:hAnsi="Times New Roman"/>
                <w:sz w:val="18"/>
                <w:szCs w:val="18"/>
              </w:rPr>
              <w:lastRenderedPageBreak/>
              <w:t>ugunsdzēsības un glābšanas dienesta kumulatīvo statistiku.</w:t>
            </w:r>
          </w:p>
        </w:tc>
      </w:tr>
      <w:tr w:rsidR="0041037D" w:rsidRPr="008635F8" w14:paraId="3F0576F4" w14:textId="77777777" w:rsidTr="0044659E">
        <w:trPr>
          <w:trHeight w:val="1200"/>
        </w:trPr>
        <w:tc>
          <w:tcPr>
            <w:tcW w:w="280" w:type="dxa"/>
            <w:tcBorders>
              <w:top w:val="single" w:sz="4" w:space="0" w:color="auto"/>
              <w:left w:val="single" w:sz="4" w:space="0" w:color="auto"/>
              <w:bottom w:val="single" w:sz="4" w:space="0" w:color="auto"/>
              <w:right w:val="single" w:sz="4" w:space="0" w:color="auto"/>
            </w:tcBorders>
            <w:shd w:val="clear" w:color="auto" w:fill="C6EFCE"/>
          </w:tcPr>
          <w:p w14:paraId="1654611F"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lastRenderedPageBreak/>
              <w:t>25</w:t>
            </w:r>
          </w:p>
        </w:tc>
        <w:tc>
          <w:tcPr>
            <w:tcW w:w="1416" w:type="dxa"/>
            <w:tcBorders>
              <w:top w:val="single" w:sz="4" w:space="0" w:color="auto"/>
              <w:left w:val="single" w:sz="4" w:space="0" w:color="auto"/>
              <w:bottom w:val="single" w:sz="4" w:space="0" w:color="auto"/>
              <w:right w:val="single" w:sz="4" w:space="0" w:color="auto"/>
            </w:tcBorders>
            <w:shd w:val="clear" w:color="auto" w:fill="C6EFCE"/>
          </w:tcPr>
          <w:p w14:paraId="3E1EAC97"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b/>
                <w:bCs/>
                <w:noProof/>
                <w:sz w:val="18"/>
                <w:szCs w:val="18"/>
              </w:rPr>
            </w:pPr>
            <w:r w:rsidRPr="008635F8">
              <w:rPr>
                <w:rFonts w:ascii="Times New Roman" w:hAnsi="Times New Roman"/>
                <w:b/>
                <w:sz w:val="18"/>
                <w:szCs w:val="18"/>
              </w:rPr>
              <w:t>1.3.1.2.i. Investīcijas plūdu risku mazināšanas infrastruktūrā</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39CFFDE3"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Atskaites punkts</w:t>
            </w:r>
          </w:p>
        </w:tc>
        <w:tc>
          <w:tcPr>
            <w:tcW w:w="1100" w:type="dxa"/>
            <w:tcBorders>
              <w:top w:val="single" w:sz="4" w:space="0" w:color="auto"/>
              <w:left w:val="single" w:sz="4" w:space="0" w:color="auto"/>
              <w:bottom w:val="single" w:sz="4" w:space="0" w:color="auto"/>
              <w:right w:val="single" w:sz="4" w:space="0" w:color="auto"/>
            </w:tcBorders>
            <w:shd w:val="clear" w:color="auto" w:fill="C6EFCE"/>
          </w:tcPr>
          <w:p w14:paraId="7B4BCFEB" w14:textId="77777777" w:rsidR="00067A32" w:rsidRPr="008635F8" w:rsidRDefault="00067A32" w:rsidP="00D6290E">
            <w:pPr>
              <w:widowControl w:val="0"/>
              <w:spacing w:after="0" w:line="240" w:lineRule="auto"/>
              <w:ind w:left="57" w:right="57"/>
              <w:jc w:val="both"/>
              <w:rPr>
                <w:rFonts w:ascii="Times New Roman" w:eastAsia="Calibri" w:hAnsi="Times New Roman" w:cs="Times New Roman"/>
                <w:noProof/>
                <w:sz w:val="18"/>
                <w:szCs w:val="18"/>
              </w:rPr>
            </w:pPr>
            <w:r w:rsidRPr="008635F8">
              <w:rPr>
                <w:rFonts w:ascii="Times New Roman" w:hAnsi="Times New Roman"/>
                <w:sz w:val="18"/>
                <w:szCs w:val="18"/>
              </w:rPr>
              <w:t>Būvniecības līgumu slēgšanas tiesības piešķirtas pusei no kopējā atjaunošanu vai pārbūvju skaita</w:t>
            </w:r>
          </w:p>
        </w:tc>
        <w:tc>
          <w:tcPr>
            <w:tcW w:w="1595" w:type="dxa"/>
            <w:tcBorders>
              <w:top w:val="single" w:sz="4" w:space="0" w:color="auto"/>
              <w:left w:val="single" w:sz="4" w:space="0" w:color="auto"/>
              <w:bottom w:val="single" w:sz="4" w:space="0" w:color="auto"/>
              <w:right w:val="single" w:sz="4" w:space="0" w:color="auto"/>
            </w:tcBorders>
            <w:shd w:val="clear" w:color="auto" w:fill="C6EFCE"/>
          </w:tcPr>
          <w:p w14:paraId="26745E23" w14:textId="77777777" w:rsidR="00067A32" w:rsidRPr="008635F8" w:rsidRDefault="00067A32" w:rsidP="00D6290E">
            <w:pPr>
              <w:widowControl w:val="0"/>
              <w:spacing w:after="0" w:line="240" w:lineRule="auto"/>
              <w:ind w:left="57" w:right="57"/>
              <w:jc w:val="both"/>
              <w:rPr>
                <w:rFonts w:ascii="Times New Roman" w:eastAsia="Calibri" w:hAnsi="Times New Roman" w:cs="Times New Roman"/>
                <w:noProof/>
                <w:sz w:val="18"/>
                <w:szCs w:val="18"/>
              </w:rPr>
            </w:pPr>
            <w:r w:rsidRPr="008635F8">
              <w:rPr>
                <w:rFonts w:ascii="Times New Roman" w:hAnsi="Times New Roman"/>
                <w:sz w:val="18"/>
                <w:szCs w:val="18"/>
              </w:rPr>
              <w:t xml:space="preserve">Būvniecības līgumu slēgšanas tiesības piešķirtas pusei no kopējā </w:t>
            </w:r>
            <w:r w:rsidRPr="008635F8">
              <w:rPr>
                <w:rFonts w:ascii="Times New Roman" w:hAnsi="Times New Roman"/>
                <w:color w:val="000000" w:themeColor="text1"/>
                <w:sz w:val="18"/>
                <w:szCs w:val="18"/>
              </w:rPr>
              <w:t>atjaunošanu vai pārbūvju skaita</w:t>
            </w:r>
          </w:p>
        </w:tc>
        <w:tc>
          <w:tcPr>
            <w:tcW w:w="991" w:type="dxa"/>
            <w:tcBorders>
              <w:top w:val="single" w:sz="4" w:space="0" w:color="auto"/>
              <w:left w:val="single" w:sz="4" w:space="0" w:color="auto"/>
              <w:bottom w:val="single" w:sz="4" w:space="0" w:color="auto"/>
              <w:right w:val="single" w:sz="4" w:space="0" w:color="auto"/>
            </w:tcBorders>
            <w:shd w:val="clear" w:color="auto" w:fill="C6EFCE"/>
          </w:tcPr>
          <w:p w14:paraId="594C309E"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w:t>
            </w:r>
          </w:p>
        </w:tc>
        <w:tc>
          <w:tcPr>
            <w:tcW w:w="535" w:type="dxa"/>
            <w:tcBorders>
              <w:top w:val="single" w:sz="4" w:space="0" w:color="auto"/>
              <w:left w:val="single" w:sz="4" w:space="0" w:color="auto"/>
              <w:bottom w:val="single" w:sz="4" w:space="0" w:color="auto"/>
              <w:right w:val="single" w:sz="4" w:space="0" w:color="auto"/>
            </w:tcBorders>
            <w:shd w:val="clear" w:color="auto" w:fill="C6EFCE"/>
          </w:tcPr>
          <w:p w14:paraId="5AF1F750"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0</w:t>
            </w:r>
          </w:p>
        </w:tc>
        <w:tc>
          <w:tcPr>
            <w:tcW w:w="926" w:type="dxa"/>
            <w:tcBorders>
              <w:top w:val="single" w:sz="4" w:space="0" w:color="auto"/>
              <w:left w:val="single" w:sz="4" w:space="0" w:color="auto"/>
              <w:bottom w:val="single" w:sz="4" w:space="0" w:color="auto"/>
              <w:right w:val="single" w:sz="4" w:space="0" w:color="auto"/>
            </w:tcBorders>
            <w:shd w:val="clear" w:color="auto" w:fill="C6EFCE"/>
          </w:tcPr>
          <w:p w14:paraId="0FA990B5"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50</w:t>
            </w:r>
          </w:p>
        </w:tc>
        <w:tc>
          <w:tcPr>
            <w:tcW w:w="523" w:type="dxa"/>
            <w:tcBorders>
              <w:top w:val="single" w:sz="4" w:space="0" w:color="auto"/>
              <w:left w:val="single" w:sz="4" w:space="0" w:color="auto"/>
              <w:bottom w:val="single" w:sz="4" w:space="0" w:color="auto"/>
              <w:right w:val="single" w:sz="4" w:space="0" w:color="auto"/>
            </w:tcBorders>
            <w:shd w:val="clear" w:color="auto" w:fill="C6EFCE"/>
          </w:tcPr>
          <w:p w14:paraId="77211EA8"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4. cet.</w:t>
            </w:r>
          </w:p>
        </w:tc>
        <w:tc>
          <w:tcPr>
            <w:tcW w:w="568" w:type="dxa"/>
            <w:tcBorders>
              <w:top w:val="single" w:sz="4" w:space="0" w:color="auto"/>
              <w:left w:val="single" w:sz="4" w:space="0" w:color="auto"/>
              <w:bottom w:val="single" w:sz="4" w:space="0" w:color="auto"/>
              <w:right w:val="single" w:sz="4" w:space="0" w:color="auto"/>
            </w:tcBorders>
            <w:shd w:val="clear" w:color="auto" w:fill="C6EFCE"/>
          </w:tcPr>
          <w:p w14:paraId="4CA207FE"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2024</w:t>
            </w:r>
          </w:p>
        </w:tc>
        <w:tc>
          <w:tcPr>
            <w:tcW w:w="1019" w:type="dxa"/>
            <w:tcBorders>
              <w:top w:val="single" w:sz="4" w:space="0" w:color="auto"/>
              <w:left w:val="single" w:sz="4" w:space="0" w:color="auto"/>
              <w:bottom w:val="single" w:sz="4" w:space="0" w:color="auto"/>
              <w:right w:val="single" w:sz="4" w:space="0" w:color="auto"/>
            </w:tcBorders>
            <w:shd w:val="clear" w:color="auto" w:fill="C6EFCE"/>
          </w:tcPr>
          <w:p w14:paraId="7F1989F0"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r w:rsidRPr="008635F8">
              <w:rPr>
                <w:rFonts w:ascii="Times New Roman" w:hAnsi="Times New Roman"/>
                <w:sz w:val="18"/>
                <w:szCs w:val="18"/>
              </w:rPr>
              <w:t>Zemkopības ministrija, Zemkopības ministrijas nekustamie īpašumi</w:t>
            </w:r>
          </w:p>
        </w:tc>
        <w:tc>
          <w:tcPr>
            <w:tcW w:w="996" w:type="dxa"/>
            <w:tcBorders>
              <w:top w:val="single" w:sz="4" w:space="0" w:color="auto"/>
              <w:left w:val="single" w:sz="4" w:space="0" w:color="auto"/>
              <w:bottom w:val="single" w:sz="4" w:space="0" w:color="auto"/>
              <w:right w:val="single" w:sz="4" w:space="0" w:color="auto"/>
            </w:tcBorders>
            <w:shd w:val="clear" w:color="auto" w:fill="C6EFCE"/>
          </w:tcPr>
          <w:p w14:paraId="11CDC742"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Kopumā 1.3.1.2.i. pasākumā “Investīcijas plūdu risku mazināšanas infrastruktūrā” ietilpst 21 pretplūdu aizsardzība</w:t>
            </w:r>
            <w:r w:rsidRPr="008635F8">
              <w:rPr>
                <w:rFonts w:ascii="Times New Roman" w:hAnsi="Times New Roman"/>
                <w:sz w:val="18"/>
                <w:szCs w:val="18"/>
              </w:rPr>
              <w:lastRenderedPageBreak/>
              <w:t xml:space="preserve">s projekts. </w:t>
            </w:r>
          </w:p>
        </w:tc>
        <w:tc>
          <w:tcPr>
            <w:tcW w:w="1486" w:type="dxa"/>
            <w:tcBorders>
              <w:top w:val="single" w:sz="4" w:space="0" w:color="auto"/>
              <w:left w:val="single" w:sz="4" w:space="0" w:color="auto"/>
              <w:bottom w:val="single" w:sz="4" w:space="0" w:color="auto"/>
              <w:right w:val="single" w:sz="4" w:space="0" w:color="auto"/>
            </w:tcBorders>
            <w:shd w:val="clear" w:color="auto" w:fill="C6EFCE"/>
          </w:tcPr>
          <w:p w14:paraId="1E61E740" w14:textId="076A5A2B" w:rsidR="00067A32" w:rsidRPr="008635F8" w:rsidRDefault="00067A32" w:rsidP="00E147E0">
            <w:pPr>
              <w:widowControl w:val="0"/>
              <w:spacing w:after="0" w:line="240" w:lineRule="auto"/>
              <w:ind w:left="57" w:right="57"/>
              <w:rPr>
                <w:rFonts w:ascii="Times New Roman" w:hAnsi="Times New Roman"/>
                <w:noProof/>
                <w:sz w:val="18"/>
                <w:szCs w:val="18"/>
              </w:rPr>
            </w:pPr>
            <w:r w:rsidRPr="008635F8">
              <w:rPr>
                <w:rFonts w:ascii="Times New Roman" w:hAnsi="Times New Roman"/>
                <w:sz w:val="18"/>
                <w:szCs w:val="18"/>
              </w:rPr>
              <w:lastRenderedPageBreak/>
              <w:t xml:space="preserve">Kopsavilkuma dokuments, kurā pienācīgi pamatots, kā tika apmierinoši sasniegts mērķis (tostarp visi būtiskie elementi), kopā ar atbilstošām saitēm uz pamatojošajiem pierādījumiem. Šā dokumenta </w:t>
            </w:r>
            <w:r w:rsidRPr="008635F8">
              <w:rPr>
                <w:rFonts w:ascii="Times New Roman" w:hAnsi="Times New Roman"/>
                <w:sz w:val="18"/>
                <w:szCs w:val="18"/>
              </w:rPr>
              <w:lastRenderedPageBreak/>
              <w:t>pielikumā iekļauj sarakstu, kurā uzskaitītas piešķirtās būvniecības līgumu slēgšanas tiesības un sniegts īss apraksts par būvniecību.</w:t>
            </w:r>
          </w:p>
        </w:tc>
        <w:tc>
          <w:tcPr>
            <w:tcW w:w="1707" w:type="dxa"/>
            <w:tcBorders>
              <w:top w:val="single" w:sz="4" w:space="0" w:color="auto"/>
              <w:left w:val="single" w:sz="4" w:space="0" w:color="auto"/>
              <w:bottom w:val="single" w:sz="4" w:space="0" w:color="auto"/>
              <w:right w:val="single" w:sz="4" w:space="0" w:color="auto"/>
            </w:tcBorders>
            <w:shd w:val="clear" w:color="auto" w:fill="C6EFCE"/>
          </w:tcPr>
          <w:p w14:paraId="2CF14589" w14:textId="77777777" w:rsidR="00067A32" w:rsidRPr="008635F8" w:rsidRDefault="00067A32" w:rsidP="00E147E0">
            <w:pPr>
              <w:widowControl w:val="0"/>
              <w:spacing w:after="0" w:line="240" w:lineRule="auto"/>
              <w:ind w:left="57" w:right="57"/>
              <w:rPr>
                <w:rFonts w:ascii="Times New Roman" w:eastAsiaTheme="minorEastAsia" w:hAnsi="Times New Roman" w:cs="Times New Roman"/>
                <w:noProof/>
                <w:sz w:val="18"/>
                <w:szCs w:val="18"/>
              </w:rPr>
            </w:pPr>
            <w:r w:rsidRPr="008635F8">
              <w:rPr>
                <w:rFonts w:ascii="Times New Roman" w:hAnsi="Times New Roman"/>
                <w:sz w:val="18"/>
                <w:szCs w:val="18"/>
              </w:rPr>
              <w:lastRenderedPageBreak/>
              <w:t xml:space="preserve">Līdz 2024. gada 31. decembrim būvniecības līgumu slēgšanas tiesības piešķirtas vismaz 50 % no kopējā </w:t>
            </w:r>
            <w:r w:rsidRPr="008635F8">
              <w:rPr>
                <w:rFonts w:ascii="Times New Roman" w:hAnsi="Times New Roman"/>
                <w:color w:val="000000" w:themeColor="text1"/>
                <w:sz w:val="18"/>
                <w:szCs w:val="18"/>
              </w:rPr>
              <w:t>atjaunošanu vai pārbūvju</w:t>
            </w:r>
            <w:r w:rsidRPr="008635F8">
              <w:rPr>
                <w:rFonts w:ascii="Times New Roman" w:hAnsi="Times New Roman"/>
                <w:sz w:val="18"/>
                <w:szCs w:val="18"/>
              </w:rPr>
              <w:t xml:space="preserve"> skaita.</w:t>
            </w:r>
          </w:p>
        </w:tc>
      </w:tr>
      <w:tr w:rsidR="0041037D" w:rsidRPr="008635F8" w14:paraId="02CAE0A1" w14:textId="77777777" w:rsidTr="0044659E">
        <w:trPr>
          <w:trHeight w:val="1200"/>
        </w:trPr>
        <w:tc>
          <w:tcPr>
            <w:tcW w:w="280" w:type="dxa"/>
            <w:tcBorders>
              <w:top w:val="single" w:sz="4" w:space="0" w:color="auto"/>
              <w:left w:val="single" w:sz="4" w:space="0" w:color="auto"/>
              <w:bottom w:val="single" w:sz="4" w:space="0" w:color="auto"/>
              <w:right w:val="single" w:sz="4" w:space="0" w:color="auto"/>
            </w:tcBorders>
            <w:shd w:val="clear" w:color="auto" w:fill="C6EFCE"/>
          </w:tcPr>
          <w:p w14:paraId="4FB154D8"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r w:rsidRPr="008635F8">
              <w:rPr>
                <w:rFonts w:ascii="Times New Roman" w:hAnsi="Times New Roman"/>
                <w:sz w:val="18"/>
                <w:szCs w:val="18"/>
              </w:rPr>
              <w:t>26</w:t>
            </w:r>
          </w:p>
        </w:tc>
        <w:tc>
          <w:tcPr>
            <w:tcW w:w="1416" w:type="dxa"/>
            <w:tcBorders>
              <w:top w:val="single" w:sz="4" w:space="0" w:color="auto"/>
              <w:left w:val="single" w:sz="4" w:space="0" w:color="auto"/>
              <w:bottom w:val="single" w:sz="4" w:space="0" w:color="auto"/>
              <w:right w:val="single" w:sz="4" w:space="0" w:color="auto"/>
            </w:tcBorders>
            <w:shd w:val="clear" w:color="auto" w:fill="C6EFCE"/>
          </w:tcPr>
          <w:p w14:paraId="6110B304" w14:textId="77777777" w:rsidR="00067A32" w:rsidRPr="008635F8" w:rsidRDefault="00067A32" w:rsidP="00D6290E">
            <w:pPr>
              <w:widowControl w:val="0"/>
              <w:spacing w:after="0" w:line="240" w:lineRule="auto"/>
              <w:ind w:left="57" w:right="57"/>
              <w:jc w:val="both"/>
              <w:rPr>
                <w:rFonts w:ascii="Times New Roman" w:eastAsia="Calibri" w:hAnsi="Times New Roman" w:cs="Times New Roman"/>
                <w:b/>
                <w:bCs/>
                <w:noProof/>
                <w:sz w:val="18"/>
                <w:szCs w:val="18"/>
              </w:rPr>
            </w:pPr>
            <w:r w:rsidRPr="008635F8">
              <w:rPr>
                <w:rFonts w:ascii="Times New Roman" w:hAnsi="Times New Roman"/>
                <w:b/>
                <w:sz w:val="18"/>
                <w:szCs w:val="18"/>
              </w:rPr>
              <w:t>1.3.1.2.i. Investīcijas plūdu risku mazināšanas infrastruktūrā</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58B08468" w14:textId="77777777" w:rsidR="00067A32" w:rsidRPr="008635F8" w:rsidRDefault="00067A32" w:rsidP="00D6290E">
            <w:pPr>
              <w:widowControl w:val="0"/>
              <w:spacing w:after="0" w:line="240" w:lineRule="auto"/>
              <w:ind w:left="57" w:right="57"/>
              <w:jc w:val="both"/>
              <w:rPr>
                <w:rFonts w:ascii="Times New Roman" w:eastAsia="Calibri" w:hAnsi="Times New Roman" w:cs="Times New Roman"/>
                <w:noProof/>
                <w:sz w:val="18"/>
                <w:szCs w:val="18"/>
              </w:rPr>
            </w:pPr>
            <w:r w:rsidRPr="008635F8">
              <w:rPr>
                <w:rFonts w:ascii="Times New Roman" w:hAnsi="Times New Roman"/>
                <w:sz w:val="18"/>
                <w:szCs w:val="18"/>
              </w:rPr>
              <w:t>Mērķis</w:t>
            </w:r>
          </w:p>
        </w:tc>
        <w:tc>
          <w:tcPr>
            <w:tcW w:w="1100" w:type="dxa"/>
            <w:tcBorders>
              <w:top w:val="single" w:sz="4" w:space="0" w:color="auto"/>
              <w:left w:val="single" w:sz="4" w:space="0" w:color="auto"/>
              <w:bottom w:val="single" w:sz="4" w:space="0" w:color="auto"/>
              <w:right w:val="single" w:sz="4" w:space="0" w:color="auto"/>
            </w:tcBorders>
            <w:shd w:val="clear" w:color="auto" w:fill="C6EFCE"/>
          </w:tcPr>
          <w:p w14:paraId="06D46F76" w14:textId="77777777" w:rsidR="00067A32" w:rsidRPr="008635F8" w:rsidRDefault="00067A32" w:rsidP="00D6290E">
            <w:pPr>
              <w:widowControl w:val="0"/>
              <w:spacing w:after="0" w:line="240" w:lineRule="auto"/>
              <w:ind w:left="57" w:right="57"/>
              <w:jc w:val="both"/>
              <w:rPr>
                <w:rFonts w:ascii="Times New Roman" w:eastAsia="Calibri" w:hAnsi="Times New Roman" w:cs="Times New Roman"/>
                <w:noProof/>
                <w:sz w:val="18"/>
                <w:szCs w:val="18"/>
              </w:rPr>
            </w:pPr>
            <w:r w:rsidRPr="008635F8">
              <w:rPr>
                <w:rFonts w:ascii="Times New Roman" w:hAnsi="Times New Roman"/>
                <w:sz w:val="18"/>
                <w:szCs w:val="18"/>
              </w:rPr>
              <w:t>Pabeigto investīciju projektu skaits</w:t>
            </w:r>
          </w:p>
        </w:tc>
        <w:tc>
          <w:tcPr>
            <w:tcW w:w="1595" w:type="dxa"/>
            <w:tcBorders>
              <w:top w:val="single" w:sz="4" w:space="0" w:color="auto"/>
              <w:left w:val="single" w:sz="4" w:space="0" w:color="auto"/>
              <w:bottom w:val="single" w:sz="4" w:space="0" w:color="auto"/>
              <w:right w:val="single" w:sz="4" w:space="0" w:color="auto"/>
            </w:tcBorders>
            <w:shd w:val="clear" w:color="auto" w:fill="C6EFCE"/>
          </w:tcPr>
          <w:p w14:paraId="1EC4C801"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p>
        </w:tc>
        <w:tc>
          <w:tcPr>
            <w:tcW w:w="991" w:type="dxa"/>
            <w:tcBorders>
              <w:top w:val="single" w:sz="4" w:space="0" w:color="auto"/>
              <w:left w:val="single" w:sz="4" w:space="0" w:color="auto"/>
              <w:bottom w:val="single" w:sz="4" w:space="0" w:color="auto"/>
              <w:right w:val="single" w:sz="4" w:space="0" w:color="auto"/>
            </w:tcBorders>
            <w:shd w:val="clear" w:color="auto" w:fill="C6EFCE"/>
          </w:tcPr>
          <w:p w14:paraId="7E39826F" w14:textId="77777777" w:rsidR="00067A32" w:rsidRPr="008635F8" w:rsidRDefault="00067A32" w:rsidP="00D6290E">
            <w:pPr>
              <w:widowControl w:val="0"/>
              <w:spacing w:after="0" w:line="240" w:lineRule="auto"/>
              <w:ind w:left="57" w:right="57"/>
              <w:jc w:val="both"/>
              <w:rPr>
                <w:rFonts w:ascii="Times New Roman" w:eastAsia="Calibri" w:hAnsi="Times New Roman" w:cs="Times New Roman"/>
                <w:noProof/>
                <w:sz w:val="18"/>
                <w:szCs w:val="18"/>
              </w:rPr>
            </w:pPr>
            <w:r w:rsidRPr="008635F8">
              <w:rPr>
                <w:rFonts w:ascii="Times New Roman" w:hAnsi="Times New Roman"/>
                <w:sz w:val="18"/>
                <w:szCs w:val="18"/>
              </w:rPr>
              <w:t>Skaits</w:t>
            </w:r>
          </w:p>
        </w:tc>
        <w:tc>
          <w:tcPr>
            <w:tcW w:w="535" w:type="dxa"/>
            <w:tcBorders>
              <w:top w:val="single" w:sz="4" w:space="0" w:color="auto"/>
              <w:left w:val="single" w:sz="4" w:space="0" w:color="auto"/>
              <w:bottom w:val="single" w:sz="4" w:space="0" w:color="auto"/>
              <w:right w:val="single" w:sz="4" w:space="0" w:color="auto"/>
            </w:tcBorders>
            <w:shd w:val="clear" w:color="auto" w:fill="C6EFCE"/>
          </w:tcPr>
          <w:p w14:paraId="7F4DE5BD" w14:textId="77777777" w:rsidR="00067A32" w:rsidRPr="008635F8" w:rsidRDefault="00067A32" w:rsidP="00D6290E">
            <w:pPr>
              <w:widowControl w:val="0"/>
              <w:spacing w:after="0" w:line="240" w:lineRule="auto"/>
              <w:ind w:left="57" w:right="57"/>
              <w:jc w:val="both"/>
              <w:rPr>
                <w:rFonts w:ascii="Times New Roman" w:eastAsia="Calibri" w:hAnsi="Times New Roman" w:cs="Times New Roman"/>
                <w:noProof/>
                <w:sz w:val="18"/>
                <w:szCs w:val="18"/>
              </w:rPr>
            </w:pPr>
            <w:r w:rsidRPr="008635F8">
              <w:rPr>
                <w:rFonts w:ascii="Times New Roman" w:hAnsi="Times New Roman"/>
                <w:sz w:val="18"/>
                <w:szCs w:val="18"/>
              </w:rPr>
              <w:t>0</w:t>
            </w:r>
          </w:p>
        </w:tc>
        <w:tc>
          <w:tcPr>
            <w:tcW w:w="926" w:type="dxa"/>
            <w:tcBorders>
              <w:top w:val="single" w:sz="4" w:space="0" w:color="auto"/>
              <w:left w:val="single" w:sz="4" w:space="0" w:color="auto"/>
              <w:bottom w:val="single" w:sz="4" w:space="0" w:color="auto"/>
              <w:right w:val="single" w:sz="4" w:space="0" w:color="auto"/>
            </w:tcBorders>
            <w:shd w:val="clear" w:color="auto" w:fill="C6EFCE"/>
          </w:tcPr>
          <w:p w14:paraId="6A7388F5" w14:textId="77777777" w:rsidR="00067A32" w:rsidRPr="008635F8" w:rsidRDefault="00067A32" w:rsidP="00D6290E">
            <w:pPr>
              <w:widowControl w:val="0"/>
              <w:spacing w:after="0" w:line="240" w:lineRule="auto"/>
              <w:ind w:left="57" w:right="57"/>
              <w:jc w:val="both"/>
              <w:rPr>
                <w:rFonts w:ascii="Times New Roman" w:eastAsia="Calibri" w:hAnsi="Times New Roman" w:cs="Times New Roman"/>
                <w:noProof/>
                <w:sz w:val="18"/>
                <w:szCs w:val="18"/>
              </w:rPr>
            </w:pPr>
            <w:r w:rsidRPr="008635F8">
              <w:rPr>
                <w:rFonts w:ascii="Times New Roman" w:hAnsi="Times New Roman"/>
                <w:sz w:val="18"/>
                <w:szCs w:val="18"/>
              </w:rPr>
              <w:t>21</w:t>
            </w:r>
          </w:p>
        </w:tc>
        <w:tc>
          <w:tcPr>
            <w:tcW w:w="523" w:type="dxa"/>
            <w:tcBorders>
              <w:top w:val="single" w:sz="4" w:space="0" w:color="auto"/>
              <w:left w:val="single" w:sz="4" w:space="0" w:color="auto"/>
              <w:bottom w:val="single" w:sz="4" w:space="0" w:color="auto"/>
              <w:right w:val="single" w:sz="4" w:space="0" w:color="auto"/>
            </w:tcBorders>
            <w:shd w:val="clear" w:color="auto" w:fill="C6EFCE"/>
          </w:tcPr>
          <w:p w14:paraId="6D59FE3C" w14:textId="77777777" w:rsidR="00067A32" w:rsidRPr="008635F8" w:rsidRDefault="00067A32" w:rsidP="00D6290E">
            <w:pPr>
              <w:widowControl w:val="0"/>
              <w:spacing w:after="0" w:line="240" w:lineRule="auto"/>
              <w:ind w:left="57" w:right="57"/>
              <w:jc w:val="both"/>
              <w:rPr>
                <w:rFonts w:ascii="Times New Roman" w:eastAsia="Calibri" w:hAnsi="Times New Roman" w:cs="Times New Roman"/>
                <w:noProof/>
                <w:sz w:val="18"/>
                <w:szCs w:val="18"/>
              </w:rPr>
            </w:pPr>
            <w:r w:rsidRPr="008635F8">
              <w:rPr>
                <w:rFonts w:ascii="Times New Roman" w:hAnsi="Times New Roman"/>
                <w:sz w:val="18"/>
                <w:szCs w:val="18"/>
              </w:rPr>
              <w:t>3. cet.</w:t>
            </w:r>
          </w:p>
        </w:tc>
        <w:tc>
          <w:tcPr>
            <w:tcW w:w="568" w:type="dxa"/>
            <w:tcBorders>
              <w:top w:val="single" w:sz="4" w:space="0" w:color="auto"/>
              <w:left w:val="single" w:sz="4" w:space="0" w:color="auto"/>
              <w:bottom w:val="single" w:sz="4" w:space="0" w:color="auto"/>
              <w:right w:val="single" w:sz="4" w:space="0" w:color="auto"/>
            </w:tcBorders>
            <w:shd w:val="clear" w:color="auto" w:fill="C6EFCE"/>
          </w:tcPr>
          <w:p w14:paraId="307B3ED5" w14:textId="77777777" w:rsidR="00067A32" w:rsidRPr="008635F8" w:rsidRDefault="00067A32" w:rsidP="00D6290E">
            <w:pPr>
              <w:widowControl w:val="0"/>
              <w:spacing w:after="0" w:line="240" w:lineRule="auto"/>
              <w:ind w:left="57" w:right="57"/>
              <w:jc w:val="both"/>
              <w:rPr>
                <w:rFonts w:ascii="Times New Roman" w:eastAsia="Calibri" w:hAnsi="Times New Roman" w:cs="Times New Roman"/>
                <w:noProof/>
                <w:sz w:val="18"/>
                <w:szCs w:val="18"/>
              </w:rPr>
            </w:pPr>
            <w:r w:rsidRPr="008635F8">
              <w:rPr>
                <w:rFonts w:ascii="Times New Roman" w:hAnsi="Times New Roman"/>
                <w:sz w:val="18"/>
                <w:szCs w:val="18"/>
              </w:rPr>
              <w:t>2026</w:t>
            </w:r>
          </w:p>
        </w:tc>
        <w:tc>
          <w:tcPr>
            <w:tcW w:w="1019" w:type="dxa"/>
            <w:tcBorders>
              <w:top w:val="single" w:sz="4" w:space="0" w:color="auto"/>
              <w:left w:val="single" w:sz="4" w:space="0" w:color="auto"/>
              <w:bottom w:val="single" w:sz="4" w:space="0" w:color="auto"/>
              <w:right w:val="single" w:sz="4" w:space="0" w:color="auto"/>
            </w:tcBorders>
            <w:shd w:val="clear" w:color="auto" w:fill="C6EFCE"/>
          </w:tcPr>
          <w:p w14:paraId="03262EC0" w14:textId="77777777" w:rsidR="00067A32" w:rsidRPr="008635F8" w:rsidRDefault="00067A32" w:rsidP="00D6290E">
            <w:pPr>
              <w:widowControl w:val="0"/>
              <w:spacing w:after="0" w:line="240" w:lineRule="auto"/>
              <w:ind w:left="57" w:right="57"/>
              <w:jc w:val="both"/>
              <w:rPr>
                <w:rFonts w:ascii="Times New Roman" w:hAnsi="Times New Roman" w:cs="Calibri"/>
                <w:noProof/>
                <w:sz w:val="18"/>
                <w:szCs w:val="18"/>
              </w:rPr>
            </w:pPr>
            <w:r w:rsidRPr="008635F8">
              <w:rPr>
                <w:rFonts w:ascii="Times New Roman" w:hAnsi="Times New Roman"/>
                <w:sz w:val="18"/>
                <w:szCs w:val="18"/>
              </w:rPr>
              <w:t>Zemkopības ministrija, Zemkopības ministrijas nekustamie īpašumi</w:t>
            </w:r>
          </w:p>
        </w:tc>
        <w:tc>
          <w:tcPr>
            <w:tcW w:w="996" w:type="dxa"/>
            <w:tcBorders>
              <w:top w:val="single" w:sz="4" w:space="0" w:color="auto"/>
              <w:left w:val="single" w:sz="4" w:space="0" w:color="auto"/>
              <w:bottom w:val="single" w:sz="4" w:space="0" w:color="auto"/>
              <w:right w:val="single" w:sz="4" w:space="0" w:color="auto"/>
            </w:tcBorders>
            <w:shd w:val="clear" w:color="auto" w:fill="C6EFCE"/>
          </w:tcPr>
          <w:p w14:paraId="6ADC2628" w14:textId="77777777" w:rsidR="00067A32" w:rsidRPr="008635F8" w:rsidRDefault="00067A32" w:rsidP="00D6290E">
            <w:pPr>
              <w:widowControl w:val="0"/>
              <w:spacing w:after="0" w:line="240" w:lineRule="auto"/>
              <w:ind w:left="57" w:right="57"/>
              <w:jc w:val="both"/>
              <w:rPr>
                <w:rFonts w:ascii="Times New Roman" w:eastAsiaTheme="minorEastAsia" w:hAnsi="Times New Roman" w:cs="Times New Roman"/>
                <w:noProof/>
                <w:sz w:val="18"/>
                <w:szCs w:val="18"/>
              </w:rPr>
            </w:pPr>
          </w:p>
        </w:tc>
        <w:tc>
          <w:tcPr>
            <w:tcW w:w="1486" w:type="dxa"/>
            <w:tcBorders>
              <w:top w:val="single" w:sz="4" w:space="0" w:color="auto"/>
              <w:left w:val="single" w:sz="4" w:space="0" w:color="auto"/>
              <w:bottom w:val="single" w:sz="4" w:space="0" w:color="auto"/>
              <w:right w:val="single" w:sz="4" w:space="0" w:color="auto"/>
            </w:tcBorders>
            <w:shd w:val="clear" w:color="auto" w:fill="C6EFCE"/>
          </w:tcPr>
          <w:p w14:paraId="1AB0C565" w14:textId="77777777" w:rsidR="00067A32" w:rsidRPr="008635F8" w:rsidRDefault="00067A32"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Kopsavilkuma dokuments, kurā pienācīgi pamatots, kā tika apmierinoši sasniegts mērķis (tostarp visi būtiskie elementi), kopā ar atbilstošām saitēm uz pamatojošajiem pierādījumiem. Šā dokumenta pielikumā iekļauj:</w:t>
            </w:r>
          </w:p>
          <w:p w14:paraId="6DC002E6" w14:textId="75D80E1D" w:rsidR="00481482" w:rsidRPr="008635F8" w:rsidRDefault="00904A5E"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a) apliecinājumu par mērķa aprakstā minēto projektu pabeigšanu;</w:t>
            </w:r>
          </w:p>
          <w:p w14:paraId="0A8E0780" w14:textId="2292D51E" w:rsidR="00067A32" w:rsidRPr="008635F8" w:rsidRDefault="00904A5E" w:rsidP="00E147E0">
            <w:pPr>
              <w:widowControl w:val="0"/>
              <w:spacing w:after="0" w:line="240" w:lineRule="auto"/>
              <w:ind w:left="57" w:right="57"/>
              <w:rPr>
                <w:rFonts w:ascii="Times New Roman" w:hAnsi="Times New Roman" w:cs="Calibri"/>
                <w:noProof/>
                <w:sz w:val="18"/>
                <w:szCs w:val="18"/>
              </w:rPr>
            </w:pPr>
            <w:r w:rsidRPr="008635F8">
              <w:rPr>
                <w:rFonts w:ascii="Times New Roman" w:hAnsi="Times New Roman"/>
                <w:sz w:val="18"/>
                <w:szCs w:val="18"/>
              </w:rPr>
              <w:t xml:space="preserve">b) īsu katra projekta aprakstu un sīku analīzi par atbilstību principam “nenodarīt būtisku kaitējumu”, kas </w:t>
            </w:r>
            <w:r w:rsidRPr="008635F8">
              <w:rPr>
                <w:rFonts w:ascii="Times New Roman" w:hAnsi="Times New Roman"/>
                <w:sz w:val="18"/>
                <w:szCs w:val="18"/>
              </w:rPr>
              <w:lastRenderedPageBreak/>
              <w:t>noteikts mērķa aprakstā (tostarp saiti uz “attiecīgiem izvērtējumiem”).</w:t>
            </w:r>
          </w:p>
          <w:p w14:paraId="05C263D7" w14:textId="77777777" w:rsidR="00067A32" w:rsidRPr="008635F8" w:rsidRDefault="00067A32" w:rsidP="00E147E0">
            <w:pPr>
              <w:widowControl w:val="0"/>
              <w:spacing w:after="0" w:line="240" w:lineRule="auto"/>
              <w:ind w:left="57" w:right="57"/>
              <w:rPr>
                <w:rFonts w:ascii="Times New Roman" w:hAnsi="Times New Roman" w:cs="Calibri"/>
                <w:noProof/>
                <w:sz w:val="18"/>
                <w:szCs w:val="18"/>
              </w:rPr>
            </w:pPr>
          </w:p>
        </w:tc>
        <w:tc>
          <w:tcPr>
            <w:tcW w:w="1707" w:type="dxa"/>
            <w:tcBorders>
              <w:top w:val="single" w:sz="4" w:space="0" w:color="auto"/>
              <w:left w:val="single" w:sz="4" w:space="0" w:color="auto"/>
              <w:bottom w:val="single" w:sz="4" w:space="0" w:color="auto"/>
              <w:right w:val="single" w:sz="4" w:space="0" w:color="auto"/>
            </w:tcBorders>
            <w:shd w:val="clear" w:color="auto" w:fill="C6EFCE"/>
          </w:tcPr>
          <w:p w14:paraId="1333F7C9" w14:textId="77777777" w:rsidR="00481482" w:rsidRPr="008635F8" w:rsidRDefault="00067A32" w:rsidP="00E147E0">
            <w:pPr>
              <w:widowControl w:val="0"/>
              <w:spacing w:after="0" w:line="240" w:lineRule="auto"/>
              <w:ind w:left="57" w:right="57"/>
              <w:rPr>
                <w:rFonts w:ascii="Times New Roman" w:eastAsiaTheme="minorEastAsia" w:hAnsi="Times New Roman" w:cs="Times New Roman"/>
                <w:noProof/>
                <w:sz w:val="18"/>
                <w:szCs w:val="18"/>
              </w:rPr>
            </w:pPr>
            <w:r w:rsidRPr="008635F8">
              <w:rPr>
                <w:rFonts w:ascii="Times New Roman" w:hAnsi="Times New Roman"/>
                <w:sz w:val="18"/>
                <w:szCs w:val="18"/>
              </w:rPr>
              <w:lastRenderedPageBreak/>
              <w:t>Pabeidz šādus projektus, kas aizsargā pret applūšanas risku:</w:t>
            </w:r>
          </w:p>
          <w:p w14:paraId="3599067E" w14:textId="1611E15D" w:rsidR="00481482" w:rsidRPr="008635F8" w:rsidRDefault="00067A32" w:rsidP="00E147E0">
            <w:pPr>
              <w:pStyle w:val="ListParagraph"/>
              <w:widowControl w:val="0"/>
              <w:numPr>
                <w:ilvl w:val="0"/>
                <w:numId w:val="75"/>
              </w:numPr>
              <w:spacing w:after="0" w:line="240" w:lineRule="auto"/>
              <w:ind w:left="57" w:right="57" w:hanging="9"/>
              <w:contextualSpacing w:val="0"/>
              <w:rPr>
                <w:rFonts w:ascii="Times New Roman" w:eastAsia="Calibri" w:hAnsi="Times New Roman" w:cs="Times New Roman"/>
                <w:noProof/>
                <w:sz w:val="18"/>
                <w:szCs w:val="18"/>
              </w:rPr>
            </w:pPr>
            <w:r w:rsidRPr="008635F8">
              <w:rPr>
                <w:rFonts w:ascii="Times New Roman" w:hAnsi="Times New Roman"/>
                <w:sz w:val="18"/>
                <w:szCs w:val="18"/>
              </w:rPr>
              <w:t>astoņas sūkņu stacijas, tostarp i) Reiņa sūkņu stacija, ii) Ķūļciema sūkņu stacija un iii) Vēžu sūkņu stacija;</w:t>
            </w:r>
          </w:p>
          <w:p w14:paraId="75A64FFA" w14:textId="77777777" w:rsidR="00481482" w:rsidRPr="008635F8" w:rsidRDefault="00067A32" w:rsidP="00E147E0">
            <w:pPr>
              <w:pStyle w:val="ListParagraph"/>
              <w:widowControl w:val="0"/>
              <w:numPr>
                <w:ilvl w:val="0"/>
                <w:numId w:val="75"/>
              </w:numPr>
              <w:spacing w:after="0" w:line="240" w:lineRule="auto"/>
              <w:ind w:left="57" w:right="57" w:firstLine="0"/>
              <w:contextualSpacing w:val="0"/>
              <w:rPr>
                <w:rFonts w:ascii="Times New Roman" w:eastAsia="Calibri" w:hAnsi="Times New Roman" w:cs="Times New Roman"/>
                <w:noProof/>
                <w:sz w:val="18"/>
                <w:szCs w:val="18"/>
              </w:rPr>
            </w:pPr>
            <w:r w:rsidRPr="008635F8">
              <w:rPr>
                <w:rFonts w:ascii="Times New Roman" w:hAnsi="Times New Roman"/>
                <w:sz w:val="18"/>
                <w:szCs w:val="18"/>
              </w:rPr>
              <w:t>divpadsmit aizsargdambji, tostarp i) Bernātu polderis, ii) Bārtas polderis, iii) Rēzeknes kreisā krasta dambis, iv) Ošas poldera dambis;</w:t>
            </w:r>
          </w:p>
          <w:p w14:paraId="718139C7" w14:textId="54A91563" w:rsidR="00067A32" w:rsidRPr="008635F8" w:rsidRDefault="00067A32" w:rsidP="00E147E0">
            <w:pPr>
              <w:pStyle w:val="ListParagraph"/>
              <w:widowControl w:val="0"/>
              <w:numPr>
                <w:ilvl w:val="0"/>
                <w:numId w:val="75"/>
              </w:numPr>
              <w:spacing w:after="0" w:line="240" w:lineRule="auto"/>
              <w:ind w:left="57" w:right="57" w:firstLine="0"/>
              <w:contextualSpacing w:val="0"/>
              <w:rPr>
                <w:rFonts w:ascii="Times New Roman" w:eastAsia="Calibri" w:hAnsi="Times New Roman" w:cs="Times New Roman"/>
                <w:noProof/>
                <w:sz w:val="18"/>
                <w:szCs w:val="18"/>
              </w:rPr>
            </w:pPr>
            <w:r w:rsidRPr="008635F8">
              <w:rPr>
                <w:rFonts w:ascii="Times New Roman" w:hAnsi="Times New Roman"/>
                <w:sz w:val="18"/>
                <w:szCs w:val="18"/>
              </w:rPr>
              <w:t>viens kanāls.</w:t>
            </w:r>
          </w:p>
          <w:p w14:paraId="05928DDE" w14:textId="77777777" w:rsidR="00067A32" w:rsidRPr="008635F8" w:rsidRDefault="00067A32" w:rsidP="00E147E0">
            <w:pPr>
              <w:widowControl w:val="0"/>
              <w:spacing w:after="0" w:line="240" w:lineRule="auto"/>
              <w:ind w:left="57" w:right="57"/>
              <w:textAlignment w:val="baseline"/>
              <w:rPr>
                <w:rFonts w:ascii="Times New Roman" w:eastAsia="Calibri" w:hAnsi="Times New Roman" w:cs="Times New Roman"/>
                <w:noProof/>
                <w:sz w:val="18"/>
                <w:szCs w:val="18"/>
              </w:rPr>
            </w:pPr>
            <w:r w:rsidRPr="008635F8">
              <w:rPr>
                <w:rFonts w:ascii="Times New Roman" w:hAnsi="Times New Roman"/>
                <w:sz w:val="18"/>
                <w:szCs w:val="18"/>
              </w:rPr>
              <w:t xml:space="preserve">Lai nodrošinātu atbilstību principam “nenodarīt būtisku kaitējumu” saskaņā ar Tehniskajiem norādījumiem par </w:t>
            </w:r>
            <w:r w:rsidRPr="008635F8">
              <w:rPr>
                <w:rFonts w:ascii="Times New Roman" w:hAnsi="Times New Roman"/>
                <w:sz w:val="18"/>
                <w:szCs w:val="18"/>
              </w:rPr>
              <w:lastRenderedPageBreak/>
              <w:t>principa “nenodarīt būtisku kaitējumu” piemērošanu (2021/C58/01), pasākums:</w:t>
            </w:r>
          </w:p>
          <w:p w14:paraId="625939D0" w14:textId="1682A280" w:rsidR="00067A32" w:rsidRPr="008635F8" w:rsidRDefault="00F57B88" w:rsidP="00E147E0">
            <w:pPr>
              <w:pStyle w:val="ListParagraph"/>
              <w:widowControl w:val="0"/>
              <w:spacing w:after="0" w:line="240" w:lineRule="auto"/>
              <w:ind w:left="57" w:right="57"/>
              <w:contextualSpacing w:val="0"/>
              <w:textAlignment w:val="baseline"/>
              <w:rPr>
                <w:rFonts w:ascii="Times New Roman" w:eastAsia="Calibri" w:hAnsi="Times New Roman" w:cs="Times New Roman"/>
                <w:noProof/>
                <w:sz w:val="18"/>
                <w:szCs w:val="18"/>
              </w:rPr>
            </w:pPr>
            <w:r w:rsidRPr="008635F8">
              <w:rPr>
                <w:rFonts w:ascii="Times New Roman" w:hAnsi="Times New Roman"/>
                <w:sz w:val="18"/>
                <w:szCs w:val="18"/>
              </w:rPr>
              <w:t>i) attiecīgā gadījumā ietver “attiecīgus izvērtējumus”, kas minēti Dzīvotņu direktīvas 6. panta 3. punktā, lai novērtētu ierosināto pasākumu ietekmi uz aizsargājamām sugām un dzīvotnēm (kā noteikts Putnu direktīvā (Direktīva 2009/147/EK) un Dzīvotņu direktīvā (Padomes Direktīva 92/43/EEK)). Šie attiecīgie izvērtējumi jāveic attiecībā uz visiem projektiem, kas tiek īstenoti bioloģiskās daudzveidības ziņā jutīgās teritorijās vai to tuvumā;</w:t>
            </w:r>
          </w:p>
          <w:p w14:paraId="0DBC51B6" w14:textId="46FF7A09" w:rsidR="00481482" w:rsidRPr="008635F8" w:rsidRDefault="00F57B88" w:rsidP="00E147E0">
            <w:pPr>
              <w:pStyle w:val="ListParagraph"/>
              <w:widowControl w:val="0"/>
              <w:spacing w:after="0" w:line="240" w:lineRule="auto"/>
              <w:ind w:left="57" w:right="57"/>
              <w:contextualSpacing w:val="0"/>
              <w:textAlignment w:val="baseline"/>
              <w:rPr>
                <w:rFonts w:ascii="Times New Roman" w:eastAsia="Calibri" w:hAnsi="Times New Roman" w:cs="Times New Roman"/>
                <w:noProof/>
                <w:sz w:val="18"/>
                <w:szCs w:val="18"/>
              </w:rPr>
            </w:pPr>
            <w:r w:rsidRPr="008635F8">
              <w:rPr>
                <w:rFonts w:ascii="Times New Roman" w:hAnsi="Times New Roman"/>
                <w:sz w:val="18"/>
                <w:szCs w:val="18"/>
              </w:rPr>
              <w:t xml:space="preserve">ii) nodrošina, ka teritorijām, attiecībā uz kurām tiek veikts attiecīgs izvērtējums, ir teritorijai atbilstoši saglabāšanas mērķi un ka ir ieviesti nepieciešamie </w:t>
            </w:r>
            <w:r w:rsidRPr="008635F8">
              <w:rPr>
                <w:rFonts w:ascii="Times New Roman" w:hAnsi="Times New Roman"/>
                <w:sz w:val="18"/>
                <w:szCs w:val="18"/>
              </w:rPr>
              <w:lastRenderedPageBreak/>
              <w:t>aizsardzības pasākumi saskaņā ar Dzīvotņu direktīvu;</w:t>
            </w:r>
          </w:p>
          <w:p w14:paraId="6C4088BE" w14:textId="2F5CBC5A" w:rsidR="00067A32" w:rsidRPr="008635F8" w:rsidRDefault="00F57B88" w:rsidP="00E147E0">
            <w:pPr>
              <w:pStyle w:val="ListParagraph"/>
              <w:widowControl w:val="0"/>
              <w:spacing w:after="0" w:line="240" w:lineRule="auto"/>
              <w:ind w:left="57" w:right="57"/>
              <w:contextualSpacing w:val="0"/>
              <w:textAlignment w:val="baseline"/>
              <w:rPr>
                <w:rFonts w:ascii="Times New Roman" w:eastAsia="Calibri" w:hAnsi="Times New Roman" w:cs="Times New Roman"/>
                <w:noProof/>
                <w:sz w:val="18"/>
                <w:szCs w:val="18"/>
              </w:rPr>
            </w:pPr>
            <w:r w:rsidRPr="008635F8">
              <w:rPr>
                <w:rFonts w:ascii="Times New Roman" w:hAnsi="Times New Roman"/>
                <w:sz w:val="18"/>
                <w:szCs w:val="18"/>
              </w:rPr>
              <w:t>iii) nodrošina pilnīgu atbilstību Ūdens pamatdirektīvai (Direktīva 2000/60/EK) un nepasliktina ūdenstilpju stāvokli atbilstoši šīs direktīvas 4. panta 7. punktam.</w:t>
            </w:r>
          </w:p>
        </w:tc>
      </w:tr>
    </w:tbl>
    <w:p w14:paraId="1DA8642D" w14:textId="77777777" w:rsidR="00481482" w:rsidRPr="00481482" w:rsidRDefault="00481482" w:rsidP="00481482">
      <w:pPr>
        <w:widowControl w:val="0"/>
        <w:spacing w:after="0" w:line="240" w:lineRule="auto"/>
        <w:jc w:val="both"/>
        <w:rPr>
          <w:rFonts w:ascii="Times New Roman" w:hAnsi="Times New Roman" w:cs="Times New Roman"/>
          <w:noProof/>
          <w:sz w:val="24"/>
        </w:rPr>
      </w:pPr>
    </w:p>
    <w:p w14:paraId="4087A1C5" w14:textId="77777777" w:rsidR="00B20686" w:rsidRDefault="00B20686">
      <w:pPr>
        <w:rPr>
          <w:rFonts w:ascii="Times New Roman" w:hAnsi="Times New Roman"/>
          <w:b/>
          <w:sz w:val="24"/>
        </w:rPr>
      </w:pPr>
      <w:r>
        <w:rPr>
          <w:rFonts w:ascii="Times New Roman" w:hAnsi="Times New Roman"/>
          <w:b/>
          <w:sz w:val="24"/>
        </w:rPr>
        <w:br w:type="page"/>
      </w:r>
    </w:p>
    <w:p w14:paraId="097CC62A" w14:textId="17DE26EA" w:rsidR="00067A32" w:rsidRDefault="00067A32" w:rsidP="00F61AF4">
      <w:pPr>
        <w:widowControl w:val="0"/>
        <w:spacing w:after="0" w:line="240" w:lineRule="auto"/>
        <w:ind w:left="567"/>
        <w:jc w:val="both"/>
        <w:rPr>
          <w:rFonts w:ascii="Times New Roman" w:hAnsi="Times New Roman" w:cs="Times New Roman"/>
          <w:b/>
          <w:bCs/>
          <w:noProof/>
          <w:sz w:val="24"/>
          <w:szCs w:val="26"/>
        </w:rPr>
      </w:pPr>
      <w:r>
        <w:rPr>
          <w:rFonts w:ascii="Times New Roman" w:hAnsi="Times New Roman"/>
          <w:b/>
          <w:sz w:val="24"/>
        </w:rPr>
        <w:lastRenderedPageBreak/>
        <w:t>B. KOMPONENTS NR. 2. DIGITĀLĀ TRANSFORMĀCIJA</w:t>
      </w:r>
    </w:p>
    <w:p w14:paraId="33F01466" w14:textId="77777777" w:rsidR="00621075" w:rsidRPr="00481482" w:rsidRDefault="00621075" w:rsidP="00481482">
      <w:pPr>
        <w:widowControl w:val="0"/>
        <w:spacing w:after="0" w:line="240" w:lineRule="auto"/>
        <w:jc w:val="both"/>
        <w:rPr>
          <w:rFonts w:ascii="Times New Roman" w:hAnsi="Times New Roman" w:cs="Times New Roman"/>
          <w:b/>
          <w:bCs/>
          <w:noProof/>
          <w:sz w:val="24"/>
          <w:szCs w:val="26"/>
        </w:rPr>
      </w:pPr>
    </w:p>
    <w:tbl>
      <w:tblPr>
        <w:tblW w:w="5000" w:type="pct"/>
        <w:jc w:val="center"/>
        <w:tblLayout w:type="fixed"/>
        <w:tblCellMar>
          <w:top w:w="28" w:type="dxa"/>
          <w:left w:w="28" w:type="dxa"/>
          <w:bottom w:w="28" w:type="dxa"/>
          <w:right w:w="28" w:type="dxa"/>
        </w:tblCellMar>
        <w:tblLook w:val="04A0" w:firstRow="1" w:lastRow="0" w:firstColumn="1" w:lastColumn="0" w:noHBand="0" w:noVBand="1"/>
      </w:tblPr>
      <w:tblGrid>
        <w:gridCol w:w="281"/>
        <w:gridCol w:w="1098"/>
        <w:gridCol w:w="675"/>
        <w:gridCol w:w="1028"/>
        <w:gridCol w:w="882"/>
        <w:gridCol w:w="856"/>
        <w:gridCol w:w="607"/>
        <w:gridCol w:w="674"/>
        <w:gridCol w:w="557"/>
        <w:gridCol w:w="568"/>
        <w:gridCol w:w="1189"/>
        <w:gridCol w:w="1220"/>
        <w:gridCol w:w="2975"/>
        <w:gridCol w:w="1383"/>
      </w:tblGrid>
      <w:tr w:rsidR="00621075" w:rsidRPr="00930B4F" w14:paraId="47A5797A" w14:textId="77777777" w:rsidTr="00E24E22">
        <w:trPr>
          <w:tblHeader/>
          <w:jc w:val="center"/>
        </w:trPr>
        <w:tc>
          <w:tcPr>
            <w:tcW w:w="281"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2CAF102" w14:textId="77777777" w:rsidR="00067A32" w:rsidRPr="00930B4F" w:rsidRDefault="00067A32" w:rsidP="00930B4F">
            <w:pPr>
              <w:widowControl w:val="0"/>
              <w:spacing w:after="0" w:line="240" w:lineRule="auto"/>
              <w:ind w:left="57" w:right="57"/>
              <w:jc w:val="center"/>
              <w:rPr>
                <w:rFonts w:ascii="Times New Roman" w:eastAsia="Times New Roman" w:hAnsi="Times New Roman" w:cs="Times New Roman"/>
                <w:b/>
                <w:noProof/>
                <w:sz w:val="18"/>
                <w:szCs w:val="20"/>
              </w:rPr>
            </w:pPr>
            <w:r w:rsidRPr="00930B4F">
              <w:rPr>
                <w:rFonts w:ascii="Times New Roman" w:hAnsi="Times New Roman"/>
                <w:b/>
                <w:sz w:val="18"/>
                <w:szCs w:val="20"/>
              </w:rPr>
              <w:t>#</w:t>
            </w:r>
          </w:p>
        </w:tc>
        <w:tc>
          <w:tcPr>
            <w:tcW w:w="1098"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0E8C929A" w14:textId="77777777" w:rsidR="00067A32" w:rsidRPr="00930B4F" w:rsidRDefault="00067A32" w:rsidP="00930B4F">
            <w:pPr>
              <w:widowControl w:val="0"/>
              <w:spacing w:after="0" w:line="240" w:lineRule="auto"/>
              <w:ind w:left="57" w:right="57"/>
              <w:jc w:val="center"/>
              <w:rPr>
                <w:rFonts w:ascii="Times New Roman" w:eastAsia="Times New Roman" w:hAnsi="Times New Roman" w:cs="Times New Roman"/>
                <w:b/>
                <w:bCs/>
                <w:noProof/>
                <w:sz w:val="18"/>
                <w:szCs w:val="20"/>
              </w:rPr>
            </w:pPr>
            <w:r w:rsidRPr="00930B4F">
              <w:rPr>
                <w:rFonts w:ascii="Times New Roman" w:hAnsi="Times New Roman"/>
                <w:b/>
                <w:sz w:val="18"/>
                <w:szCs w:val="20"/>
              </w:rPr>
              <w:t>Saistītais pasākums (reforma vai investīcija)</w:t>
            </w:r>
          </w:p>
        </w:tc>
        <w:tc>
          <w:tcPr>
            <w:tcW w:w="675"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41E0CC40" w14:textId="77777777" w:rsidR="00067A32" w:rsidRPr="00930B4F" w:rsidRDefault="00067A32" w:rsidP="00930B4F">
            <w:pPr>
              <w:widowControl w:val="0"/>
              <w:spacing w:after="0" w:line="240" w:lineRule="auto"/>
              <w:ind w:left="57" w:right="57"/>
              <w:jc w:val="center"/>
              <w:rPr>
                <w:rFonts w:ascii="Times New Roman" w:eastAsia="Times New Roman" w:hAnsi="Times New Roman" w:cs="Times New Roman"/>
                <w:b/>
                <w:bCs/>
                <w:noProof/>
                <w:sz w:val="18"/>
                <w:szCs w:val="20"/>
              </w:rPr>
            </w:pPr>
            <w:r w:rsidRPr="00930B4F">
              <w:rPr>
                <w:rFonts w:ascii="Times New Roman" w:hAnsi="Times New Roman"/>
                <w:b/>
                <w:sz w:val="18"/>
                <w:szCs w:val="20"/>
              </w:rPr>
              <w:t>Atskaites punkts / mērķis</w:t>
            </w:r>
          </w:p>
        </w:tc>
        <w:tc>
          <w:tcPr>
            <w:tcW w:w="1028"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680896D4" w14:textId="77777777" w:rsidR="00067A32" w:rsidRPr="00930B4F" w:rsidRDefault="00067A32" w:rsidP="00930B4F">
            <w:pPr>
              <w:widowControl w:val="0"/>
              <w:spacing w:after="0" w:line="240" w:lineRule="auto"/>
              <w:ind w:left="57" w:right="57"/>
              <w:jc w:val="center"/>
              <w:rPr>
                <w:rFonts w:ascii="Times New Roman" w:eastAsia="Times New Roman" w:hAnsi="Times New Roman" w:cs="Times New Roman"/>
                <w:b/>
                <w:bCs/>
                <w:noProof/>
                <w:sz w:val="18"/>
                <w:szCs w:val="20"/>
              </w:rPr>
            </w:pPr>
            <w:r w:rsidRPr="00930B4F">
              <w:rPr>
                <w:rFonts w:ascii="Times New Roman" w:hAnsi="Times New Roman"/>
                <w:b/>
                <w:sz w:val="18"/>
                <w:szCs w:val="20"/>
              </w:rPr>
              <w:t>Nosaukums</w:t>
            </w:r>
          </w:p>
        </w:tc>
        <w:tc>
          <w:tcPr>
            <w:tcW w:w="882"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4BE068C9" w14:textId="77777777" w:rsidR="00481482" w:rsidRPr="00930B4F" w:rsidRDefault="00067A32" w:rsidP="00930B4F">
            <w:pPr>
              <w:widowControl w:val="0"/>
              <w:spacing w:after="0" w:line="240" w:lineRule="auto"/>
              <w:ind w:left="57" w:right="57"/>
              <w:jc w:val="center"/>
              <w:rPr>
                <w:rFonts w:ascii="Times New Roman" w:eastAsia="Times New Roman" w:hAnsi="Times New Roman" w:cs="Times New Roman"/>
                <w:b/>
                <w:bCs/>
                <w:noProof/>
                <w:sz w:val="18"/>
                <w:szCs w:val="20"/>
              </w:rPr>
            </w:pPr>
            <w:r w:rsidRPr="00930B4F">
              <w:rPr>
                <w:rFonts w:ascii="Times New Roman" w:hAnsi="Times New Roman"/>
                <w:b/>
                <w:sz w:val="18"/>
                <w:szCs w:val="20"/>
              </w:rPr>
              <w:t>Kvalitatīvie rādītāji</w:t>
            </w:r>
          </w:p>
          <w:p w14:paraId="2C8F2C37" w14:textId="04D71F82" w:rsidR="00067A32" w:rsidRPr="00930B4F" w:rsidRDefault="00067A32" w:rsidP="00930B4F">
            <w:pPr>
              <w:widowControl w:val="0"/>
              <w:spacing w:after="0" w:line="240" w:lineRule="auto"/>
              <w:ind w:left="57" w:right="57"/>
              <w:jc w:val="center"/>
              <w:rPr>
                <w:rFonts w:ascii="Times New Roman" w:eastAsia="Times New Roman" w:hAnsi="Times New Roman" w:cs="Times New Roman"/>
                <w:b/>
                <w:bCs/>
                <w:noProof/>
                <w:sz w:val="18"/>
                <w:szCs w:val="20"/>
              </w:rPr>
            </w:pPr>
            <w:r w:rsidRPr="00930B4F">
              <w:rPr>
                <w:rFonts w:ascii="Times New Roman" w:hAnsi="Times New Roman"/>
                <w:b/>
                <w:sz w:val="18"/>
                <w:szCs w:val="20"/>
              </w:rPr>
              <w:t>(atskaites punktiem)</w:t>
            </w:r>
          </w:p>
        </w:tc>
        <w:tc>
          <w:tcPr>
            <w:tcW w:w="2137" w:type="dxa"/>
            <w:gridSpan w:val="3"/>
            <w:tcBorders>
              <w:top w:val="single" w:sz="4" w:space="0" w:color="auto"/>
              <w:left w:val="single" w:sz="4" w:space="0" w:color="auto"/>
              <w:bottom w:val="single" w:sz="4" w:space="0" w:color="auto"/>
              <w:right w:val="single" w:sz="4" w:space="0" w:color="auto"/>
            </w:tcBorders>
            <w:shd w:val="clear" w:color="auto" w:fill="BDD7EE"/>
            <w:vAlign w:val="center"/>
          </w:tcPr>
          <w:p w14:paraId="3C12317B" w14:textId="77777777" w:rsidR="00481482" w:rsidRPr="00930B4F" w:rsidRDefault="00067A32" w:rsidP="00930B4F">
            <w:pPr>
              <w:widowControl w:val="0"/>
              <w:spacing w:after="0" w:line="240" w:lineRule="auto"/>
              <w:ind w:left="57" w:right="57"/>
              <w:jc w:val="center"/>
              <w:rPr>
                <w:rFonts w:ascii="Times New Roman" w:eastAsia="Times New Roman" w:hAnsi="Times New Roman" w:cs="Times New Roman"/>
                <w:b/>
                <w:bCs/>
                <w:noProof/>
                <w:sz w:val="18"/>
                <w:szCs w:val="20"/>
              </w:rPr>
            </w:pPr>
            <w:r w:rsidRPr="00930B4F">
              <w:rPr>
                <w:rFonts w:ascii="Times New Roman" w:hAnsi="Times New Roman"/>
                <w:b/>
                <w:sz w:val="18"/>
                <w:szCs w:val="20"/>
              </w:rPr>
              <w:t>Kvantitatīvie rādītāji</w:t>
            </w:r>
          </w:p>
          <w:p w14:paraId="0BA014B9" w14:textId="4946CC23" w:rsidR="00067A32" w:rsidRPr="00930B4F" w:rsidRDefault="00067A32" w:rsidP="00930B4F">
            <w:pPr>
              <w:widowControl w:val="0"/>
              <w:spacing w:after="0" w:line="240" w:lineRule="auto"/>
              <w:ind w:left="57" w:right="57"/>
              <w:jc w:val="center"/>
              <w:rPr>
                <w:rFonts w:ascii="Times New Roman" w:eastAsia="Times New Roman" w:hAnsi="Times New Roman" w:cs="Times New Roman"/>
                <w:b/>
                <w:bCs/>
                <w:noProof/>
                <w:sz w:val="18"/>
                <w:szCs w:val="20"/>
              </w:rPr>
            </w:pPr>
            <w:r w:rsidRPr="00930B4F">
              <w:rPr>
                <w:rFonts w:ascii="Times New Roman" w:hAnsi="Times New Roman"/>
                <w:b/>
                <w:sz w:val="18"/>
                <w:szCs w:val="20"/>
              </w:rPr>
              <w:t>(mērķiem)</w:t>
            </w:r>
          </w:p>
        </w:tc>
        <w:tc>
          <w:tcPr>
            <w:tcW w:w="1125" w:type="dxa"/>
            <w:gridSpan w:val="2"/>
            <w:tcBorders>
              <w:top w:val="single" w:sz="4" w:space="0" w:color="auto"/>
              <w:left w:val="single" w:sz="4" w:space="0" w:color="auto"/>
              <w:bottom w:val="single" w:sz="4" w:space="0" w:color="auto"/>
              <w:right w:val="single" w:sz="4" w:space="0" w:color="auto"/>
            </w:tcBorders>
            <w:shd w:val="clear" w:color="auto" w:fill="BDD7EE"/>
            <w:vAlign w:val="center"/>
          </w:tcPr>
          <w:p w14:paraId="1747AF69" w14:textId="77777777" w:rsidR="00067A32" w:rsidRPr="00930B4F" w:rsidRDefault="00067A32" w:rsidP="00930B4F">
            <w:pPr>
              <w:widowControl w:val="0"/>
              <w:spacing w:after="0" w:line="240" w:lineRule="auto"/>
              <w:ind w:left="57" w:right="57"/>
              <w:jc w:val="center"/>
              <w:rPr>
                <w:rFonts w:ascii="Times New Roman" w:eastAsia="Times New Roman" w:hAnsi="Times New Roman" w:cs="Times New Roman"/>
                <w:b/>
                <w:bCs/>
                <w:noProof/>
                <w:sz w:val="18"/>
                <w:szCs w:val="20"/>
              </w:rPr>
            </w:pPr>
            <w:r w:rsidRPr="00930B4F">
              <w:rPr>
                <w:rFonts w:ascii="Times New Roman" w:hAnsi="Times New Roman"/>
                <w:b/>
                <w:sz w:val="18"/>
                <w:szCs w:val="20"/>
              </w:rPr>
              <w:t>Orientējošs pabeigšanas grafiks</w:t>
            </w:r>
          </w:p>
        </w:tc>
        <w:tc>
          <w:tcPr>
            <w:tcW w:w="1189"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34211D72" w14:textId="77777777" w:rsidR="00067A32" w:rsidRPr="00930B4F" w:rsidRDefault="00067A32" w:rsidP="00930B4F">
            <w:pPr>
              <w:widowControl w:val="0"/>
              <w:spacing w:after="0" w:line="240" w:lineRule="auto"/>
              <w:ind w:left="57" w:right="57"/>
              <w:jc w:val="center"/>
              <w:rPr>
                <w:rFonts w:ascii="Times New Roman" w:eastAsia="Times New Roman" w:hAnsi="Times New Roman" w:cs="Times New Roman"/>
                <w:b/>
                <w:bCs/>
                <w:noProof/>
                <w:sz w:val="18"/>
                <w:szCs w:val="20"/>
              </w:rPr>
            </w:pPr>
            <w:r w:rsidRPr="00930B4F">
              <w:rPr>
                <w:rFonts w:ascii="Times New Roman" w:hAnsi="Times New Roman"/>
                <w:b/>
                <w:sz w:val="18"/>
                <w:szCs w:val="20"/>
              </w:rPr>
              <w:t>Atbildība par ziņošanu un īstenošanu</w:t>
            </w:r>
          </w:p>
        </w:tc>
        <w:tc>
          <w:tcPr>
            <w:tcW w:w="1220"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75737122" w14:textId="77777777" w:rsidR="00067A32" w:rsidRPr="00930B4F" w:rsidRDefault="00067A32" w:rsidP="00930B4F">
            <w:pPr>
              <w:widowControl w:val="0"/>
              <w:spacing w:after="0" w:line="240" w:lineRule="auto"/>
              <w:ind w:left="57" w:right="57"/>
              <w:jc w:val="center"/>
              <w:rPr>
                <w:rFonts w:ascii="Times New Roman" w:eastAsia="Times New Roman" w:hAnsi="Times New Roman" w:cs="Times New Roman"/>
                <w:b/>
                <w:bCs/>
                <w:noProof/>
                <w:sz w:val="18"/>
                <w:szCs w:val="20"/>
              </w:rPr>
            </w:pPr>
            <w:r w:rsidRPr="00930B4F">
              <w:rPr>
                <w:rFonts w:ascii="Times New Roman" w:hAnsi="Times New Roman"/>
                <w:b/>
                <w:sz w:val="18"/>
                <w:szCs w:val="20"/>
              </w:rPr>
              <w:t>Precizējumi (ja nepieciešami)</w:t>
            </w:r>
          </w:p>
        </w:tc>
        <w:tc>
          <w:tcPr>
            <w:tcW w:w="2975"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68C81392" w14:textId="77777777" w:rsidR="00067A32" w:rsidRPr="00930B4F" w:rsidRDefault="00067A32" w:rsidP="00930B4F">
            <w:pPr>
              <w:widowControl w:val="0"/>
              <w:spacing w:after="0" w:line="240" w:lineRule="auto"/>
              <w:ind w:left="57" w:right="57"/>
              <w:jc w:val="center"/>
              <w:rPr>
                <w:rFonts w:ascii="Times New Roman" w:eastAsia="Times New Roman" w:hAnsi="Times New Roman" w:cs="Times New Roman"/>
                <w:b/>
                <w:bCs/>
                <w:noProof/>
                <w:sz w:val="18"/>
                <w:szCs w:val="20"/>
              </w:rPr>
            </w:pPr>
            <w:r w:rsidRPr="00930B4F">
              <w:rPr>
                <w:rFonts w:ascii="Times New Roman" w:hAnsi="Times New Roman"/>
                <w:b/>
                <w:sz w:val="18"/>
                <w:szCs w:val="20"/>
              </w:rPr>
              <w:t>Pārbaudes mehānisms</w:t>
            </w:r>
          </w:p>
        </w:tc>
        <w:tc>
          <w:tcPr>
            <w:tcW w:w="1383"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5EA3A95F" w14:textId="77777777" w:rsidR="00067A32" w:rsidRPr="00930B4F" w:rsidRDefault="00067A32" w:rsidP="00930B4F">
            <w:pPr>
              <w:widowControl w:val="0"/>
              <w:spacing w:after="0" w:line="240" w:lineRule="auto"/>
              <w:ind w:left="57" w:right="57"/>
              <w:jc w:val="center"/>
              <w:rPr>
                <w:rFonts w:ascii="Times New Roman" w:eastAsia="Times New Roman" w:hAnsi="Times New Roman" w:cs="Times New Roman"/>
                <w:b/>
                <w:noProof/>
                <w:sz w:val="18"/>
                <w:szCs w:val="20"/>
              </w:rPr>
            </w:pPr>
            <w:r w:rsidRPr="00930B4F">
              <w:rPr>
                <w:rFonts w:ascii="Times New Roman" w:hAnsi="Times New Roman"/>
                <w:b/>
                <w:sz w:val="18"/>
                <w:szCs w:val="20"/>
              </w:rPr>
              <w:t>Atskaites punkta un mērķa apraksts</w:t>
            </w:r>
          </w:p>
        </w:tc>
      </w:tr>
      <w:tr w:rsidR="00621075" w:rsidRPr="00930B4F" w14:paraId="2DFE5739" w14:textId="77777777" w:rsidTr="00E24E22">
        <w:trPr>
          <w:jc w:val="center"/>
        </w:trPr>
        <w:tc>
          <w:tcPr>
            <w:tcW w:w="281" w:type="dxa"/>
            <w:vMerge/>
          </w:tcPr>
          <w:p w14:paraId="3232209A" w14:textId="77777777" w:rsidR="00067A32" w:rsidRPr="00930B4F" w:rsidRDefault="00067A32" w:rsidP="00930B4F">
            <w:pPr>
              <w:widowControl w:val="0"/>
              <w:spacing w:after="0" w:line="240" w:lineRule="auto"/>
              <w:ind w:left="57" w:right="57"/>
              <w:jc w:val="both"/>
              <w:rPr>
                <w:rFonts w:ascii="Times New Roman" w:hAnsi="Times New Roman" w:cs="Times New Roman"/>
                <w:noProof/>
                <w:sz w:val="18"/>
                <w:szCs w:val="20"/>
              </w:rPr>
            </w:pPr>
          </w:p>
        </w:tc>
        <w:tc>
          <w:tcPr>
            <w:tcW w:w="1098" w:type="dxa"/>
            <w:vMerge/>
          </w:tcPr>
          <w:p w14:paraId="48198145" w14:textId="77777777" w:rsidR="00067A32" w:rsidRPr="00930B4F" w:rsidRDefault="00067A32" w:rsidP="00930B4F">
            <w:pPr>
              <w:widowControl w:val="0"/>
              <w:spacing w:after="0" w:line="240" w:lineRule="auto"/>
              <w:ind w:left="57" w:right="57"/>
              <w:jc w:val="both"/>
              <w:rPr>
                <w:rFonts w:ascii="Times New Roman" w:hAnsi="Times New Roman" w:cs="Times New Roman"/>
                <w:noProof/>
                <w:sz w:val="18"/>
                <w:szCs w:val="20"/>
              </w:rPr>
            </w:pPr>
          </w:p>
        </w:tc>
        <w:tc>
          <w:tcPr>
            <w:tcW w:w="675" w:type="dxa"/>
            <w:vMerge/>
          </w:tcPr>
          <w:p w14:paraId="15811F4B" w14:textId="77777777" w:rsidR="00067A32" w:rsidRPr="00930B4F" w:rsidRDefault="00067A32" w:rsidP="00930B4F">
            <w:pPr>
              <w:widowControl w:val="0"/>
              <w:spacing w:after="0" w:line="240" w:lineRule="auto"/>
              <w:ind w:left="57" w:right="57"/>
              <w:jc w:val="both"/>
              <w:rPr>
                <w:rFonts w:ascii="Times New Roman" w:hAnsi="Times New Roman" w:cs="Times New Roman"/>
                <w:noProof/>
                <w:sz w:val="18"/>
                <w:szCs w:val="20"/>
              </w:rPr>
            </w:pPr>
          </w:p>
        </w:tc>
        <w:tc>
          <w:tcPr>
            <w:tcW w:w="1028" w:type="dxa"/>
            <w:vMerge/>
          </w:tcPr>
          <w:p w14:paraId="159A30F4" w14:textId="77777777" w:rsidR="00067A32" w:rsidRPr="00930B4F" w:rsidRDefault="00067A32" w:rsidP="00930B4F">
            <w:pPr>
              <w:widowControl w:val="0"/>
              <w:spacing w:after="0" w:line="240" w:lineRule="auto"/>
              <w:ind w:left="57" w:right="57"/>
              <w:jc w:val="both"/>
              <w:rPr>
                <w:rFonts w:ascii="Times New Roman" w:hAnsi="Times New Roman" w:cs="Times New Roman"/>
                <w:noProof/>
                <w:sz w:val="18"/>
                <w:szCs w:val="20"/>
              </w:rPr>
            </w:pPr>
          </w:p>
        </w:tc>
        <w:tc>
          <w:tcPr>
            <w:tcW w:w="882" w:type="dxa"/>
            <w:vMerge/>
          </w:tcPr>
          <w:p w14:paraId="5754B6AA" w14:textId="77777777" w:rsidR="00067A32" w:rsidRPr="00930B4F" w:rsidRDefault="00067A32" w:rsidP="00930B4F">
            <w:pPr>
              <w:widowControl w:val="0"/>
              <w:spacing w:after="0" w:line="240" w:lineRule="auto"/>
              <w:ind w:left="57" w:right="57"/>
              <w:jc w:val="both"/>
              <w:rPr>
                <w:rFonts w:ascii="Times New Roman" w:hAnsi="Times New Roman" w:cs="Times New Roman"/>
                <w:noProof/>
                <w:sz w:val="18"/>
                <w:szCs w:val="20"/>
              </w:rPr>
            </w:pPr>
          </w:p>
        </w:tc>
        <w:tc>
          <w:tcPr>
            <w:tcW w:w="856" w:type="dxa"/>
            <w:tcBorders>
              <w:top w:val="single" w:sz="4" w:space="0" w:color="auto"/>
              <w:left w:val="single" w:sz="4" w:space="0" w:color="auto"/>
              <w:bottom w:val="single" w:sz="4" w:space="0" w:color="auto"/>
              <w:right w:val="single" w:sz="4" w:space="0" w:color="auto"/>
            </w:tcBorders>
            <w:shd w:val="clear" w:color="auto" w:fill="BDD7EE"/>
            <w:vAlign w:val="center"/>
          </w:tcPr>
          <w:p w14:paraId="67F0702C" w14:textId="77777777" w:rsidR="00067A32" w:rsidRPr="00930B4F" w:rsidRDefault="00067A32" w:rsidP="00930B4F">
            <w:pPr>
              <w:widowControl w:val="0"/>
              <w:spacing w:after="0" w:line="240" w:lineRule="auto"/>
              <w:ind w:left="57" w:right="57"/>
              <w:jc w:val="center"/>
              <w:rPr>
                <w:rFonts w:ascii="Times New Roman" w:eastAsia="Times New Roman" w:hAnsi="Times New Roman" w:cs="Times New Roman"/>
                <w:b/>
                <w:bCs/>
                <w:noProof/>
                <w:sz w:val="18"/>
                <w:szCs w:val="20"/>
              </w:rPr>
            </w:pPr>
            <w:r w:rsidRPr="00930B4F">
              <w:rPr>
                <w:rFonts w:ascii="Times New Roman" w:hAnsi="Times New Roman"/>
                <w:b/>
                <w:sz w:val="18"/>
                <w:szCs w:val="20"/>
              </w:rPr>
              <w:t>Mērvienība</w:t>
            </w:r>
          </w:p>
        </w:tc>
        <w:tc>
          <w:tcPr>
            <w:tcW w:w="607" w:type="dxa"/>
            <w:tcBorders>
              <w:top w:val="single" w:sz="4" w:space="0" w:color="auto"/>
              <w:left w:val="single" w:sz="4" w:space="0" w:color="auto"/>
              <w:bottom w:val="single" w:sz="4" w:space="0" w:color="auto"/>
              <w:right w:val="single" w:sz="4" w:space="0" w:color="auto"/>
            </w:tcBorders>
            <w:shd w:val="clear" w:color="auto" w:fill="BDD7EE"/>
            <w:vAlign w:val="center"/>
          </w:tcPr>
          <w:p w14:paraId="0E0C2EB7" w14:textId="77777777" w:rsidR="00067A32" w:rsidRPr="00930B4F" w:rsidRDefault="00067A32" w:rsidP="00930B4F">
            <w:pPr>
              <w:widowControl w:val="0"/>
              <w:spacing w:after="0" w:line="240" w:lineRule="auto"/>
              <w:ind w:left="57" w:right="57"/>
              <w:jc w:val="center"/>
              <w:rPr>
                <w:rFonts w:ascii="Times New Roman" w:eastAsia="Times New Roman" w:hAnsi="Times New Roman" w:cs="Times New Roman"/>
                <w:b/>
                <w:bCs/>
                <w:noProof/>
                <w:sz w:val="18"/>
                <w:szCs w:val="20"/>
              </w:rPr>
            </w:pPr>
            <w:r w:rsidRPr="00930B4F">
              <w:rPr>
                <w:rFonts w:ascii="Times New Roman" w:hAnsi="Times New Roman"/>
                <w:b/>
                <w:sz w:val="18"/>
                <w:szCs w:val="20"/>
              </w:rPr>
              <w:t>Bāze</w:t>
            </w:r>
          </w:p>
        </w:tc>
        <w:tc>
          <w:tcPr>
            <w:tcW w:w="674" w:type="dxa"/>
            <w:tcBorders>
              <w:top w:val="single" w:sz="4" w:space="0" w:color="auto"/>
              <w:left w:val="single" w:sz="4" w:space="0" w:color="auto"/>
              <w:bottom w:val="single" w:sz="4" w:space="0" w:color="auto"/>
              <w:right w:val="single" w:sz="4" w:space="0" w:color="auto"/>
            </w:tcBorders>
            <w:shd w:val="clear" w:color="auto" w:fill="BDD7EE"/>
            <w:vAlign w:val="center"/>
          </w:tcPr>
          <w:p w14:paraId="0468D716" w14:textId="77777777" w:rsidR="00067A32" w:rsidRPr="00930B4F" w:rsidRDefault="00067A32" w:rsidP="00930B4F">
            <w:pPr>
              <w:widowControl w:val="0"/>
              <w:spacing w:after="0" w:line="240" w:lineRule="auto"/>
              <w:ind w:left="57" w:right="57"/>
              <w:jc w:val="center"/>
              <w:rPr>
                <w:rFonts w:ascii="Times New Roman" w:eastAsia="Times New Roman" w:hAnsi="Times New Roman" w:cs="Times New Roman"/>
                <w:b/>
                <w:bCs/>
                <w:noProof/>
                <w:sz w:val="18"/>
                <w:szCs w:val="20"/>
              </w:rPr>
            </w:pPr>
            <w:r w:rsidRPr="00930B4F">
              <w:rPr>
                <w:rFonts w:ascii="Times New Roman" w:hAnsi="Times New Roman"/>
                <w:b/>
                <w:sz w:val="18"/>
                <w:szCs w:val="20"/>
              </w:rPr>
              <w:t>Mērķis</w:t>
            </w:r>
          </w:p>
        </w:tc>
        <w:tc>
          <w:tcPr>
            <w:tcW w:w="557" w:type="dxa"/>
            <w:tcBorders>
              <w:top w:val="single" w:sz="4" w:space="0" w:color="auto"/>
              <w:left w:val="single" w:sz="4" w:space="0" w:color="auto"/>
              <w:bottom w:val="single" w:sz="4" w:space="0" w:color="auto"/>
              <w:right w:val="single" w:sz="4" w:space="0" w:color="auto"/>
            </w:tcBorders>
            <w:shd w:val="clear" w:color="auto" w:fill="BDD7EE"/>
            <w:vAlign w:val="center"/>
          </w:tcPr>
          <w:p w14:paraId="451007BC" w14:textId="77777777" w:rsidR="00067A32" w:rsidRPr="00930B4F" w:rsidRDefault="00067A32" w:rsidP="00930B4F">
            <w:pPr>
              <w:widowControl w:val="0"/>
              <w:spacing w:after="0" w:line="240" w:lineRule="auto"/>
              <w:ind w:left="57" w:right="57"/>
              <w:jc w:val="center"/>
              <w:rPr>
                <w:rFonts w:ascii="Times New Roman" w:eastAsia="Times New Roman" w:hAnsi="Times New Roman" w:cs="Times New Roman"/>
                <w:b/>
                <w:bCs/>
                <w:noProof/>
                <w:sz w:val="18"/>
                <w:szCs w:val="20"/>
              </w:rPr>
            </w:pPr>
            <w:r w:rsidRPr="00930B4F">
              <w:rPr>
                <w:rFonts w:ascii="Times New Roman" w:hAnsi="Times New Roman"/>
                <w:b/>
                <w:sz w:val="18"/>
                <w:szCs w:val="20"/>
              </w:rPr>
              <w:t>Ceturksnis</w:t>
            </w:r>
          </w:p>
        </w:tc>
        <w:tc>
          <w:tcPr>
            <w:tcW w:w="568" w:type="dxa"/>
            <w:tcBorders>
              <w:top w:val="single" w:sz="4" w:space="0" w:color="auto"/>
              <w:left w:val="single" w:sz="4" w:space="0" w:color="auto"/>
              <w:bottom w:val="single" w:sz="4" w:space="0" w:color="auto"/>
              <w:right w:val="single" w:sz="4" w:space="0" w:color="auto"/>
            </w:tcBorders>
            <w:shd w:val="clear" w:color="auto" w:fill="BDD7EE"/>
            <w:vAlign w:val="center"/>
          </w:tcPr>
          <w:p w14:paraId="13059F9A" w14:textId="77777777" w:rsidR="00067A32" w:rsidRPr="00930B4F" w:rsidRDefault="00067A32" w:rsidP="00930B4F">
            <w:pPr>
              <w:widowControl w:val="0"/>
              <w:spacing w:after="0" w:line="240" w:lineRule="auto"/>
              <w:ind w:left="57" w:right="57"/>
              <w:jc w:val="center"/>
              <w:rPr>
                <w:rFonts w:ascii="Times New Roman" w:eastAsia="Times New Roman" w:hAnsi="Times New Roman" w:cs="Times New Roman"/>
                <w:b/>
                <w:bCs/>
                <w:noProof/>
                <w:sz w:val="18"/>
                <w:szCs w:val="20"/>
              </w:rPr>
            </w:pPr>
            <w:r w:rsidRPr="00930B4F">
              <w:rPr>
                <w:rFonts w:ascii="Times New Roman" w:hAnsi="Times New Roman"/>
                <w:b/>
                <w:sz w:val="18"/>
                <w:szCs w:val="20"/>
              </w:rPr>
              <w:t>Gads</w:t>
            </w:r>
          </w:p>
        </w:tc>
        <w:tc>
          <w:tcPr>
            <w:tcW w:w="1189" w:type="dxa"/>
            <w:vMerge/>
          </w:tcPr>
          <w:p w14:paraId="59C8846D" w14:textId="77777777" w:rsidR="00067A32" w:rsidRPr="00930B4F" w:rsidRDefault="00067A32" w:rsidP="00930B4F">
            <w:pPr>
              <w:widowControl w:val="0"/>
              <w:spacing w:after="0" w:line="240" w:lineRule="auto"/>
              <w:ind w:left="57" w:right="57"/>
              <w:jc w:val="both"/>
              <w:rPr>
                <w:rFonts w:ascii="Times New Roman" w:hAnsi="Times New Roman" w:cs="Times New Roman"/>
                <w:noProof/>
                <w:sz w:val="18"/>
                <w:szCs w:val="20"/>
              </w:rPr>
            </w:pPr>
          </w:p>
        </w:tc>
        <w:tc>
          <w:tcPr>
            <w:tcW w:w="1220" w:type="dxa"/>
            <w:vMerge/>
          </w:tcPr>
          <w:p w14:paraId="7C8D2D40" w14:textId="77777777" w:rsidR="00067A32" w:rsidRPr="00930B4F" w:rsidRDefault="00067A32" w:rsidP="00930B4F">
            <w:pPr>
              <w:widowControl w:val="0"/>
              <w:spacing w:after="0" w:line="240" w:lineRule="auto"/>
              <w:ind w:left="57" w:right="57"/>
              <w:jc w:val="both"/>
              <w:rPr>
                <w:rFonts w:ascii="Times New Roman" w:hAnsi="Times New Roman" w:cs="Times New Roman"/>
                <w:noProof/>
                <w:sz w:val="18"/>
                <w:szCs w:val="20"/>
              </w:rPr>
            </w:pPr>
          </w:p>
        </w:tc>
        <w:tc>
          <w:tcPr>
            <w:tcW w:w="2975" w:type="dxa"/>
            <w:vMerge/>
          </w:tcPr>
          <w:p w14:paraId="4F0DE06B" w14:textId="77777777" w:rsidR="00067A32" w:rsidRPr="00930B4F" w:rsidRDefault="00067A32" w:rsidP="00930B4F">
            <w:pPr>
              <w:widowControl w:val="0"/>
              <w:spacing w:after="0" w:line="240" w:lineRule="auto"/>
              <w:ind w:left="57" w:right="57"/>
              <w:jc w:val="both"/>
              <w:rPr>
                <w:rFonts w:ascii="Times New Roman" w:hAnsi="Times New Roman" w:cs="Times New Roman"/>
                <w:noProof/>
                <w:color w:val="4F6228" w:themeColor="accent3" w:themeShade="80"/>
                <w:sz w:val="18"/>
                <w:szCs w:val="20"/>
              </w:rPr>
            </w:pPr>
          </w:p>
        </w:tc>
        <w:tc>
          <w:tcPr>
            <w:tcW w:w="1383" w:type="dxa"/>
            <w:vMerge/>
          </w:tcPr>
          <w:p w14:paraId="62673F90" w14:textId="77777777" w:rsidR="00067A32" w:rsidRPr="00930B4F" w:rsidRDefault="00067A32" w:rsidP="00930B4F">
            <w:pPr>
              <w:widowControl w:val="0"/>
              <w:spacing w:after="0" w:line="240" w:lineRule="auto"/>
              <w:ind w:left="57" w:right="57"/>
              <w:jc w:val="both"/>
              <w:rPr>
                <w:rFonts w:ascii="Times New Roman" w:hAnsi="Times New Roman" w:cs="Times New Roman"/>
                <w:noProof/>
                <w:sz w:val="18"/>
                <w:szCs w:val="20"/>
              </w:rPr>
            </w:pPr>
          </w:p>
        </w:tc>
      </w:tr>
      <w:tr w:rsidR="0042166D" w:rsidRPr="00930B4F" w14:paraId="4047D85C" w14:textId="77777777" w:rsidTr="00E24E22">
        <w:trPr>
          <w:jc w:val="center"/>
        </w:trPr>
        <w:tc>
          <w:tcPr>
            <w:tcW w:w="281" w:type="dxa"/>
            <w:tcBorders>
              <w:top w:val="single" w:sz="4" w:space="0" w:color="auto"/>
              <w:left w:val="single" w:sz="4" w:space="0" w:color="auto"/>
              <w:bottom w:val="single" w:sz="4" w:space="0" w:color="auto"/>
              <w:right w:val="single" w:sz="4" w:space="0" w:color="auto"/>
            </w:tcBorders>
            <w:shd w:val="clear" w:color="auto" w:fill="C6EFCE"/>
          </w:tcPr>
          <w:p w14:paraId="1164EC5E"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27</w:t>
            </w:r>
          </w:p>
        </w:tc>
        <w:tc>
          <w:tcPr>
            <w:tcW w:w="1098" w:type="dxa"/>
            <w:tcBorders>
              <w:top w:val="single" w:sz="4" w:space="0" w:color="auto"/>
              <w:left w:val="single" w:sz="4" w:space="0" w:color="auto"/>
              <w:bottom w:val="single" w:sz="4" w:space="0" w:color="auto"/>
              <w:right w:val="single" w:sz="4" w:space="0" w:color="auto"/>
            </w:tcBorders>
            <w:shd w:val="clear" w:color="auto" w:fill="C6EFCE"/>
          </w:tcPr>
          <w:p w14:paraId="67CC90A3"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2.1.1.r.</w:t>
            </w:r>
          </w:p>
          <w:p w14:paraId="2DD5A9CA"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Valsts procesu un pakalpojumu modernizācija un digitālā transformācija</w:t>
            </w:r>
          </w:p>
        </w:tc>
        <w:tc>
          <w:tcPr>
            <w:tcW w:w="675" w:type="dxa"/>
            <w:tcBorders>
              <w:top w:val="single" w:sz="4" w:space="0" w:color="auto"/>
              <w:left w:val="single" w:sz="4" w:space="0" w:color="auto"/>
              <w:bottom w:val="single" w:sz="4" w:space="0" w:color="auto"/>
              <w:right w:val="single" w:sz="4" w:space="0" w:color="auto"/>
            </w:tcBorders>
            <w:shd w:val="clear" w:color="auto" w:fill="C6EFCE"/>
          </w:tcPr>
          <w:p w14:paraId="78DF656C"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Atskaites punkts</w:t>
            </w:r>
          </w:p>
        </w:tc>
        <w:tc>
          <w:tcPr>
            <w:tcW w:w="1028" w:type="dxa"/>
            <w:tcBorders>
              <w:top w:val="single" w:sz="4" w:space="0" w:color="auto"/>
              <w:left w:val="single" w:sz="4" w:space="0" w:color="auto"/>
              <w:bottom w:val="single" w:sz="4" w:space="0" w:color="auto"/>
              <w:right w:val="single" w:sz="4" w:space="0" w:color="auto"/>
            </w:tcBorders>
            <w:shd w:val="clear" w:color="auto" w:fill="C6EFCE"/>
          </w:tcPr>
          <w:p w14:paraId="2D42E589"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Regulējuma izveide IKT attīstības pasākumu vienotai pārvaldībai publiskajā pārvaldē</w:t>
            </w:r>
          </w:p>
        </w:tc>
        <w:tc>
          <w:tcPr>
            <w:tcW w:w="882" w:type="dxa"/>
            <w:tcBorders>
              <w:top w:val="single" w:sz="4" w:space="0" w:color="auto"/>
              <w:left w:val="single" w:sz="4" w:space="0" w:color="auto"/>
              <w:bottom w:val="single" w:sz="4" w:space="0" w:color="auto"/>
              <w:right w:val="single" w:sz="4" w:space="0" w:color="auto"/>
            </w:tcBorders>
            <w:shd w:val="clear" w:color="auto" w:fill="C6EFCE"/>
          </w:tcPr>
          <w:p w14:paraId="7A6C71A3"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Tiesiskā regulējuma stāšanās spēkā</w:t>
            </w:r>
          </w:p>
        </w:tc>
        <w:tc>
          <w:tcPr>
            <w:tcW w:w="856" w:type="dxa"/>
            <w:tcBorders>
              <w:top w:val="single" w:sz="4" w:space="0" w:color="auto"/>
              <w:left w:val="single" w:sz="4" w:space="0" w:color="auto"/>
              <w:bottom w:val="single" w:sz="4" w:space="0" w:color="auto"/>
              <w:right w:val="single" w:sz="4" w:space="0" w:color="auto"/>
            </w:tcBorders>
            <w:shd w:val="clear" w:color="auto" w:fill="C6EFCE"/>
          </w:tcPr>
          <w:p w14:paraId="2D507540"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607" w:type="dxa"/>
            <w:tcBorders>
              <w:top w:val="single" w:sz="4" w:space="0" w:color="auto"/>
              <w:left w:val="single" w:sz="4" w:space="0" w:color="auto"/>
              <w:bottom w:val="single" w:sz="4" w:space="0" w:color="auto"/>
              <w:right w:val="single" w:sz="4" w:space="0" w:color="auto"/>
            </w:tcBorders>
            <w:shd w:val="clear" w:color="auto" w:fill="C6EFCE"/>
          </w:tcPr>
          <w:p w14:paraId="02AED59F"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674" w:type="dxa"/>
            <w:tcBorders>
              <w:top w:val="single" w:sz="4" w:space="0" w:color="auto"/>
              <w:left w:val="single" w:sz="4" w:space="0" w:color="auto"/>
              <w:bottom w:val="single" w:sz="4" w:space="0" w:color="auto"/>
              <w:right w:val="single" w:sz="4" w:space="0" w:color="auto"/>
            </w:tcBorders>
            <w:shd w:val="clear" w:color="auto" w:fill="C6EFCE"/>
          </w:tcPr>
          <w:p w14:paraId="0845DF2D"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557" w:type="dxa"/>
            <w:tcBorders>
              <w:top w:val="single" w:sz="4" w:space="0" w:color="auto"/>
              <w:left w:val="single" w:sz="4" w:space="0" w:color="auto"/>
              <w:bottom w:val="single" w:sz="4" w:space="0" w:color="auto"/>
              <w:right w:val="single" w:sz="4" w:space="0" w:color="auto"/>
            </w:tcBorders>
            <w:shd w:val="clear" w:color="auto" w:fill="C6EFCE"/>
          </w:tcPr>
          <w:p w14:paraId="7B8F6D7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1. cet.</w:t>
            </w:r>
          </w:p>
        </w:tc>
        <w:tc>
          <w:tcPr>
            <w:tcW w:w="568" w:type="dxa"/>
            <w:tcBorders>
              <w:top w:val="single" w:sz="4" w:space="0" w:color="auto"/>
              <w:left w:val="single" w:sz="4" w:space="0" w:color="auto"/>
              <w:bottom w:val="single" w:sz="4" w:space="0" w:color="auto"/>
              <w:right w:val="single" w:sz="4" w:space="0" w:color="auto"/>
            </w:tcBorders>
            <w:shd w:val="clear" w:color="auto" w:fill="C6EFCE"/>
          </w:tcPr>
          <w:p w14:paraId="4867F7FE"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2022</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57A1A09E"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Viedās administrācijas un reģionālās attīstības ministrija</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6E9BA2F7"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63C7C834"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Attiecīgo tiesību aktu kopija un saite uz publikāciju oficiālajā izdevumā, tostarp atsauce uz noteikumu, kurā norādīta stāšanās spēkā, kopā ar kopsavilkuma dokumentu, kurā pienācīgi pamatots, kā tika apmierinoši sasniegts atskaites punkts (tostarp visi būtiskie elementi), ar atbilstošām saitēm uz pamatojošajiem pierādījumiem.</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1753DA80" w14:textId="77777777" w:rsidR="0048148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t>Stājās spēkā Ministru kabineta noteikumi, ar ko nosaka vienotu kārtību IKT attīstības pasākumu uzraudzībai.</w:t>
            </w:r>
          </w:p>
          <w:p w14:paraId="112B2C1C" w14:textId="664B8B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t xml:space="preserve">Lai jaunie noteikumi būtu piemērojami visiem IKT attīstības pasākumiem Latvijas atveseļošanas un noturības plāna pasākumu ietvaros (t. sk. pašvaldībās), tiek paplašināta Valsts informācijas sistēmu likuma darbības joma. Ja likuma grozījumu pieņemšana kavējas, tiek izdoti pagaidu noteikumi, lai papildinātu </w:t>
            </w:r>
            <w:r w:rsidRPr="00930B4F">
              <w:rPr>
                <w:rFonts w:ascii="Times New Roman" w:hAnsi="Times New Roman"/>
                <w:sz w:val="18"/>
                <w:szCs w:val="20"/>
              </w:rPr>
              <w:lastRenderedPageBreak/>
              <w:t>īpašu normatīvo regulējumu attiecīgajiem IKT projektu pasākumiem.</w:t>
            </w:r>
          </w:p>
        </w:tc>
      </w:tr>
      <w:tr w:rsidR="0042166D" w:rsidRPr="00930B4F" w14:paraId="26ADB762" w14:textId="77777777" w:rsidTr="00E24E22">
        <w:trPr>
          <w:jc w:val="center"/>
        </w:trPr>
        <w:tc>
          <w:tcPr>
            <w:tcW w:w="281" w:type="dxa"/>
            <w:tcBorders>
              <w:top w:val="single" w:sz="4" w:space="0" w:color="auto"/>
              <w:left w:val="single" w:sz="8" w:space="0" w:color="auto"/>
              <w:bottom w:val="single" w:sz="8" w:space="0" w:color="auto"/>
              <w:right w:val="single" w:sz="8" w:space="0" w:color="auto"/>
            </w:tcBorders>
            <w:shd w:val="clear" w:color="auto" w:fill="C6EFCE"/>
          </w:tcPr>
          <w:p w14:paraId="1F441605"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28</w:t>
            </w:r>
          </w:p>
        </w:tc>
        <w:tc>
          <w:tcPr>
            <w:tcW w:w="1098" w:type="dxa"/>
            <w:tcBorders>
              <w:top w:val="single" w:sz="4" w:space="0" w:color="auto"/>
              <w:left w:val="single" w:sz="8" w:space="0" w:color="auto"/>
              <w:bottom w:val="single" w:sz="8" w:space="0" w:color="auto"/>
              <w:right w:val="single" w:sz="8" w:space="0" w:color="auto"/>
            </w:tcBorders>
            <w:shd w:val="clear" w:color="auto" w:fill="C6EFCE"/>
          </w:tcPr>
          <w:p w14:paraId="120D7411"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2.1.1.r.</w:t>
            </w:r>
          </w:p>
          <w:p w14:paraId="292A7722"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Valsts procesu un pakalpojumu modernizācija un digitālā transformācija</w:t>
            </w:r>
          </w:p>
        </w:tc>
        <w:tc>
          <w:tcPr>
            <w:tcW w:w="675" w:type="dxa"/>
            <w:tcBorders>
              <w:top w:val="single" w:sz="4" w:space="0" w:color="auto"/>
              <w:left w:val="single" w:sz="8" w:space="0" w:color="auto"/>
              <w:bottom w:val="single" w:sz="8" w:space="0" w:color="auto"/>
              <w:right w:val="single" w:sz="8" w:space="0" w:color="auto"/>
            </w:tcBorders>
            <w:shd w:val="clear" w:color="auto" w:fill="C6EFCE"/>
          </w:tcPr>
          <w:p w14:paraId="5D292DB7"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Atskaites punkts</w:t>
            </w:r>
          </w:p>
        </w:tc>
        <w:tc>
          <w:tcPr>
            <w:tcW w:w="1028" w:type="dxa"/>
            <w:tcBorders>
              <w:top w:val="single" w:sz="4" w:space="0" w:color="auto"/>
              <w:left w:val="single" w:sz="8" w:space="0" w:color="auto"/>
              <w:bottom w:val="single" w:sz="8" w:space="0" w:color="auto"/>
              <w:right w:val="single" w:sz="8" w:space="0" w:color="auto"/>
            </w:tcBorders>
            <w:shd w:val="clear" w:color="auto" w:fill="C6EFCE"/>
          </w:tcPr>
          <w:p w14:paraId="0FCBA192"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Normatīvā regulējuma izveide atbalsta saņemšanai publiskās pārvaldes procesu un pakalpojumu digitālās transformācijas jomā</w:t>
            </w:r>
          </w:p>
        </w:tc>
        <w:tc>
          <w:tcPr>
            <w:tcW w:w="882" w:type="dxa"/>
            <w:tcBorders>
              <w:top w:val="single" w:sz="4" w:space="0" w:color="auto"/>
              <w:left w:val="single" w:sz="8" w:space="0" w:color="auto"/>
              <w:bottom w:val="single" w:sz="8" w:space="0" w:color="auto"/>
              <w:right w:val="single" w:sz="8" w:space="0" w:color="auto"/>
            </w:tcBorders>
            <w:shd w:val="clear" w:color="auto" w:fill="C6EFCE"/>
          </w:tcPr>
          <w:p w14:paraId="12021A96"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Tiesiskā regulējuma stāšanās spēkā</w:t>
            </w:r>
          </w:p>
        </w:tc>
        <w:tc>
          <w:tcPr>
            <w:tcW w:w="856" w:type="dxa"/>
            <w:tcBorders>
              <w:top w:val="single" w:sz="4" w:space="0" w:color="auto"/>
              <w:left w:val="single" w:sz="8" w:space="0" w:color="auto"/>
              <w:bottom w:val="single" w:sz="8" w:space="0" w:color="auto"/>
              <w:right w:val="single" w:sz="8" w:space="0" w:color="auto"/>
            </w:tcBorders>
            <w:shd w:val="clear" w:color="auto" w:fill="C6EFCE"/>
          </w:tcPr>
          <w:p w14:paraId="75C296F9"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607" w:type="dxa"/>
            <w:tcBorders>
              <w:top w:val="single" w:sz="4" w:space="0" w:color="auto"/>
              <w:left w:val="single" w:sz="8" w:space="0" w:color="auto"/>
              <w:bottom w:val="single" w:sz="8" w:space="0" w:color="auto"/>
              <w:right w:val="single" w:sz="8" w:space="0" w:color="auto"/>
            </w:tcBorders>
            <w:shd w:val="clear" w:color="auto" w:fill="C6EFCE"/>
          </w:tcPr>
          <w:p w14:paraId="4526CE49"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674" w:type="dxa"/>
            <w:tcBorders>
              <w:top w:val="single" w:sz="4" w:space="0" w:color="auto"/>
              <w:left w:val="single" w:sz="8" w:space="0" w:color="auto"/>
              <w:bottom w:val="single" w:sz="8" w:space="0" w:color="auto"/>
              <w:right w:val="single" w:sz="8" w:space="0" w:color="auto"/>
            </w:tcBorders>
            <w:shd w:val="clear" w:color="auto" w:fill="C6EFCE"/>
          </w:tcPr>
          <w:p w14:paraId="7CC49BDC"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557" w:type="dxa"/>
            <w:tcBorders>
              <w:top w:val="single" w:sz="4" w:space="0" w:color="auto"/>
              <w:left w:val="single" w:sz="8" w:space="0" w:color="auto"/>
              <w:bottom w:val="single" w:sz="8" w:space="0" w:color="auto"/>
              <w:right w:val="single" w:sz="8" w:space="0" w:color="auto"/>
            </w:tcBorders>
            <w:shd w:val="clear" w:color="auto" w:fill="C6EFCE"/>
          </w:tcPr>
          <w:p w14:paraId="1D9C42D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 cet.</w:t>
            </w:r>
          </w:p>
        </w:tc>
        <w:tc>
          <w:tcPr>
            <w:tcW w:w="568" w:type="dxa"/>
            <w:tcBorders>
              <w:top w:val="single" w:sz="4" w:space="0" w:color="auto"/>
              <w:left w:val="single" w:sz="8" w:space="0" w:color="auto"/>
              <w:bottom w:val="single" w:sz="8" w:space="0" w:color="auto"/>
              <w:right w:val="single" w:sz="4" w:space="0" w:color="auto"/>
            </w:tcBorders>
            <w:shd w:val="clear" w:color="auto" w:fill="C6EFCE"/>
          </w:tcPr>
          <w:p w14:paraId="0EBD8FD2"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2022</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194330FA"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Viedās administrācijas un reģionālās attīstības ministrija</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41BA9773"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2E50EC32"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 xml:space="preserve">Attiecīgo tiesību aktu kopija un saite uz publikāciju oficiālajā izdevumā, tostarp atsauce uz noteikumu, kurā norādīta stāšanās spēkā, kopā ar kopsavilkuma dokumentu, kurā pienācīgi pamatots, kā tika apmierinoši sasniegts atskaites punkts (tostarp visi būtiskie elementi), ar atbilstošām saitēm uz pamatojošajiem pierādījumiem. </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718216B3" w14:textId="517F9ECB"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t>Spēkā stājās Ministru kabineta noteikumi par atbalsta piešķiršanu publiskās pārvaldes procesu un pakalpojumu digitālās transformācijas jomā.</w:t>
            </w:r>
          </w:p>
        </w:tc>
      </w:tr>
      <w:tr w:rsidR="0042166D" w:rsidRPr="00930B4F" w14:paraId="610AFAAA"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7160E2DF"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29</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2CEC6EAA"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2.1.1.1.i. Pārvaldes modernizācija un pakalpojumu digitālā transformācija, tai skaitā uzņēmējdarbības vide</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055E27BC"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Mērķis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0826FEB7"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Izstrādāto un saskaņoto IKT risinājumu izstrādes darbību apraksti</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5B06546C"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1CE197F1"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Skaits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158EB0D3"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0</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1E2251F1"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11</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25AE4260"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3.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29351CB7"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2023</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759B6907"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Iestādes, kas veic izstrādes darbības / Viedās administrācijas un reģionālās attīstības ministrija</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6619157F"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6B5A8EF6"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0C2B6DCE"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Šā dokumenta pielikumā iekļauj visu IKT risinājumu (sistēmu) izstrādes darbību apstiprinātus aprakstus.</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792023D1"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t xml:space="preserve">IKT risinājumu (sistēmu) aprakstu koncepcijas modeļus izstrādā saskaņā ar pieņemto IKT pārvaldības tiesisko regulējumu. Aprakstos ir izklāstītas IKT izstrādes darbības, kas tiek veiktas, lai izstrādātu vai modernizētu </w:t>
            </w:r>
            <w:r w:rsidRPr="00930B4F">
              <w:rPr>
                <w:rFonts w:ascii="Times New Roman" w:hAnsi="Times New Roman"/>
                <w:sz w:val="18"/>
                <w:szCs w:val="20"/>
              </w:rPr>
              <w:lastRenderedPageBreak/>
              <w:t>IKT risinājumus vismaz šādās četrās jomās: 1) iekšlietu nozare, tostarp civilā aizsardzība, ugunsdrošības uzraudzība un sabiedriskā drošība; 2) kultūras nozare, tostarp arhīvu, bibliotēku, muzeju, kultūras pieminekļu un plašsaziņas līdzekļu satura mantojuma uzkrāšana; 3) ostu loģistikas pakalpojumu pārvaldība; 4) atbalsts IKT pārvaldības procesiem.</w:t>
            </w:r>
          </w:p>
        </w:tc>
      </w:tr>
      <w:tr w:rsidR="0042166D" w:rsidRPr="00930B4F" w14:paraId="622E713A"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7D3F41C4"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30</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7ECAFFA0"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2.1.1.1.i. Pārvaldes modernizācija un pakalpojumu digitālā transformācija, tai skaitā uzņēmējdar</w:t>
            </w:r>
            <w:r w:rsidRPr="00930B4F">
              <w:rPr>
                <w:rFonts w:ascii="Times New Roman" w:hAnsi="Times New Roman"/>
                <w:b/>
                <w:sz w:val="18"/>
                <w:szCs w:val="20"/>
              </w:rPr>
              <w:lastRenderedPageBreak/>
              <w:t>bības vide</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4CBD8E0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Mērķis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1EFF0BA6"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 xml:space="preserve">IKT risinājumu nodrošināšana modernizētām publiskās pārvaldes funkcijām (t. sk. </w:t>
            </w:r>
            <w:r w:rsidRPr="00930B4F">
              <w:rPr>
                <w:rFonts w:ascii="Times New Roman" w:hAnsi="Times New Roman"/>
                <w:sz w:val="18"/>
                <w:szCs w:val="20"/>
              </w:rPr>
              <w:lastRenderedPageBreak/>
              <w:t xml:space="preserve">sistēmām) </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396E9601" w14:textId="77777777" w:rsidR="00067A32" w:rsidRPr="00930B4F" w:rsidRDefault="00067A32" w:rsidP="00930B4F">
            <w:pPr>
              <w:widowControl w:val="0"/>
              <w:spacing w:after="0" w:line="240" w:lineRule="auto"/>
              <w:ind w:left="57" w:right="57"/>
              <w:jc w:val="both"/>
              <w:rPr>
                <w:rFonts w:ascii="Times New Roman" w:hAnsi="Times New Roman" w:cs="Times New Roman"/>
                <w:noProof/>
                <w:sz w:val="18"/>
                <w:szCs w:val="20"/>
              </w:rPr>
            </w:pP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627D6EC4"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Skaits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010F3D35"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0</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40ABD23A"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11</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1AACC8DA"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3.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71A20099"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2026</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6EFDF0A1"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Iestādes, kas veic izstrādes darbības / Viedās administrācijas un reģionālās attīstības ministrija</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1F0544D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282F3C7C"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373019FE"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Šā dokumenta pielikumā iekļauj šādus dokumentārus pierādījumus:</w:t>
            </w:r>
          </w:p>
          <w:p w14:paraId="2252D405" w14:textId="3133ED1E" w:rsidR="00481482" w:rsidRPr="00930B4F" w:rsidRDefault="003D149E"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a) uzaicinājumus uz konkursu;</w:t>
            </w:r>
          </w:p>
          <w:p w14:paraId="09C9CA1B" w14:textId="139E0509" w:rsidR="00067A32" w:rsidRPr="00930B4F" w:rsidRDefault="003D149E" w:rsidP="00930B4F">
            <w:pPr>
              <w:widowControl w:val="0"/>
              <w:spacing w:after="0" w:line="240" w:lineRule="auto"/>
              <w:ind w:left="57" w:right="57"/>
              <w:rPr>
                <w:rFonts w:ascii="Times New Roman" w:hAnsi="Times New Roman"/>
                <w:noProof/>
                <w:sz w:val="18"/>
                <w:szCs w:val="20"/>
              </w:rPr>
            </w:pPr>
            <w:r w:rsidRPr="00930B4F">
              <w:rPr>
                <w:rFonts w:ascii="Times New Roman" w:hAnsi="Times New Roman"/>
                <w:sz w:val="18"/>
                <w:szCs w:val="20"/>
              </w:rPr>
              <w:t xml:space="preserve">b) apliecinājumu par IKT risinājumu </w:t>
            </w:r>
            <w:r w:rsidRPr="00930B4F">
              <w:rPr>
                <w:rFonts w:ascii="Times New Roman" w:hAnsi="Times New Roman"/>
                <w:sz w:val="18"/>
                <w:szCs w:val="20"/>
              </w:rPr>
              <w:lastRenderedPageBreak/>
              <w:t>un sistēmu nodošanu ekspluatācijā, kurā norādīts tas, kā šie risinājumi un sistēmas nodrošina modernizētos pakalpojumus.</w:t>
            </w:r>
          </w:p>
          <w:p w14:paraId="1D5B3106" w14:textId="02517EA0" w:rsidR="00067A32" w:rsidRPr="00930B4F" w:rsidRDefault="003D149E"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c) izvēlēto pakalpojumu sniedzēju sarakstu.</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4E746408"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Publiskās pārvaldes darbību modernizē, izmantojot šādus pilnīgi funkcionējošus IKT risinājumus un sistēmas vismaz šādās </w:t>
            </w:r>
            <w:r w:rsidRPr="00930B4F">
              <w:rPr>
                <w:rFonts w:ascii="Times New Roman" w:hAnsi="Times New Roman"/>
                <w:sz w:val="18"/>
                <w:szCs w:val="20"/>
              </w:rPr>
              <w:lastRenderedPageBreak/>
              <w:t>četrās jomās: 1) iekšlietu nozare, tostarp civilā aizsardzība, ugunsdrošības uzraudzība un sabiedriskā drošība; 2) kultūras nozare, tostarp arhīvu, bibliotēku, muzeju, kultūras pieminekļu un plašsaziņas līdzekļu satura mantojuma uzkrāšana; 3) ostu loģistikas pakalpojumu pārvaldība; 4) atbalsts IKT pārvaldības procesiem.</w:t>
            </w:r>
          </w:p>
        </w:tc>
      </w:tr>
      <w:tr w:rsidR="0042166D" w:rsidRPr="00930B4F" w14:paraId="3C9A0BD8"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2ABAB49C"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31</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57AF85C9"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2.1.2.r.</w:t>
            </w:r>
          </w:p>
          <w:p w14:paraId="03AC43F1"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Valsts IKT resursu izmantošanas efektivitātes un sadarbspējas paaugstināšana</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02B738D1"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Atskaites punkts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4A0B493F"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 xml:space="preserve">Tiesiskā regulējuma izveide atbalsta saņemšanai publiskās pārvaldes centrālo sistēmu un platformu attīstības un datošanas </w:t>
            </w:r>
            <w:r w:rsidRPr="00930B4F">
              <w:rPr>
                <w:rFonts w:ascii="Times New Roman" w:hAnsi="Times New Roman"/>
                <w:sz w:val="18"/>
                <w:szCs w:val="20"/>
              </w:rPr>
              <w:lastRenderedPageBreak/>
              <w:t>infrastruktūras pakalpojumu konsolidācijas jomā</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2E05CCE2"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Tiesiskā regulējuma stāšanās spēkā</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2F91C029"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0585B85E"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75FEAEF5"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468AF1C7"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5B6A3409"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2022</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145B27D2"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Viedās administrācijas un reģionālās attīstības ministrija</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08136202"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6AA39B79"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Attiecīgā tiesību akta kopija un saite uz publikāciju oficiālajā izdevumā, tostarp atsauce uz noteikumu, kurā norādīta stāšanās spēkā, kam pievienots kopsavilkuma dokuments, kurā pienācīgi pamatots, kā tika apmierinoši sasniegts atskaites punkts, kopā ar atbilstošām saitēm uz pamatojošajiem pierādījumiem.</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21906C5E"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t xml:space="preserve">Tiesiskā regulējuma stāšanās spēkā attiecībā uz atbalsta piešķiršanu publiskās pārvaldes centrālo IT sistēmu un platformu izstrādes un </w:t>
            </w:r>
            <w:r w:rsidRPr="00930B4F">
              <w:rPr>
                <w:rFonts w:ascii="Times New Roman" w:hAnsi="Times New Roman"/>
                <w:sz w:val="18"/>
                <w:szCs w:val="20"/>
              </w:rPr>
              <w:lastRenderedPageBreak/>
              <w:t>datošanas infrastruktūras pakalpojumu konsolidācijas jomā.</w:t>
            </w:r>
          </w:p>
        </w:tc>
      </w:tr>
      <w:tr w:rsidR="0042166D" w:rsidRPr="00930B4F" w14:paraId="56AAB1DD"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7CC5320F"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32</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41A846EC" w14:textId="77777777" w:rsidR="0048148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2.1.2.1.i.</w:t>
            </w:r>
          </w:p>
          <w:p w14:paraId="0E32588F" w14:textId="23F9CFDE"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Centralizētas platformas, sistēmas un kopīgie pakalpojumi</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3C7C19F3"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Mērķis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7FFC5B5C" w14:textId="7E345CAD"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 xml:space="preserve">Attīstības plānu apstiprināšana centralizētu IKT funkciju un kopīgo pakalpojumu izveidei, pārveidei vai ieviešanai </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0F49E1B2"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20641427"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Skaits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3A65CF45"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0</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6ECD5F42"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15</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57CC54F8"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1.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54E4A0CF"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2023</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61FA028F"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Iestādes, kas veic izstrādes darbības / Viedās administrācijas un reģionālās attīstības ministrija</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4F410E3A"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0DCB9E97"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578FC053"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Šā dokumenta pielikumā iekļauj apstiprinātus centralizēto funkciju vai kopīgo pakalpojumu attīstības plānus.</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40D21634"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t>Pirms investīcijām centralizētu funkciju vai kopīgo pakalpojumu attīstībā atbildīgā institūcija sagatavo un saņem centralizētās IKT funkcijas vai kopīgo pakalpojumu attīstības plāna apstiprinājumu (tostarp attiecībā uz pakalpojumu finansēšanu).</w:t>
            </w:r>
          </w:p>
        </w:tc>
      </w:tr>
      <w:tr w:rsidR="0042166D" w:rsidRPr="00930B4F" w14:paraId="27733F3A"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6D76577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33</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731181B8" w14:textId="77777777" w:rsidR="0048148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2.1.2.1.i.</w:t>
            </w:r>
          </w:p>
          <w:p w14:paraId="54FCCA49" w14:textId="531F4E73"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Centralizētas platformas, sistēmas un kopīgie pakalpojumi</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00E936DA"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Mērķis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0DEA04FE"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 xml:space="preserve">Saskaņotu aprakstu apstiprināšana attiecībā uz centralizētu IKT risinājumu izstrādes </w:t>
            </w:r>
            <w:r w:rsidRPr="00930B4F">
              <w:rPr>
                <w:rFonts w:ascii="Times New Roman" w:hAnsi="Times New Roman"/>
                <w:sz w:val="18"/>
                <w:szCs w:val="20"/>
              </w:rPr>
              <w:lastRenderedPageBreak/>
              <w:t xml:space="preserve">darbībām </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65CE35CD"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 </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32F2E149"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Skaits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2AB98D94"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0</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2B793B5C"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15</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64E71508"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3.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101EC13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2023</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06E7A870"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Iestādes, kas veic izstrādes darbības / Viedās administrācijas un reģionālās attīstības ministrija</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0035866A"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20724D0D"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5C02BC92"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 xml:space="preserve">Šā dokumenta pielikumā iekļauj apstiprinātos saskaņotos aprakstus par IKT risinājumu (centralizētu </w:t>
            </w:r>
            <w:r w:rsidRPr="00930B4F">
              <w:rPr>
                <w:rFonts w:ascii="Times New Roman" w:hAnsi="Times New Roman"/>
                <w:sz w:val="18"/>
                <w:szCs w:val="20"/>
              </w:rPr>
              <w:lastRenderedPageBreak/>
              <w:t xml:space="preserve">platformu un sistēmu) izstrādes darbībām. </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700914E3"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Saskaņotos aprakstus apstiprina, lai noteiktu centralizētu platformu un sistēmu IKT izstrādes darbības. IKT </w:t>
            </w:r>
            <w:r w:rsidRPr="00930B4F">
              <w:rPr>
                <w:rFonts w:ascii="Times New Roman" w:hAnsi="Times New Roman"/>
                <w:sz w:val="18"/>
                <w:szCs w:val="20"/>
              </w:rPr>
              <w:lastRenderedPageBreak/>
              <w:t>risinājumus (sistēmas) izstrādā saskaņā ar pieņemto IKT pārvaldības tiesisko regulējumu.</w:t>
            </w:r>
          </w:p>
        </w:tc>
      </w:tr>
      <w:tr w:rsidR="0042166D" w:rsidRPr="00930B4F" w14:paraId="2507D726"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0B4D6A2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34</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38385FF9" w14:textId="77777777" w:rsidR="0048148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2.1.2.1.i.</w:t>
            </w:r>
          </w:p>
          <w:p w14:paraId="63DB2F48" w14:textId="19C51160"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Centralizētas platformas, sistēmas un kopīgie pakalpojumi</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6AB1BF03"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Mērķis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3FF9B879" w14:textId="2229DC51"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 xml:space="preserve">Izveidoto un ekspluatācijā esošo centralizēto IKT platformu un sistēmu skaits </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6A26C063"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 xml:space="preserve"> </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6BAF8C46"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Skaits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48A5525D"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0</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09559A39"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15</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340A276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3.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0496FBE2"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2026</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2F49AF92"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Iestādes, kas veic izstrādes darbības / Viedās administrācijas un reģionālās attīstības ministrija</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38E13CCC"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33E61FE6"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1E628077"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Šā dokumenta pielikumā iekļauj šādus dokumentārus pierādījumus:</w:t>
            </w:r>
          </w:p>
          <w:p w14:paraId="159DE022" w14:textId="35C8CE41" w:rsidR="00481482" w:rsidRPr="00930B4F" w:rsidRDefault="005E6E2E" w:rsidP="00930B4F">
            <w:pPr>
              <w:widowControl w:val="0"/>
              <w:spacing w:after="0" w:line="240" w:lineRule="auto"/>
              <w:ind w:left="57" w:right="57"/>
              <w:rPr>
                <w:rFonts w:ascii="Times New Roman" w:hAnsi="Times New Roman"/>
                <w:noProof/>
                <w:sz w:val="18"/>
                <w:szCs w:val="20"/>
              </w:rPr>
            </w:pPr>
            <w:r w:rsidRPr="00930B4F">
              <w:rPr>
                <w:rFonts w:ascii="Times New Roman" w:hAnsi="Times New Roman"/>
                <w:sz w:val="18"/>
                <w:szCs w:val="20"/>
              </w:rPr>
              <w:t xml:space="preserve">a) darbuzņēmēja un līgumslēdzējas iestādes parakstīta apliecinājuma kopiju par četru sabiedrisko pakalpojumu sniegšanas platformu, piecu nozaru un atbalsta funkciju platformu un sešu pašvaldībām paredzētu kopīgu platformu un sistēmu izstrādes pabeigšanu un nodošanu lietošanā; </w:t>
            </w:r>
          </w:p>
          <w:p w14:paraId="13FA9A43" w14:textId="57E21EC5" w:rsidR="00067A32" w:rsidRPr="00930B4F" w:rsidRDefault="00950BA5"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b) tiešsaistes saites uz platformām.</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6D29F6CB" w14:textId="77777777" w:rsidR="0048148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t>Darbojas šādas centralizētas IKT platformas vai sistēmas:</w:t>
            </w:r>
          </w:p>
          <w:p w14:paraId="6C845000" w14:textId="6BBA8269"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t>1) sabiedrisko pakalpojumu sniegšanas platformas – četras;</w:t>
            </w:r>
          </w:p>
          <w:p w14:paraId="0AAEE28A" w14:textId="77777777" w:rsidR="0048148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t>2) nozaru un atbalsta funkciju platformas – piecas;</w:t>
            </w:r>
          </w:p>
          <w:p w14:paraId="6CEEED05" w14:textId="0453A64A" w:rsidR="00067A32" w:rsidRPr="00930B4F" w:rsidRDefault="00067A32" w:rsidP="00930B4F">
            <w:pPr>
              <w:widowControl w:val="0"/>
              <w:spacing w:after="0" w:line="240" w:lineRule="auto"/>
              <w:ind w:left="57" w:right="57"/>
              <w:rPr>
                <w:rFonts w:ascii="Times New Roman" w:hAnsi="Times New Roman" w:cs="Times New Roman"/>
                <w:noProof/>
                <w:sz w:val="18"/>
                <w:szCs w:val="20"/>
              </w:rPr>
            </w:pPr>
            <w:r w:rsidRPr="00930B4F">
              <w:rPr>
                <w:rFonts w:ascii="Times New Roman" w:hAnsi="Times New Roman"/>
                <w:sz w:val="18"/>
                <w:szCs w:val="20"/>
              </w:rPr>
              <w:t>3) kopīgas platformas un sistēmas pašvaldībām – sešas.</w:t>
            </w:r>
          </w:p>
        </w:tc>
      </w:tr>
      <w:tr w:rsidR="0042166D" w:rsidRPr="00930B4F" w14:paraId="67634950"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38D589DF"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35</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09F89CEA" w14:textId="77777777" w:rsidR="0048148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2.1.2.2.i.</w:t>
            </w:r>
          </w:p>
          <w:p w14:paraId="56185F69" w14:textId="3B60C1D3"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Latvijas nacionālais federētais mākonis</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0011170A"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Mērķis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2AAD9095"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 xml:space="preserve">To platformu vai sistēmu skaits, ko kopīgo pakalpojumu sniedzēji darbina, izmantojot kopīgus </w:t>
            </w:r>
            <w:r w:rsidRPr="00930B4F">
              <w:rPr>
                <w:rFonts w:ascii="Times New Roman" w:hAnsi="Times New Roman"/>
                <w:sz w:val="18"/>
                <w:szCs w:val="20"/>
              </w:rPr>
              <w:lastRenderedPageBreak/>
              <w:t>mākoņpakalpojumus</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5F907593"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43FB80E3"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Skaits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228C614E"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0</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7E7DA2D5"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4</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34DCB9BE"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4.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12CE8B50"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2024</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18C33503"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Kompetences centri / Viedās administrācijas un reģionālās attīstības ministrija</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13D5695E"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Darbības kārtībā ar slodzes līdzsvarošanu saistītās darbības veicina jaudas līdzsvarošanu.</w:t>
            </w: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7D37F43E"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66A1D818"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Šā dokumenta pielikumā iekļauj šādus dokumentārus pierādījumus:</w:t>
            </w:r>
          </w:p>
          <w:p w14:paraId="69EC0E5F" w14:textId="7A050977" w:rsidR="00067A32" w:rsidRPr="00930B4F" w:rsidRDefault="00067A32" w:rsidP="00930B4F">
            <w:pPr>
              <w:widowControl w:val="0"/>
              <w:spacing w:after="0" w:line="240" w:lineRule="auto"/>
              <w:ind w:left="57" w:right="57"/>
              <w:rPr>
                <w:rFonts w:ascii="Times New Roman" w:hAnsi="Times New Roman"/>
                <w:noProof/>
                <w:sz w:val="18"/>
                <w:szCs w:val="20"/>
              </w:rPr>
            </w:pPr>
            <w:r w:rsidRPr="00930B4F">
              <w:rPr>
                <w:rFonts w:ascii="Times New Roman" w:hAnsi="Times New Roman"/>
                <w:sz w:val="18"/>
                <w:szCs w:val="20"/>
              </w:rPr>
              <w:t xml:space="preserve">a) apliecinājumu par valsts platformu vai informācijas sistēmu darbības </w:t>
            </w:r>
            <w:r w:rsidRPr="00930B4F">
              <w:rPr>
                <w:rFonts w:ascii="Times New Roman" w:hAnsi="Times New Roman"/>
                <w:sz w:val="18"/>
                <w:szCs w:val="20"/>
              </w:rPr>
              <w:lastRenderedPageBreak/>
              <w:t>uzsākšanu, izmantojot kopīgos mākoņpakalpojumus, tostarp jaudas līdzsvarošanu un dublējuma atgūšanu fiziski attālinātā datu centrā, ko nodrošina katrs no mērķa aprakstā minētajiem kopīgo pakalpojumu sniedzējiem;</w:t>
            </w:r>
          </w:p>
          <w:p w14:paraId="1FF043CE" w14:textId="77777777" w:rsidR="00067A32" w:rsidRPr="00930B4F" w:rsidRDefault="00067A32" w:rsidP="00930B4F">
            <w:pPr>
              <w:widowControl w:val="0"/>
              <w:spacing w:after="0" w:line="240" w:lineRule="auto"/>
              <w:ind w:left="57" w:right="57"/>
              <w:rPr>
                <w:rFonts w:ascii="Times New Roman" w:hAnsi="Times New Roman"/>
                <w:noProof/>
                <w:sz w:val="18"/>
                <w:szCs w:val="20"/>
              </w:rPr>
            </w:pPr>
            <w:r w:rsidRPr="00930B4F">
              <w:rPr>
                <w:rFonts w:ascii="Times New Roman" w:hAnsi="Times New Roman"/>
                <w:sz w:val="18"/>
                <w:szCs w:val="20"/>
              </w:rPr>
              <w:t>b) aprakstus par publiskās pārvaldes informācijas sistēmu un platformu integrāciju nacionālajā federētajā mākonī.</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5F6601E3"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Mērķi uzskata par sasniegtu, ja katrs no četriem kopīgo pakalpojumu sniedzējiem (Latvijas Valsts radio un televīzijas centrs, Latvijas </w:t>
            </w:r>
            <w:r w:rsidRPr="00930B4F">
              <w:rPr>
                <w:rFonts w:ascii="Times New Roman" w:hAnsi="Times New Roman"/>
                <w:sz w:val="18"/>
                <w:szCs w:val="20"/>
              </w:rPr>
              <w:lastRenderedPageBreak/>
              <w:t>Nacionālā bibliotēka, Iekšlietu ministrijas Informācijas centrs, Zemkopības ministrija) darbina vismaz vienu valsts platformu vai informācijas sistēmu, izmantojot kopīgos mākoņpakalpojumus, tostarp jaudas līdzsvarošanu un dublējuma atgūšanu fiziski attālinātā datu centrā.</w:t>
            </w:r>
          </w:p>
        </w:tc>
      </w:tr>
      <w:tr w:rsidR="0042166D" w:rsidRPr="00930B4F" w14:paraId="1A668E9D"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670078D2"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36</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175F5619" w14:textId="77777777" w:rsidR="0048148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2.1.2.2.i.</w:t>
            </w:r>
          </w:p>
          <w:p w14:paraId="537AEA0A" w14:textId="222F9B23"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Latvijas nacionālais federētais mākonis</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2D716D62"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Mērķis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737E03B8"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To platformu vai sistēmu skaits, ko kopīgo pakalpojumu sniedzēji darbina, izmantojot kopīgus mākoņpakalpojumus</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44618FBF"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6DD46D6C"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Skaits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0976BCAD"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0</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2B30F6D1"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10</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10796BB9"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3.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1D2649BD"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2026</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60E78D9B"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Kompetences centri / Viedās administrācijas un reģionālās attīstības ministrija</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2E306B1F"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Darbības kārtībā ar slodzes līdzsvarošanu saistītās darbības veicina jaudas līdzsvarošanu.</w:t>
            </w: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128A48C0"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Dokuments, kurā pienācīgi pamatots tas, kā tika apmierinoši sasniegts mērķis (tostarp visi būtiskie elementi), kopā ar atbilstošām saitēm uz pamatojošajiem pierādījumiem.</w:t>
            </w:r>
          </w:p>
          <w:p w14:paraId="183DF6A7" w14:textId="77777777" w:rsidR="0048148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Šā dokumenta pielikumā iekļauj šādus dokumentārus pierādījumus:</w:t>
            </w:r>
          </w:p>
          <w:p w14:paraId="7EF3BE72" w14:textId="55863221" w:rsidR="00067A32" w:rsidRPr="00930B4F" w:rsidRDefault="00067A32" w:rsidP="00930B4F">
            <w:pPr>
              <w:widowControl w:val="0"/>
              <w:spacing w:after="0" w:line="240" w:lineRule="auto"/>
              <w:ind w:left="57" w:right="57"/>
              <w:rPr>
                <w:rFonts w:ascii="Times New Roman" w:hAnsi="Times New Roman"/>
                <w:noProof/>
                <w:sz w:val="18"/>
                <w:szCs w:val="20"/>
              </w:rPr>
            </w:pPr>
            <w:r w:rsidRPr="00930B4F">
              <w:rPr>
                <w:rFonts w:ascii="Times New Roman" w:hAnsi="Times New Roman"/>
                <w:sz w:val="18"/>
                <w:szCs w:val="20"/>
              </w:rPr>
              <w:t xml:space="preserve">a) kopijas apliecinājumiem par desmit publiskās pārvaldes platformu un informācijas sistēmu darbības uzsākšanu, izmantojot kopīgos mākoņpakalpojumus, tostarp jaudas </w:t>
            </w:r>
            <w:r w:rsidRPr="00930B4F">
              <w:rPr>
                <w:rFonts w:ascii="Times New Roman" w:hAnsi="Times New Roman"/>
                <w:sz w:val="18"/>
                <w:szCs w:val="20"/>
              </w:rPr>
              <w:lastRenderedPageBreak/>
              <w:t>līdzsvarošanu un dublējuma atgūšanu fiziski attālinātā datu centrā;</w:t>
            </w:r>
          </w:p>
          <w:p w14:paraId="67DE1851"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b) aprakstus par publiskās pārvaldes informācijas sistēmu un platformu integrāciju nacionālajā federētajā mākonī.</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4E57D3D6"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Mērķi uzskata par sasniegtu, ja visi četri kopīgo pakalpojumu sniedzēji kopā (Latvijas Valsts radio un televīzijas centrs, Latvijas Nacionālā bibliotēka, Iekšlietu </w:t>
            </w:r>
            <w:r w:rsidRPr="00930B4F">
              <w:rPr>
                <w:rFonts w:ascii="Times New Roman" w:hAnsi="Times New Roman"/>
                <w:sz w:val="18"/>
                <w:szCs w:val="20"/>
              </w:rPr>
              <w:lastRenderedPageBreak/>
              <w:t>ministrijas Informācijas centrs, Zemkopības ministrija) darbina vismaz desmit publiskās pārvaldes platformas vai informācijas sistēmas, izmantojot kopīgos mākoņpakalpojumus, tostarp jaudas līdzsvarošanu un dublējuma atgūšanu fiziski attālinātā datu centrā.</w:t>
            </w:r>
          </w:p>
        </w:tc>
      </w:tr>
      <w:tr w:rsidR="0042166D" w:rsidRPr="00930B4F" w14:paraId="611424FC"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6B79D6A7"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37</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263B8DD6" w14:textId="77777777" w:rsidR="0048148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2.1.3.r.</w:t>
            </w:r>
          </w:p>
          <w:p w14:paraId="1AB4E5C4" w14:textId="69741AF8"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Tautsaimniecības datu un digitālo pakalpojumu ekonomikas attīstība</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28DF56CA"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Atskaites punkts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1B113AE8" w14:textId="43126252"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Tiesiskā regulējuma stāšanās spēkā attiecībā uz atbalsta saņemšanu tautsaimniecības datu pārvaldības pārveides jomā</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7F0DA09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Tiesiskā regulējuma stāšanās spēkā</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48D761B4"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 xml:space="preserve"> Neattiecas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09CC18ED"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75E4EA1A" w14:textId="0575DB5E" w:rsidR="00067A32" w:rsidRPr="00930B4F" w:rsidRDefault="0048148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 xml:space="preserve"> Neattiecas</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69F5D583"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170CFC5A"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2022</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6839C28A"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Viedās administrācijas un reģionālās attīstības ministrija</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0AE90AA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294AF021"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 xml:space="preserve">Attiecīgā tiesību akta kopija un saite uz publikāciju oficiālajā izdevumā, tostarp atsauce uz noteikumu, kurā norādīta stāšanās spēkā, kam pievienots kopsavilkuma dokuments, kurā pienācīgi pamatots, kā tika apmierinoši sasniegts atskaites punkts, kopā ar atbilstošām saitēm uz pamatojošajiem pierādījumiem. </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3AEAE9B2"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t>Ministru kabineta saskaņota tiesiskā regulējuma stāšanās spēkā attiecībā uz atbalsta piešķiršanu tautsaimniecības datu pārvaldības pārveides jomā.</w:t>
            </w:r>
          </w:p>
        </w:tc>
      </w:tr>
      <w:tr w:rsidR="0042166D" w:rsidRPr="00930B4F" w14:paraId="45CC7BD1"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5CDBB0C9"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38</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231F1E88" w14:textId="77777777" w:rsidR="0048148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2.1.3.r.</w:t>
            </w:r>
          </w:p>
          <w:p w14:paraId="45F29B7B" w14:textId="0D8E31F4"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Tautsaimni</w:t>
            </w:r>
            <w:r w:rsidRPr="00930B4F">
              <w:rPr>
                <w:rFonts w:ascii="Times New Roman" w:hAnsi="Times New Roman"/>
                <w:b/>
                <w:sz w:val="18"/>
                <w:szCs w:val="20"/>
              </w:rPr>
              <w:lastRenderedPageBreak/>
              <w:t>ecības datu un digitālo pakalpojumu ekonomikas attīstība</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074388FE"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Atskaites </w:t>
            </w:r>
            <w:r w:rsidRPr="00930B4F">
              <w:rPr>
                <w:rFonts w:ascii="Times New Roman" w:hAnsi="Times New Roman"/>
                <w:sz w:val="18"/>
                <w:szCs w:val="20"/>
              </w:rPr>
              <w:lastRenderedPageBreak/>
              <w:t>punkts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44EB1A71"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Datu aprites </w:t>
            </w:r>
            <w:r w:rsidRPr="00930B4F">
              <w:rPr>
                <w:rFonts w:ascii="Times New Roman" w:hAnsi="Times New Roman"/>
                <w:sz w:val="18"/>
                <w:szCs w:val="20"/>
              </w:rPr>
              <w:lastRenderedPageBreak/>
              <w:t>valsts platformas darbības tiesiskais regulējums</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0A62344D"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Tiesiskā regulēju</w:t>
            </w:r>
            <w:r w:rsidRPr="00930B4F">
              <w:rPr>
                <w:rFonts w:ascii="Times New Roman" w:hAnsi="Times New Roman"/>
                <w:sz w:val="18"/>
                <w:szCs w:val="20"/>
              </w:rPr>
              <w:lastRenderedPageBreak/>
              <w:t>ma stāšanās spēkā</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747D19E1"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 Neattieca</w:t>
            </w:r>
            <w:r w:rsidRPr="00930B4F">
              <w:rPr>
                <w:rFonts w:ascii="Times New Roman" w:hAnsi="Times New Roman"/>
                <w:sz w:val="18"/>
                <w:szCs w:val="20"/>
              </w:rPr>
              <w:lastRenderedPageBreak/>
              <w:t>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7E56B782"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Neattiecas</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5FCAF048" w14:textId="1D69B542" w:rsidR="00067A32" w:rsidRPr="00930B4F" w:rsidRDefault="0048148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 xml:space="preserve"> Neatti</w:t>
            </w:r>
            <w:r w:rsidRPr="00930B4F">
              <w:rPr>
                <w:rFonts w:ascii="Times New Roman" w:hAnsi="Times New Roman"/>
                <w:sz w:val="18"/>
                <w:szCs w:val="20"/>
              </w:rPr>
              <w:lastRenderedPageBreak/>
              <w:t>ecas</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0770F651"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4.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13A63415"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2023</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6A28B503"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Viedās administrācij</w:t>
            </w:r>
            <w:r w:rsidRPr="00930B4F">
              <w:rPr>
                <w:rFonts w:ascii="Times New Roman" w:hAnsi="Times New Roman"/>
                <w:sz w:val="18"/>
                <w:szCs w:val="20"/>
              </w:rPr>
              <w:lastRenderedPageBreak/>
              <w:t>as un reģionālās attīstības ministrija</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36B51473"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5BDE49E1"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 xml:space="preserve">Attiecīgā tiesību akta kopija un saite uz publikāciju oficiālajā izdevumā, </w:t>
            </w:r>
            <w:r w:rsidRPr="00930B4F">
              <w:rPr>
                <w:rFonts w:ascii="Times New Roman" w:hAnsi="Times New Roman"/>
                <w:sz w:val="18"/>
                <w:szCs w:val="20"/>
              </w:rPr>
              <w:lastRenderedPageBreak/>
              <w:t>tostarp atsauce uz noteikumu, kurā norādīta stāšanās spēkā, kam pievienots kopsavilkuma dokuments, kurā pienācīgi pamatots, kā tika apmierinoši sasniegts atskaites punkts, kopā ar atbilstošām saitēm uz pamatojošajiem pierādījumiem.</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79C52F3A"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Reformas sekmīgu </w:t>
            </w:r>
            <w:r w:rsidRPr="00930B4F">
              <w:rPr>
                <w:rFonts w:ascii="Times New Roman" w:hAnsi="Times New Roman"/>
                <w:sz w:val="18"/>
                <w:szCs w:val="20"/>
              </w:rPr>
              <w:lastRenderedPageBreak/>
              <w:t>īstenošanu nodrošina tāda tiesiskā regulējuma stāšanās spēkā, kurā noteikti šādi valsts platformas aspekti:</w:t>
            </w:r>
          </w:p>
          <w:p w14:paraId="1CB1B2E4" w14:textId="363523D4" w:rsidR="00067A32" w:rsidRPr="00930B4F" w:rsidRDefault="00950BA5" w:rsidP="00930B4F">
            <w:pPr>
              <w:pStyle w:val="ListParagraph"/>
              <w:widowControl w:val="0"/>
              <w:spacing w:after="0" w:line="240" w:lineRule="auto"/>
              <w:ind w:left="57" w:right="57"/>
              <w:contextualSpacing w:val="0"/>
              <w:rPr>
                <w:rFonts w:ascii="Times New Roman" w:eastAsia="Calibri" w:hAnsi="Times New Roman" w:cs="Times New Roman"/>
                <w:noProof/>
                <w:sz w:val="18"/>
                <w:szCs w:val="20"/>
              </w:rPr>
            </w:pPr>
            <w:r w:rsidRPr="00930B4F">
              <w:rPr>
                <w:rFonts w:ascii="Times New Roman" w:hAnsi="Times New Roman"/>
                <w:sz w:val="18"/>
                <w:szCs w:val="20"/>
              </w:rPr>
              <w:t>1. datu koplietošanas pārvaldība, tostarp datu apmaiņas process centrālajā datu apmaiņas platformā;</w:t>
            </w:r>
          </w:p>
          <w:p w14:paraId="6828A12E" w14:textId="55681940" w:rsidR="00067A32" w:rsidRPr="00930B4F" w:rsidRDefault="00950BA5" w:rsidP="00930B4F">
            <w:pPr>
              <w:pStyle w:val="ListParagraph"/>
              <w:widowControl w:val="0"/>
              <w:spacing w:after="0" w:line="240" w:lineRule="auto"/>
              <w:ind w:left="57" w:right="57"/>
              <w:contextualSpacing w:val="0"/>
              <w:rPr>
                <w:rFonts w:ascii="Times New Roman" w:eastAsia="Calibri" w:hAnsi="Times New Roman" w:cs="Times New Roman"/>
                <w:noProof/>
                <w:sz w:val="18"/>
                <w:szCs w:val="20"/>
              </w:rPr>
            </w:pPr>
            <w:r w:rsidRPr="00930B4F">
              <w:rPr>
                <w:rFonts w:ascii="Times New Roman" w:hAnsi="Times New Roman"/>
                <w:sz w:val="18"/>
                <w:szCs w:val="20"/>
              </w:rPr>
              <w:t>2. iesaistīto iestāžu tiesības un pienākumi attiecībā uz datu koplietošanu un apriti centrālajā datu apmaiņas platformā;</w:t>
            </w:r>
          </w:p>
          <w:p w14:paraId="79BC3F12" w14:textId="6B38BAF7" w:rsidR="00067A32" w:rsidRPr="00930B4F" w:rsidRDefault="00950BA5" w:rsidP="00930B4F">
            <w:pPr>
              <w:pStyle w:val="ListParagraph"/>
              <w:widowControl w:val="0"/>
              <w:spacing w:after="0" w:line="240" w:lineRule="auto"/>
              <w:ind w:left="57" w:right="57"/>
              <w:contextualSpacing w:val="0"/>
              <w:rPr>
                <w:rFonts w:ascii="Times New Roman" w:eastAsia="Calibri" w:hAnsi="Times New Roman" w:cs="Times New Roman"/>
                <w:noProof/>
                <w:sz w:val="18"/>
                <w:szCs w:val="20"/>
              </w:rPr>
            </w:pPr>
            <w:r w:rsidRPr="00930B4F">
              <w:rPr>
                <w:rFonts w:ascii="Times New Roman" w:hAnsi="Times New Roman"/>
                <w:sz w:val="18"/>
                <w:szCs w:val="20"/>
              </w:rPr>
              <w:t>3. vienota un atvieglota personas datu apstrāde centrālajā datu apmaiņas platformā.</w:t>
            </w:r>
          </w:p>
        </w:tc>
      </w:tr>
      <w:tr w:rsidR="0042166D" w:rsidRPr="00930B4F" w14:paraId="5AC651B3"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50B6D884"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39</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71CAF13D" w14:textId="77777777" w:rsidR="0048148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2.1.3.1.i.</w:t>
            </w:r>
          </w:p>
          <w:p w14:paraId="54E49C0B" w14:textId="1D3E157C"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 xml:space="preserve">Datu </w:t>
            </w:r>
            <w:r w:rsidRPr="00930B4F">
              <w:rPr>
                <w:rFonts w:ascii="Times New Roman" w:hAnsi="Times New Roman"/>
                <w:b/>
                <w:sz w:val="18"/>
                <w:szCs w:val="20"/>
              </w:rPr>
              <w:lastRenderedPageBreak/>
              <w:t>pieejamība, koplietošana un analītika</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61433B58"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Mērķis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6B4887A4"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 xml:space="preserve">Nozares, par kurām </w:t>
            </w:r>
            <w:r w:rsidRPr="00930B4F">
              <w:rPr>
                <w:rFonts w:ascii="Times New Roman" w:hAnsi="Times New Roman"/>
                <w:sz w:val="18"/>
                <w:szCs w:val="20"/>
              </w:rPr>
              <w:lastRenderedPageBreak/>
              <w:t>būtiskas datu kopas ir pieejamas valsts datu aprites platformās, tostarp kontrolētās izplatīšanas platformās, ģeoportālos vai atvērto datu portālos</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58889543"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 </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0AD320C2"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Skaits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609C57CA"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0</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68E0CBC1"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10</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12F5901F"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3.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71A6A30A"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2026</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20C9B62A"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Viedās administrācij</w:t>
            </w:r>
            <w:r w:rsidRPr="00930B4F">
              <w:rPr>
                <w:rFonts w:ascii="Times New Roman" w:hAnsi="Times New Roman"/>
                <w:sz w:val="18"/>
                <w:szCs w:val="20"/>
              </w:rPr>
              <w:lastRenderedPageBreak/>
              <w:t>as un reģionālās attīstības ministrija / risinājuma pārziņi</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755E22BA"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37671FA0"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 xml:space="preserve">Kopsavilkuma dokuments, kurā pienācīgi pamatots, kā tika </w:t>
            </w:r>
            <w:r w:rsidRPr="00930B4F">
              <w:rPr>
                <w:rFonts w:ascii="Times New Roman" w:hAnsi="Times New Roman"/>
                <w:sz w:val="18"/>
                <w:szCs w:val="20"/>
              </w:rPr>
              <w:lastRenderedPageBreak/>
              <w:t>apmierinoši sasniegts mērķis (tostarp visi būtiskie elementi), kopā ar atbilstošām saitēm uz pamatojošajiem pierādījumiem.</w:t>
            </w:r>
          </w:p>
          <w:p w14:paraId="47AEEFFE" w14:textId="77777777" w:rsidR="0048148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Šā dokumenta pielikumā iekļauj šādus dokumentārus pierādījumus:</w:t>
            </w:r>
          </w:p>
          <w:p w14:paraId="2E497B3C" w14:textId="7E97D292" w:rsidR="00067A32" w:rsidRPr="00930B4F" w:rsidRDefault="00E87C4A"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a) valsts centralizētajās datu pārvaldības un izplatīšanas platformās pieejamo attiecīgo datu kopu aprakstu;</w:t>
            </w:r>
          </w:p>
          <w:p w14:paraId="5409897B" w14:textId="460DB9A5" w:rsidR="00067A32" w:rsidRPr="00930B4F" w:rsidRDefault="00E87C4A" w:rsidP="00930B4F">
            <w:pPr>
              <w:widowControl w:val="0"/>
              <w:spacing w:after="0" w:line="240" w:lineRule="auto"/>
              <w:ind w:left="57" w:right="57"/>
              <w:rPr>
                <w:rFonts w:ascii="Times New Roman" w:hAnsi="Times New Roman"/>
                <w:noProof/>
                <w:sz w:val="18"/>
                <w:szCs w:val="20"/>
              </w:rPr>
            </w:pPr>
            <w:r w:rsidRPr="00930B4F">
              <w:rPr>
                <w:rFonts w:ascii="Times New Roman" w:hAnsi="Times New Roman"/>
                <w:sz w:val="18"/>
                <w:szCs w:val="20"/>
              </w:rPr>
              <w:t>b) kopiju darbuzņēmēja un līgumslēdzēja iestādes parakstītam apliecinājumam par projekta pabeigšanu.</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0CEC27FA" w14:textId="77777777" w:rsidR="00067A32" w:rsidRPr="00930B4F" w:rsidRDefault="00067A32" w:rsidP="00930B4F">
            <w:pPr>
              <w:widowControl w:val="0"/>
              <w:spacing w:after="0" w:line="240" w:lineRule="auto"/>
              <w:ind w:left="57" w:right="57"/>
              <w:rPr>
                <w:rFonts w:ascii="Times New Roman" w:hAnsi="Times New Roman" w:cs="Times New Roman"/>
                <w:noProof/>
                <w:sz w:val="18"/>
                <w:szCs w:val="20"/>
              </w:rPr>
            </w:pPr>
            <w:r w:rsidRPr="00930B4F">
              <w:rPr>
                <w:rFonts w:ascii="Times New Roman" w:hAnsi="Times New Roman"/>
                <w:sz w:val="18"/>
                <w:szCs w:val="20"/>
              </w:rPr>
              <w:lastRenderedPageBreak/>
              <w:t xml:space="preserve">Valsts centralizētās </w:t>
            </w:r>
            <w:r w:rsidRPr="00930B4F">
              <w:rPr>
                <w:rFonts w:ascii="Times New Roman" w:hAnsi="Times New Roman"/>
                <w:sz w:val="18"/>
                <w:szCs w:val="20"/>
              </w:rPr>
              <w:lastRenderedPageBreak/>
              <w:t>datu pārvaldības un izplatīšanas platformas nodrošina piekļuvi datu kopām, kas attiecas uz vismaz desmit dažādām publiskās pārvaldes nozarēm un jomām, tostarp astoņām šādām nozarēm un jomām: uzņēmējdarbība, zinātne, vide, finanses, publiskais iepirkums, veselības aprūpe, veterinārija un lauksaimniecība (ģeotelpiskie dati).</w:t>
            </w:r>
          </w:p>
        </w:tc>
      </w:tr>
      <w:tr w:rsidR="0042166D" w:rsidRPr="00930B4F" w14:paraId="01176F28"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05391C7E"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40</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65BBE707" w14:textId="77777777" w:rsidR="0048148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2.2.1.r.</w:t>
            </w:r>
          </w:p>
          <w:p w14:paraId="4E053C5A" w14:textId="025A8563"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 xml:space="preserve">Uzņēmējdarbības digitālās transformācijas pilna cikla atbalsta </w:t>
            </w:r>
            <w:r w:rsidRPr="00930B4F">
              <w:rPr>
                <w:rFonts w:ascii="Times New Roman" w:hAnsi="Times New Roman"/>
                <w:b/>
                <w:sz w:val="18"/>
                <w:szCs w:val="20"/>
              </w:rPr>
              <w:lastRenderedPageBreak/>
              <w:t>izveide ar reģionālo tvērumu</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39E92409"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Atskaites punkts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401830DB" w14:textId="7D2EAB59"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 xml:space="preserve">Izveidots Eiropas Digitālās inovācijas centrs (EDIC) </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7B171540"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Izveidots Eiropas Digitālās inovācijas centrs (EDIC)</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3F973455"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26BF72ED"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19A8C3F8"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7A72BAB6"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1E71CC1C"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2022</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0EB0088B"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Ekonomikas ministrija un Latvijas EDIC kandidāts</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12448315"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69657426"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Kopsavilkuma dokuments, kurā pienācīgi pamatots, kā tika apmierinoši sasniegts atskaites punkts (tostarp visi būtiskie elementi), kopā ar atbilstošām saitēm uz pamatojošajiem pierādījumiem.</w:t>
            </w:r>
          </w:p>
          <w:p w14:paraId="7425C67E" w14:textId="77777777" w:rsidR="00067A32" w:rsidRPr="00930B4F" w:rsidRDefault="00067A32" w:rsidP="00930B4F">
            <w:pPr>
              <w:widowControl w:val="0"/>
              <w:spacing w:after="0" w:line="240" w:lineRule="auto"/>
              <w:ind w:left="57" w:right="57"/>
              <w:rPr>
                <w:rFonts w:ascii="Times New Roman" w:hAnsi="Times New Roman"/>
                <w:noProof/>
                <w:sz w:val="18"/>
                <w:szCs w:val="20"/>
              </w:rPr>
            </w:pPr>
            <w:r w:rsidRPr="00930B4F">
              <w:rPr>
                <w:rFonts w:ascii="Times New Roman" w:hAnsi="Times New Roman"/>
                <w:sz w:val="18"/>
                <w:szCs w:val="20"/>
              </w:rPr>
              <w:t xml:space="preserve">Šā dokumenta pielikumā iekļauj apliecinājumu par Eiropas Digitālās </w:t>
            </w:r>
            <w:r w:rsidRPr="00930B4F">
              <w:rPr>
                <w:rFonts w:ascii="Times New Roman" w:hAnsi="Times New Roman"/>
                <w:sz w:val="18"/>
                <w:szCs w:val="20"/>
              </w:rPr>
              <w:lastRenderedPageBreak/>
              <w:t>inovācijas centra izveidi, kam piešķirts līdzfinansējums no programmas “Digitālā Eiropa”, un darbību, ko tas veic kā vienas pieturas aģentūra digitālās transformācijas koordinēšanai.</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683CD72B"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EDIC darbojas saskaņā ar programmas “Digitālā Eiropa” prioritātēm un ir daļa no vienota Eiropas digitālās </w:t>
            </w:r>
            <w:r w:rsidRPr="00930B4F">
              <w:rPr>
                <w:rFonts w:ascii="Times New Roman" w:hAnsi="Times New Roman"/>
                <w:sz w:val="18"/>
                <w:szCs w:val="20"/>
              </w:rPr>
              <w:lastRenderedPageBreak/>
              <w:t>inovācijas centru tīkla. Tas darbojas kā vienas pieturas aģentūra uzņēmumu digitālās transformācijas koordinēšanai. Tā mērķis ir nodrošināt vienotu pieeju un informācijas apmaiņu starp reģionālajiem uzņēmējdarbības centriem, digitālā brieduma testu un valsts atbalstu.</w:t>
            </w:r>
          </w:p>
        </w:tc>
      </w:tr>
      <w:tr w:rsidR="0042166D" w:rsidRPr="00930B4F" w14:paraId="3A56D610"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7B0FFF89"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41.</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7A336E73" w14:textId="77777777" w:rsidR="0048148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2.2.1.r.</w:t>
            </w:r>
          </w:p>
          <w:p w14:paraId="1D84CF0B" w14:textId="1A2AE22C"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Uzņēmējdarbības digitālās transformācijas pilna cikla atbalsta izveide ar reģionālo tvērumu</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0B0791CC"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Atskaites punkts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3C70E673" w14:textId="2F8218B5"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 xml:space="preserve">Reģionālie uzņēmējdarbības atbalsta centri nodrošina jaunas digitālās transformācijas atbalsta funkcijas </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52458B1D"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 xml:space="preserve">Reģionālie uzņēmējdarbības atbalsta centri nodrošina digitālās transformācijas atbalsta funkcijas </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50F6C05C"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253E67AF"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661C6B61"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6B505B07"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3.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04C0FFE0"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2022</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7B24F03D"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Ekonomikas ministrija un Eiropas Digitālās inovācijas centrs</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53215962"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416EDCF1"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03CE6640" w14:textId="77777777" w:rsidR="0048148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Šā dokumenta pielikumā iekļauj šādus dokumentārus pierādījumus:</w:t>
            </w:r>
          </w:p>
          <w:p w14:paraId="1DE95AC9" w14:textId="261AC4BC" w:rsidR="00067A32" w:rsidRPr="00930B4F" w:rsidRDefault="000E587D"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a) aprakstu par digitālā brieduma testa organizēšanu šajos reģionos;</w:t>
            </w:r>
          </w:p>
          <w:p w14:paraId="24F60A6C" w14:textId="731C968D" w:rsidR="00481482" w:rsidRPr="00930B4F" w:rsidRDefault="000E587D"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b) aprakstu par nodrošināto piekļuvi testēšanai un izmēģinājuma projektiem;</w:t>
            </w:r>
          </w:p>
          <w:p w14:paraId="41668C92" w14:textId="617BA2A2" w:rsidR="00067A32" w:rsidRPr="00930B4F" w:rsidRDefault="000E587D"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 xml:space="preserve">c) pārskatu par īstenotajiem </w:t>
            </w:r>
            <w:r w:rsidRPr="00930B4F">
              <w:rPr>
                <w:rFonts w:ascii="Times New Roman" w:hAnsi="Times New Roman"/>
                <w:sz w:val="18"/>
                <w:szCs w:val="20"/>
              </w:rPr>
              <w:lastRenderedPageBreak/>
              <w:t>mentorēšanas pasākumiem;</w:t>
            </w:r>
          </w:p>
          <w:p w14:paraId="162BA57E" w14:textId="3C13672D" w:rsidR="00067A32" w:rsidRPr="00930B4F" w:rsidRDefault="000E587D"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d) pārskatu par nodrošināto digitālo prasmju apguvi.</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23788E32"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lastRenderedPageBreak/>
              <w:t>Reģionālie uzņēmējdarbības atbalsta centri ir sākuši nodrošināt šādas jaunas digitālās transformācijas atbalsta funkcijas:</w:t>
            </w:r>
          </w:p>
          <w:p w14:paraId="4F2992A8" w14:textId="3FA019DC" w:rsidR="00481482" w:rsidRPr="00930B4F" w:rsidRDefault="005B0498" w:rsidP="00930B4F">
            <w:pPr>
              <w:pStyle w:val="ListParagraph"/>
              <w:widowControl w:val="0"/>
              <w:spacing w:after="0" w:line="240" w:lineRule="auto"/>
              <w:ind w:left="57" w:right="57"/>
              <w:contextualSpacing w:val="0"/>
              <w:rPr>
                <w:rFonts w:ascii="Times New Roman" w:eastAsia="Calibri" w:hAnsi="Times New Roman" w:cs="Times New Roman"/>
                <w:noProof/>
                <w:sz w:val="18"/>
                <w:szCs w:val="20"/>
              </w:rPr>
            </w:pPr>
            <w:r w:rsidRPr="00930B4F">
              <w:rPr>
                <w:rFonts w:ascii="Times New Roman" w:hAnsi="Times New Roman"/>
                <w:sz w:val="18"/>
                <w:szCs w:val="20"/>
              </w:rPr>
              <w:t>1. digitālā brieduma testi reģionos;</w:t>
            </w:r>
          </w:p>
          <w:p w14:paraId="3D7B0D89" w14:textId="35543FE8" w:rsidR="00067A32" w:rsidRPr="00930B4F" w:rsidRDefault="005B0498" w:rsidP="00930B4F">
            <w:pPr>
              <w:pStyle w:val="ListParagraph"/>
              <w:widowControl w:val="0"/>
              <w:spacing w:after="0" w:line="240" w:lineRule="auto"/>
              <w:ind w:left="57" w:right="57"/>
              <w:contextualSpacing w:val="0"/>
              <w:rPr>
                <w:rFonts w:ascii="Times New Roman" w:eastAsia="Calibri" w:hAnsi="Times New Roman" w:cs="Times New Roman"/>
                <w:noProof/>
                <w:sz w:val="18"/>
                <w:szCs w:val="20"/>
              </w:rPr>
            </w:pPr>
            <w:r w:rsidRPr="00930B4F">
              <w:rPr>
                <w:rFonts w:ascii="Times New Roman" w:hAnsi="Times New Roman"/>
                <w:sz w:val="18"/>
                <w:szCs w:val="20"/>
              </w:rPr>
              <w:t xml:space="preserve">2. piekļuve testēšanai un </w:t>
            </w:r>
            <w:r w:rsidRPr="00930B4F">
              <w:rPr>
                <w:rFonts w:ascii="Times New Roman" w:hAnsi="Times New Roman"/>
                <w:sz w:val="18"/>
                <w:szCs w:val="20"/>
              </w:rPr>
              <w:lastRenderedPageBreak/>
              <w:t>izmēģinājuma projektiem;</w:t>
            </w:r>
          </w:p>
          <w:p w14:paraId="34C31058" w14:textId="5B818D4A" w:rsidR="00067A32" w:rsidRPr="00930B4F" w:rsidRDefault="005B0498" w:rsidP="00930B4F">
            <w:pPr>
              <w:pStyle w:val="ListParagraph"/>
              <w:widowControl w:val="0"/>
              <w:spacing w:after="0" w:line="240" w:lineRule="auto"/>
              <w:ind w:left="57" w:right="57"/>
              <w:contextualSpacing w:val="0"/>
              <w:rPr>
                <w:rFonts w:ascii="Times New Roman" w:eastAsia="Calibri" w:hAnsi="Times New Roman" w:cs="Times New Roman"/>
                <w:noProof/>
                <w:sz w:val="18"/>
                <w:szCs w:val="20"/>
              </w:rPr>
            </w:pPr>
            <w:r w:rsidRPr="00930B4F">
              <w:rPr>
                <w:rFonts w:ascii="Times New Roman" w:hAnsi="Times New Roman"/>
                <w:sz w:val="18"/>
                <w:szCs w:val="20"/>
              </w:rPr>
              <w:t>3. mentorēšana un digitālo prasmju apguve.</w:t>
            </w:r>
          </w:p>
        </w:tc>
      </w:tr>
      <w:tr w:rsidR="0042166D" w:rsidRPr="00930B4F" w14:paraId="1798D2F8"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305EF257"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42.</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6948611D" w14:textId="77777777" w:rsidR="0048148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2.2.1.r.</w:t>
            </w:r>
          </w:p>
          <w:p w14:paraId="68BE8A81" w14:textId="02D966C6"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Uzņēmējdarbības digitālās transformācijas pilna cikla atbalsta izveide ar reģionālo tvērumu</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70D4593E"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Atskaites punkts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1D708C52"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Struktūrām paredzēta digitālā brieduma testa sistēmas izveide, lai noteiktu struktūrām nepieciešamās darbības un valsts atbalstu</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01C3F5BE"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Ieviesta digitālā brieduma testa sistēma</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55B7263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6E4285B7"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0910BDFC"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625533CD"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 xml:space="preserve">2. cet. </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79B135B5"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2022</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1E6652B9"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Ekonomikas ministrija un Eiropas Digitālās inovācijas centrs</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56804152"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1156D6E3"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4B7E6BC0"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Šajā dokumentā norāda unikālo lietotāju skaitu, un tā pielikumā iekļauj apliecinājumu par struktūrām paredzētās digitālā brieduma testa sistēmas nodošanu lietošanā.</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4BF881CF"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t>Izveido struktūrām paredzētu digitālā brieduma testa sistēmu. Digitālā brieduma tests ir digitāls rīks, kas pieejams EDIC tīmekļvietnē un kas novērtē struktūras digitālo briedumu dažādos aspektos, un struktūra to var aizpildīt patstāvīgi vai ar konsultanta palīdzību.</w:t>
            </w:r>
          </w:p>
        </w:tc>
      </w:tr>
      <w:tr w:rsidR="0042166D" w:rsidRPr="00930B4F" w14:paraId="05B47936"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5CE235B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43</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58E17C99" w14:textId="77777777" w:rsidR="00481482" w:rsidRPr="00930B4F" w:rsidRDefault="00067A32" w:rsidP="00930B4F">
            <w:pPr>
              <w:widowControl w:val="0"/>
              <w:spacing w:after="0" w:line="240" w:lineRule="auto"/>
              <w:ind w:left="57" w:right="57"/>
              <w:jc w:val="both"/>
              <w:rPr>
                <w:rFonts w:ascii="Times New Roman" w:eastAsia="Calibri" w:hAnsi="Times New Roman" w:cs="Times New Roman"/>
                <w:b/>
                <w:noProof/>
                <w:sz w:val="18"/>
                <w:szCs w:val="20"/>
              </w:rPr>
            </w:pPr>
            <w:r w:rsidRPr="00930B4F">
              <w:rPr>
                <w:rFonts w:ascii="Times New Roman" w:hAnsi="Times New Roman"/>
                <w:b/>
                <w:sz w:val="18"/>
                <w:szCs w:val="20"/>
              </w:rPr>
              <w:t>2.2.1.1.i.</w:t>
            </w:r>
          </w:p>
          <w:p w14:paraId="048695D9" w14:textId="6D57B5AC" w:rsidR="00067A32" w:rsidRPr="00930B4F" w:rsidRDefault="00067A32" w:rsidP="00930B4F">
            <w:pPr>
              <w:widowControl w:val="0"/>
              <w:spacing w:after="0" w:line="240" w:lineRule="auto"/>
              <w:ind w:left="57" w:right="57"/>
              <w:jc w:val="both"/>
              <w:rPr>
                <w:rFonts w:ascii="Times New Roman" w:eastAsia="Calibri" w:hAnsi="Times New Roman" w:cs="Times New Roman"/>
                <w:b/>
                <w:noProof/>
                <w:sz w:val="18"/>
                <w:szCs w:val="20"/>
              </w:rPr>
            </w:pPr>
            <w:r w:rsidRPr="00930B4F">
              <w:rPr>
                <w:rFonts w:ascii="Times New Roman" w:hAnsi="Times New Roman"/>
                <w:b/>
                <w:sz w:val="18"/>
                <w:szCs w:val="20"/>
              </w:rPr>
              <w:t xml:space="preserve">Atbalsts digitālās inovācijas centru un reģionālo kontaktpunktu izveidei </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3A2F47ED"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Mērķis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42E71B60" w14:textId="77777777" w:rsidR="00067A32" w:rsidRPr="00930B4F" w:rsidRDefault="00067A32" w:rsidP="00930B4F">
            <w:pPr>
              <w:widowControl w:val="0"/>
              <w:spacing w:after="0" w:line="240" w:lineRule="auto"/>
              <w:ind w:left="57" w:right="57"/>
              <w:jc w:val="both"/>
              <w:rPr>
                <w:rFonts w:ascii="Times New Roman" w:hAnsi="Times New Roman" w:cs="Times New Roman"/>
                <w:noProof/>
                <w:sz w:val="18"/>
                <w:szCs w:val="20"/>
              </w:rPr>
            </w:pPr>
            <w:r w:rsidRPr="00930B4F">
              <w:rPr>
                <w:rFonts w:ascii="Times New Roman" w:hAnsi="Times New Roman"/>
                <w:sz w:val="18"/>
                <w:szCs w:val="20"/>
              </w:rPr>
              <w:t xml:space="preserve">To digitālās transformācijas ceļvežu skaits, ko Eiropas digitālās inovācijas </w:t>
            </w:r>
            <w:r w:rsidRPr="00930B4F">
              <w:rPr>
                <w:rFonts w:ascii="Times New Roman" w:hAnsi="Times New Roman"/>
                <w:sz w:val="18"/>
                <w:szCs w:val="20"/>
              </w:rPr>
              <w:lastRenderedPageBreak/>
              <w:t>centri (EDIC) ir izdevuši struktūrām</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37120845"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Neattiecas</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49D4031A"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Izdotie ceļveži</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6587D396"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0</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26CD04D9"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1400</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223FCD21"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04AD2BB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2024</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02735604"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Eiropas Digitālās inovācijas centrs sadarbībā ar citām iestādēm</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1DB789F5"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25343FD1"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6A5BB2F9" w14:textId="77777777" w:rsidR="0048148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Šā dokumenta pielikumā iekļauj šādus dokumentārus pierādījumus:</w:t>
            </w:r>
          </w:p>
          <w:p w14:paraId="4FE86D08" w14:textId="16A8BA41" w:rsidR="00481482" w:rsidRPr="00930B4F" w:rsidRDefault="005B0498" w:rsidP="00930B4F">
            <w:pPr>
              <w:widowControl w:val="0"/>
              <w:spacing w:after="0" w:line="240" w:lineRule="auto"/>
              <w:ind w:left="57" w:right="57"/>
              <w:rPr>
                <w:rFonts w:ascii="Times New Roman" w:hAnsi="Times New Roman"/>
                <w:noProof/>
                <w:sz w:val="18"/>
                <w:szCs w:val="20"/>
              </w:rPr>
            </w:pPr>
            <w:r w:rsidRPr="00930B4F">
              <w:rPr>
                <w:rFonts w:ascii="Times New Roman" w:hAnsi="Times New Roman"/>
                <w:sz w:val="18"/>
                <w:szCs w:val="20"/>
              </w:rPr>
              <w:lastRenderedPageBreak/>
              <w:t>a) to ceļvežu sarakstu, kurus EDIC izdevuši struktūrām ar unikālajiem identifikatoriem;</w:t>
            </w:r>
          </w:p>
          <w:p w14:paraId="491889A4" w14:textId="3AE3CE84" w:rsidR="00067A32" w:rsidRPr="00930B4F" w:rsidRDefault="005B0498" w:rsidP="00930B4F">
            <w:pPr>
              <w:widowControl w:val="0"/>
              <w:spacing w:after="0" w:line="240" w:lineRule="auto"/>
              <w:ind w:left="57" w:right="57"/>
              <w:rPr>
                <w:rFonts w:ascii="Times New Roman" w:hAnsi="Times New Roman"/>
                <w:noProof/>
                <w:sz w:val="18"/>
                <w:szCs w:val="20"/>
              </w:rPr>
            </w:pPr>
            <w:r w:rsidRPr="00930B4F">
              <w:rPr>
                <w:rFonts w:ascii="Times New Roman" w:hAnsi="Times New Roman"/>
                <w:sz w:val="18"/>
                <w:szCs w:val="20"/>
              </w:rPr>
              <w:t>b) izrakstu no oficiālajiem dokumentiem, kuros norādīti atlases kritēriji, kas nodrošina atbilstību Tehniskajiem norādījumiem par principa “nenodarīt būtisku kaitējumu” piemērošanu (2021/C58/01), kā noteikts Padomes Īstenošanas lēmuma pielikumā.</w:t>
            </w:r>
          </w:p>
          <w:p w14:paraId="4D6523CE" w14:textId="77777777" w:rsidR="00067A32" w:rsidRPr="00930B4F" w:rsidRDefault="00067A32" w:rsidP="00930B4F">
            <w:pPr>
              <w:widowControl w:val="0"/>
              <w:spacing w:after="0" w:line="240" w:lineRule="auto"/>
              <w:ind w:left="57" w:right="57"/>
              <w:rPr>
                <w:rFonts w:ascii="Times New Roman" w:eastAsiaTheme="minorEastAsia" w:hAnsi="Times New Roman"/>
                <w:noProof/>
                <w:sz w:val="18"/>
                <w:szCs w:val="20"/>
              </w:rPr>
            </w:pP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3C1B7DC3" w14:textId="26907303"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To EDIC izdoto digitālās transformācijas ceļvežu skaits, kuros norādīta vismaz viena investīcija. Atlases kritēriji </w:t>
            </w:r>
            <w:r w:rsidRPr="00930B4F">
              <w:rPr>
                <w:rFonts w:ascii="Times New Roman" w:hAnsi="Times New Roman"/>
                <w:sz w:val="18"/>
                <w:szCs w:val="20"/>
              </w:rPr>
              <w:lastRenderedPageBreak/>
              <w:t>nodrošina, ka atlasītie projekti atbilst Tehniskajiem norādījumiem par principa “nenodarīt būtisku kaitējumu” piemērošanu (2021/C58/01), izmantojot izslēgšanas sarakstu un prasību nodrošināt atbilstību attiecīgajiem ES un valsts tiesību aktiem vides jomā.</w:t>
            </w:r>
          </w:p>
        </w:tc>
      </w:tr>
      <w:tr w:rsidR="0042166D" w:rsidRPr="00930B4F" w14:paraId="78A6199B"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779AB826"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44</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092A3E1B" w14:textId="77777777" w:rsidR="00481482" w:rsidRPr="00930B4F" w:rsidRDefault="00067A32" w:rsidP="00930B4F">
            <w:pPr>
              <w:widowControl w:val="0"/>
              <w:spacing w:after="0" w:line="240" w:lineRule="auto"/>
              <w:ind w:left="57" w:right="57"/>
              <w:jc w:val="both"/>
              <w:rPr>
                <w:rFonts w:ascii="Times New Roman" w:eastAsia="Calibri" w:hAnsi="Times New Roman" w:cs="Times New Roman"/>
                <w:b/>
                <w:noProof/>
                <w:sz w:val="18"/>
                <w:szCs w:val="20"/>
              </w:rPr>
            </w:pPr>
            <w:r w:rsidRPr="00930B4F">
              <w:rPr>
                <w:rFonts w:ascii="Times New Roman" w:hAnsi="Times New Roman"/>
                <w:b/>
                <w:sz w:val="18"/>
                <w:szCs w:val="20"/>
              </w:rPr>
              <w:t>2.2.1.1.i.</w:t>
            </w:r>
          </w:p>
          <w:p w14:paraId="1EE73F4F" w14:textId="6F72260A" w:rsidR="00067A32" w:rsidRPr="00930B4F" w:rsidRDefault="00067A32" w:rsidP="00930B4F">
            <w:pPr>
              <w:widowControl w:val="0"/>
              <w:spacing w:after="0" w:line="240" w:lineRule="auto"/>
              <w:ind w:left="57" w:right="57"/>
              <w:jc w:val="both"/>
              <w:rPr>
                <w:rFonts w:ascii="Times New Roman" w:eastAsia="Calibri" w:hAnsi="Times New Roman" w:cs="Times New Roman"/>
                <w:b/>
                <w:noProof/>
                <w:sz w:val="18"/>
                <w:szCs w:val="20"/>
              </w:rPr>
            </w:pPr>
            <w:r w:rsidRPr="00930B4F">
              <w:rPr>
                <w:rFonts w:ascii="Times New Roman" w:hAnsi="Times New Roman"/>
                <w:b/>
                <w:sz w:val="18"/>
                <w:szCs w:val="20"/>
              </w:rPr>
              <w:t xml:space="preserve">Atbalsts digitālās inovācijas centru un reģionālo kontaktpunktu izveidei </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28748694"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Mērķis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195B9D2E" w14:textId="1C90DD55" w:rsidR="00067A32" w:rsidRPr="00930B4F" w:rsidRDefault="00067A32" w:rsidP="00930B4F">
            <w:pPr>
              <w:widowControl w:val="0"/>
              <w:spacing w:after="0" w:line="240" w:lineRule="auto"/>
              <w:ind w:left="57" w:right="57"/>
              <w:jc w:val="both"/>
              <w:rPr>
                <w:rFonts w:ascii="Times New Roman" w:hAnsi="Times New Roman" w:cs="Times New Roman"/>
                <w:noProof/>
                <w:sz w:val="18"/>
                <w:szCs w:val="20"/>
              </w:rPr>
            </w:pPr>
            <w:r w:rsidRPr="00930B4F">
              <w:rPr>
                <w:rFonts w:ascii="Times New Roman" w:hAnsi="Times New Roman"/>
                <w:sz w:val="18"/>
                <w:szCs w:val="20"/>
              </w:rPr>
              <w:t>To digitālās transformācijas ceļvežu skaits, ko Eiropas digitālās inovācijas centri (EDIC) ir izdevuši struktūrām</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6AA9B723"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0BE3BA38"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Izdotie ceļveži</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3A6BBD87"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1400</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5252ACF3"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2000</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48C1B600"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4A700207"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2026</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460AB330"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 xml:space="preserve">Eiropas Digitālās inovācijas centrs sadarbībā ar citām iestādēm </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238920D1"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5EBCA660"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6A4A991F" w14:textId="77777777" w:rsidR="0048148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Šā dokumenta pielikumā iekļauj šādus dokumentārus pierādījumus:</w:t>
            </w:r>
          </w:p>
          <w:p w14:paraId="322C13CC" w14:textId="376DF59F" w:rsidR="00481482" w:rsidRPr="00930B4F" w:rsidRDefault="009F6390" w:rsidP="00930B4F">
            <w:pPr>
              <w:widowControl w:val="0"/>
              <w:spacing w:after="0" w:line="240" w:lineRule="auto"/>
              <w:ind w:left="57" w:right="57"/>
              <w:rPr>
                <w:rFonts w:ascii="Times New Roman" w:hAnsi="Times New Roman"/>
                <w:noProof/>
                <w:sz w:val="18"/>
                <w:szCs w:val="20"/>
              </w:rPr>
            </w:pPr>
            <w:r w:rsidRPr="00930B4F">
              <w:rPr>
                <w:rFonts w:ascii="Times New Roman" w:hAnsi="Times New Roman"/>
                <w:sz w:val="18"/>
                <w:szCs w:val="20"/>
              </w:rPr>
              <w:t>a) to ceļvežu saraksts, kurus EDIC izdevuši struktūrām ar unikālajiem identifikatoriem papildus tiem, kas norādīti 43. mērķī;</w:t>
            </w:r>
          </w:p>
          <w:p w14:paraId="63DA013F" w14:textId="4710F095" w:rsidR="00067A32" w:rsidRPr="00930B4F" w:rsidRDefault="009F6390" w:rsidP="00930B4F">
            <w:pPr>
              <w:widowControl w:val="0"/>
              <w:spacing w:after="0" w:line="240" w:lineRule="auto"/>
              <w:ind w:left="57" w:right="57"/>
              <w:rPr>
                <w:rFonts w:ascii="Times New Roman" w:hAnsi="Times New Roman"/>
                <w:noProof/>
                <w:sz w:val="18"/>
                <w:szCs w:val="20"/>
              </w:rPr>
            </w:pPr>
            <w:r w:rsidRPr="00930B4F">
              <w:rPr>
                <w:rFonts w:ascii="Times New Roman" w:hAnsi="Times New Roman"/>
                <w:sz w:val="18"/>
                <w:szCs w:val="20"/>
              </w:rPr>
              <w:t xml:space="preserve">b) izraksts no oficiālajiem dokumentiem, kuros norādīti atlases </w:t>
            </w:r>
            <w:r w:rsidRPr="00930B4F">
              <w:rPr>
                <w:rFonts w:ascii="Times New Roman" w:hAnsi="Times New Roman"/>
                <w:sz w:val="18"/>
                <w:szCs w:val="20"/>
              </w:rPr>
              <w:lastRenderedPageBreak/>
              <w:t>kritēriji, kas nodrošina atbilstību Tehniskajiem norādījumiem par principa “nenodarīt būtisku kaitējumu” piemērošanu (2021/C58/01), kā noteikts Padomes Īstenošanas lēmuma pielikumā.</w:t>
            </w:r>
          </w:p>
          <w:p w14:paraId="3D6EB896" w14:textId="77777777" w:rsidR="00067A32" w:rsidRPr="00930B4F" w:rsidRDefault="00067A32" w:rsidP="00930B4F">
            <w:pPr>
              <w:widowControl w:val="0"/>
              <w:spacing w:after="0" w:line="240" w:lineRule="auto"/>
              <w:ind w:left="57" w:right="57"/>
              <w:rPr>
                <w:rFonts w:ascii="Times New Roman" w:eastAsiaTheme="minorEastAsia" w:hAnsi="Times New Roman"/>
                <w:noProof/>
                <w:sz w:val="18"/>
                <w:szCs w:val="20"/>
              </w:rPr>
            </w:pP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5BAC3625" w14:textId="7FC19400"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To digitālās transformācijas ceļvežu skaits, ko EDIC izdevuši struktūrām. Atlases kritēriji nodrošina, ka atlasītie projekti atbilst Tehniskajiem norādījumiem par principa “nenodarīt </w:t>
            </w:r>
            <w:r w:rsidRPr="00930B4F">
              <w:rPr>
                <w:rFonts w:ascii="Times New Roman" w:hAnsi="Times New Roman"/>
                <w:sz w:val="18"/>
                <w:szCs w:val="20"/>
              </w:rPr>
              <w:lastRenderedPageBreak/>
              <w:t>būtisku kaitējumu” piemērošanu (2021/C58/01), izmantojot izslēgšanas sarakstu un prasību nodrošināt atbilstību attiecīgajiem ES un valsts tiesību aktiem vides jomā.</w:t>
            </w:r>
          </w:p>
        </w:tc>
      </w:tr>
      <w:tr w:rsidR="0042166D" w:rsidRPr="00930B4F" w14:paraId="1E2E271F"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17314C4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44a</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4561BC01" w14:textId="77777777" w:rsidR="00481482" w:rsidRPr="00930B4F" w:rsidRDefault="00067A32" w:rsidP="00930B4F">
            <w:pPr>
              <w:widowControl w:val="0"/>
              <w:spacing w:after="0" w:line="240" w:lineRule="auto"/>
              <w:ind w:left="57" w:right="57"/>
              <w:jc w:val="both"/>
              <w:rPr>
                <w:rFonts w:ascii="Times New Roman" w:eastAsia="Times New Roman" w:hAnsi="Times New Roman" w:cs="Times New Roman"/>
                <w:b/>
                <w:bCs/>
                <w:noProof/>
                <w:sz w:val="18"/>
                <w:szCs w:val="20"/>
              </w:rPr>
            </w:pPr>
            <w:r w:rsidRPr="00930B4F">
              <w:rPr>
                <w:rFonts w:ascii="Times New Roman" w:hAnsi="Times New Roman"/>
                <w:b/>
                <w:sz w:val="18"/>
                <w:szCs w:val="20"/>
              </w:rPr>
              <w:t>2.2.1.1.i.</w:t>
            </w:r>
          </w:p>
          <w:p w14:paraId="4F28E86E" w14:textId="23E939F9" w:rsidR="00067A32" w:rsidRPr="00930B4F" w:rsidRDefault="00067A32" w:rsidP="00930B4F">
            <w:pPr>
              <w:widowControl w:val="0"/>
              <w:spacing w:after="0" w:line="240" w:lineRule="auto"/>
              <w:ind w:left="57" w:right="57"/>
              <w:jc w:val="both"/>
              <w:rPr>
                <w:rFonts w:ascii="Times New Roman" w:eastAsia="Times New Roman" w:hAnsi="Times New Roman" w:cs="Times New Roman"/>
                <w:b/>
                <w:bCs/>
                <w:noProof/>
                <w:sz w:val="18"/>
                <w:szCs w:val="20"/>
              </w:rPr>
            </w:pPr>
            <w:r w:rsidRPr="00930B4F">
              <w:rPr>
                <w:rFonts w:ascii="Times New Roman" w:hAnsi="Times New Roman"/>
                <w:b/>
                <w:sz w:val="18"/>
                <w:szCs w:val="20"/>
              </w:rPr>
              <w:t>Atbalsts digitālās inovācijas centru un reģionālo kontaktpunktu izveidei</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6F69A870"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Atskaites punkts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436FC0C8" w14:textId="77777777" w:rsidR="00067A32" w:rsidRPr="00930B4F" w:rsidRDefault="00067A32" w:rsidP="00930B4F">
            <w:pPr>
              <w:widowControl w:val="0"/>
              <w:spacing w:after="0" w:line="240" w:lineRule="auto"/>
              <w:ind w:left="57" w:right="57"/>
              <w:jc w:val="both"/>
              <w:rPr>
                <w:rFonts w:ascii="Times New Roman" w:eastAsia="Times New Roman" w:hAnsi="Times New Roman" w:cs="Times New Roman"/>
                <w:noProof/>
                <w:sz w:val="18"/>
                <w:szCs w:val="20"/>
              </w:rPr>
            </w:pPr>
            <w:r w:rsidRPr="00930B4F">
              <w:rPr>
                <w:rFonts w:ascii="Times New Roman" w:hAnsi="Times New Roman"/>
                <w:sz w:val="18"/>
                <w:szCs w:val="20"/>
              </w:rPr>
              <w:t>Eiropas digitālās transformācijas centru (EDIC) atbalsts struktūru digitālajai transformācijai</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3143884E" w14:textId="77777777" w:rsidR="00067A32" w:rsidRPr="00930B4F" w:rsidRDefault="00067A32" w:rsidP="00930B4F">
            <w:pPr>
              <w:widowControl w:val="0"/>
              <w:spacing w:after="0" w:line="240" w:lineRule="auto"/>
              <w:ind w:left="57" w:right="57"/>
              <w:jc w:val="both"/>
              <w:rPr>
                <w:rFonts w:ascii="Times New Roman" w:eastAsia="Times New Roman" w:hAnsi="Times New Roman" w:cs="Times New Roman"/>
                <w:noProof/>
                <w:sz w:val="18"/>
                <w:szCs w:val="20"/>
              </w:rPr>
            </w:pPr>
            <w:r w:rsidRPr="00930B4F">
              <w:rPr>
                <w:rFonts w:ascii="Times New Roman" w:hAnsi="Times New Roman"/>
                <w:sz w:val="18"/>
                <w:szCs w:val="20"/>
              </w:rPr>
              <w:t>Eiropas digitālās inovācijas centru (EDIC) darba paketes ir pabeigtas</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06D0F567"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19631476"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0914B482"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7A5D9732"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737E4D4D"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2026</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4F6871CA" w14:textId="77777777" w:rsidR="00067A32" w:rsidRPr="00930B4F" w:rsidRDefault="00067A32" w:rsidP="00930B4F">
            <w:pPr>
              <w:widowControl w:val="0"/>
              <w:spacing w:after="0" w:line="240" w:lineRule="auto"/>
              <w:ind w:left="57" w:right="57"/>
              <w:jc w:val="both"/>
              <w:rPr>
                <w:rFonts w:ascii="Times New Roman" w:eastAsia="Arial Narrow" w:hAnsi="Times New Roman" w:cs="Arial Narrow"/>
                <w:noProof/>
                <w:sz w:val="18"/>
                <w:szCs w:val="20"/>
              </w:rPr>
            </w:pPr>
            <w:r w:rsidRPr="00930B4F">
              <w:rPr>
                <w:rFonts w:ascii="Times New Roman" w:hAnsi="Times New Roman"/>
                <w:sz w:val="18"/>
                <w:szCs w:val="20"/>
              </w:rPr>
              <w:t xml:space="preserve">Eiropas Digitālās inovācijas centrs sadarbībā ar citām iestādēm </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74E24518" w14:textId="77777777" w:rsidR="00067A32" w:rsidRPr="00930B4F" w:rsidRDefault="00067A32" w:rsidP="00930B4F">
            <w:pPr>
              <w:widowControl w:val="0"/>
              <w:spacing w:after="0" w:line="240" w:lineRule="auto"/>
              <w:ind w:left="57" w:right="57"/>
              <w:jc w:val="both"/>
              <w:rPr>
                <w:rFonts w:ascii="Times New Roman" w:hAnsi="Times New Roman"/>
                <w:noProof/>
                <w:color w:val="000000" w:themeColor="text1"/>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23A6F0F3" w14:textId="77777777" w:rsidR="0048148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Kopsavilkuma dokuments, kurā pienācīgi pamatots, kā tika apmierinoši sasniegts atskaites punkts (tostarp visi būtiskie elementi), kopā ar atbilstošām saitēm uz pamatojošajiem pierādījumiem.</w:t>
            </w:r>
          </w:p>
          <w:p w14:paraId="27818872" w14:textId="77777777" w:rsidR="0048148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Šā dokumenta pielikumā iekļauj neatkarīgu ziņojumu, kas apliecina darba pakešu pabeigšanu.</w:t>
            </w:r>
          </w:p>
          <w:p w14:paraId="371D63C6" w14:textId="7708CBDB" w:rsidR="00067A32" w:rsidRPr="00930B4F" w:rsidRDefault="00067A32" w:rsidP="00930B4F">
            <w:pPr>
              <w:widowControl w:val="0"/>
              <w:spacing w:after="0" w:line="240" w:lineRule="auto"/>
              <w:ind w:left="57" w:right="57"/>
              <w:rPr>
                <w:rFonts w:ascii="Times New Roman" w:hAnsi="Times New Roman"/>
                <w:noProof/>
                <w:sz w:val="18"/>
                <w:szCs w:val="20"/>
              </w:rPr>
            </w:pP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7D897A84"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t>Pabeigtas visas Eiropas digitālās inovācijas centru darba paketes, izņemot tās, kas ir finansētas no programmas “Digitālā Eiropa”.</w:t>
            </w:r>
          </w:p>
        </w:tc>
      </w:tr>
      <w:tr w:rsidR="0042166D" w:rsidRPr="00930B4F" w14:paraId="30626694"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6B9F8BD4"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45</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647C90F0" w14:textId="77777777" w:rsidR="0048148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2.2.1.2.i.</w:t>
            </w:r>
          </w:p>
          <w:p w14:paraId="1B0D319D" w14:textId="5B6FA0E6"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Atbalsts procesu digitalizācijai komercdarbībā</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64350BEE"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Mērķis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621796A1"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 xml:space="preserve">To struktūru skaits, kam sniegts atbalsts, lai digitalizētu komercdarbības procesus, un kam pēc granta </w:t>
            </w:r>
            <w:r w:rsidRPr="00930B4F">
              <w:rPr>
                <w:rFonts w:ascii="Times New Roman" w:hAnsi="Times New Roman"/>
                <w:sz w:val="18"/>
                <w:szCs w:val="20"/>
              </w:rPr>
              <w:lastRenderedPageBreak/>
              <w:t>saņemšanas un projekta īstenošanas uzlabojās digitālā brieduma testa rezultāts, salīdzinot ar iepriekšējo testa rezultātu</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3DFA9147" w14:textId="77777777" w:rsidR="00067A32" w:rsidRPr="00930B4F" w:rsidRDefault="00067A32" w:rsidP="00930B4F">
            <w:pPr>
              <w:widowControl w:val="0"/>
              <w:spacing w:after="0" w:line="240" w:lineRule="auto"/>
              <w:ind w:left="57" w:right="57"/>
              <w:jc w:val="both"/>
              <w:rPr>
                <w:rFonts w:ascii="Times New Roman" w:hAnsi="Times New Roman" w:cs="Times New Roman"/>
                <w:noProof/>
                <w:sz w:val="18"/>
                <w:szCs w:val="20"/>
              </w:rPr>
            </w:pP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50A4351F"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Atbalstītās struktūras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4696C86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0</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219388C4"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80</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33F27D27"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78B8129D"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2024</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48AEFBE2"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Ekonomikas ministrija, Latvijas Investīciju un attīstības aģentūra, Eiropas Digitālās inovācijas centrs</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7C01E7D6"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7027FBAB"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6DB2E1C0" w14:textId="77777777" w:rsidR="0048148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Šā dokumenta pielikumā iekļauj šādus dokumentārus pierādījumus:</w:t>
            </w:r>
          </w:p>
          <w:p w14:paraId="38378002" w14:textId="798A1DAB" w:rsidR="00481482" w:rsidRPr="00930B4F" w:rsidRDefault="009F6390"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a) to līgumu sarakstu, kas noslēgti starp atbalsta sniedzēju un saņēmēju;</w:t>
            </w:r>
          </w:p>
          <w:p w14:paraId="3C869C88" w14:textId="4C988E93" w:rsidR="00067A32" w:rsidRPr="00930B4F" w:rsidRDefault="009F6390"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 xml:space="preserve">b) atkārtota digitālā brieduma testa </w:t>
            </w:r>
            <w:r w:rsidRPr="00930B4F">
              <w:rPr>
                <w:rFonts w:ascii="Times New Roman" w:hAnsi="Times New Roman"/>
                <w:sz w:val="18"/>
                <w:szCs w:val="20"/>
              </w:rPr>
              <w:lastRenderedPageBreak/>
              <w:t xml:space="preserve">rezultātu, kas apliecina procesu uzlabojumus. </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132FEB4B"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Mērķis ir sasniegts, ja starp struktūru un Latvijas Investīciju un attīstības aģentūru ir noslēgts līgums par granta saņemšanu, un atkārtotā </w:t>
            </w:r>
            <w:r w:rsidRPr="00930B4F">
              <w:rPr>
                <w:rFonts w:ascii="Times New Roman" w:hAnsi="Times New Roman"/>
                <w:sz w:val="18"/>
                <w:szCs w:val="20"/>
              </w:rPr>
              <w:lastRenderedPageBreak/>
              <w:t>digitālā brieduma testā tiek novēroti testa rezultāta uzlabojumi.</w:t>
            </w:r>
          </w:p>
        </w:tc>
      </w:tr>
      <w:tr w:rsidR="0042166D" w:rsidRPr="00930B4F" w14:paraId="69006DF1"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4A05F66F"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46 </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17F5A750" w14:textId="77777777" w:rsidR="0048148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2.2.1.2.i.</w:t>
            </w:r>
          </w:p>
          <w:p w14:paraId="65C7E00E" w14:textId="5149D177"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Atbalsts procesu digitalizācijai komercdarbībā</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3FEB6B47"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Mērķis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457F55BD"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 xml:space="preserve">To struktūru skaits, kam sniegts atbalsts, lai digitalizētu komercdarbības procesus, un kam pēc granta saņemšanas un projekta īstenošanas uzlabojās digitālā brieduma testa rezultāts, salīdzinot ar iepriekšējo </w:t>
            </w:r>
            <w:r w:rsidRPr="00930B4F">
              <w:rPr>
                <w:rFonts w:ascii="Times New Roman" w:hAnsi="Times New Roman"/>
                <w:sz w:val="18"/>
                <w:szCs w:val="20"/>
              </w:rPr>
              <w:lastRenderedPageBreak/>
              <w:t>testa rezultātu</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4109106C"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 </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13C7D422"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Atbalstītās struktūras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7421C81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80</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4F06B702"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200</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4FA7A3AA"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6D3E85B9"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2026</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129D09AA"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Ekonomikas ministrija, Latvijas Investīciju un attīstības aģentūra, Eiropas Digitālās inovācijas centrs</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2D887130"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666AFB47"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1F2228BF" w14:textId="77777777" w:rsidR="0048148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Šā dokumenta pielikumā iekļauj šādus dokumentārus pierādījumus:</w:t>
            </w:r>
          </w:p>
          <w:p w14:paraId="71E4A149" w14:textId="0EAA9444" w:rsidR="00481482" w:rsidRPr="00930B4F" w:rsidRDefault="009F6390"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a) to līgumu sarakstu, kas noslēgti starp atbalsta sniedzēju un saņēmēju;</w:t>
            </w:r>
          </w:p>
          <w:p w14:paraId="5B63EE84" w14:textId="47FED276" w:rsidR="00067A32" w:rsidRPr="00930B4F" w:rsidRDefault="009F6390"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 xml:space="preserve">b) atkārtota digitālā brieduma testa rezultātu, kas apliecina procesu uzlabojumus. </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23C21DDD"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t>Mērķis ir sasniegts, ja starp struktūru un Latvijas Investīciju un attīstības aģentūru ir noslēgts līgums par granta saņemšanu, un atkārtotā digitālā brieduma testā tiek novēroti testa rezultāta uzlabojumi.</w:t>
            </w:r>
          </w:p>
        </w:tc>
      </w:tr>
      <w:tr w:rsidR="0042166D" w:rsidRPr="00930B4F" w14:paraId="7E530682"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50869B67"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47</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56BF71E6" w14:textId="77777777" w:rsidR="0048148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2.2.1.3.i.</w:t>
            </w:r>
          </w:p>
          <w:p w14:paraId="69208D51" w14:textId="7B390D48"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Atbalsts jaunu produktu un pakalpojumu ieviešanai uzņēmējdarbībā</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20DA3B5D"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Mērķis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6F241794"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 xml:space="preserve">Atbalstīto projektu skaits </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56A97CD4"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3F26B8C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Atbalstītie projekti</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4B8C0D2D"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0</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56E2517C"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 xml:space="preserve">14 </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435CEF98"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5F60631F"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2024</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0FC7925A"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Ekonomikas ministrija sadarbībā ar citām iestādēm</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7646445C"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00B96A12"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6426F6B3"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p>
          <w:p w14:paraId="383D2C3D" w14:textId="77777777" w:rsidR="0048148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Šā dokumenta pielikumā iekļauj šādus dokumentārus pierādījumus:</w:t>
            </w:r>
          </w:p>
          <w:p w14:paraId="4BE0343C" w14:textId="77777777" w:rsidR="0048148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a) projektu sarakstu, kurā norādīts galasaņēmēja nosaukums un reģistrācijas numurs, projekta nosaukums un īss apraksts un granta summa;</w:t>
            </w:r>
          </w:p>
          <w:p w14:paraId="23A417A3" w14:textId="2014752E" w:rsidR="00067A32" w:rsidRPr="00930B4F" w:rsidRDefault="00067A32" w:rsidP="00930B4F">
            <w:pPr>
              <w:widowControl w:val="0"/>
              <w:spacing w:after="0" w:line="240" w:lineRule="auto"/>
              <w:ind w:left="57" w:right="57"/>
              <w:rPr>
                <w:rFonts w:ascii="Times New Roman" w:hAnsi="Times New Roman"/>
                <w:noProof/>
                <w:sz w:val="18"/>
                <w:szCs w:val="20"/>
              </w:rPr>
            </w:pPr>
            <w:r w:rsidRPr="00930B4F">
              <w:rPr>
                <w:rFonts w:ascii="Times New Roman" w:hAnsi="Times New Roman"/>
                <w:sz w:val="18"/>
                <w:szCs w:val="20"/>
              </w:rPr>
              <w:t>b) to grantu lēmumu kopijas, ar kuriem tiek apstiprināti projekti un finansējuma piešķiršana un nodrošināta atbilstība Tehniskajiem norādījumiem par principa “nenodarīt būtisku kaitējumu” piemērošanu (2021/C58/01), kā noteikts Padomes Īstenošanas lēmumā, un prasībai piešķirt grantus par summu, kas nepārsniedz 1 000 000 EUR.</w:t>
            </w:r>
          </w:p>
          <w:p w14:paraId="692B838E"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p>
          <w:p w14:paraId="5340A2D5" w14:textId="77777777" w:rsidR="0048148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i/>
                <w:iCs/>
                <w:sz w:val="18"/>
                <w:szCs w:val="20"/>
              </w:rPr>
              <w:t>ETS</w:t>
            </w:r>
            <w:r w:rsidRPr="00930B4F">
              <w:rPr>
                <w:rFonts w:ascii="Times New Roman" w:hAnsi="Times New Roman"/>
                <w:sz w:val="18"/>
                <w:szCs w:val="20"/>
              </w:rPr>
              <w:t xml:space="preserve"> iekārtu gadījumā šis dokuments satur šādu informāciju:</w:t>
            </w:r>
          </w:p>
          <w:p w14:paraId="38B7AE71" w14:textId="77777777" w:rsidR="00481482" w:rsidRPr="00930B4F" w:rsidRDefault="00067A32" w:rsidP="00930B4F">
            <w:pPr>
              <w:widowControl w:val="0"/>
              <w:tabs>
                <w:tab w:val="left" w:pos="326"/>
              </w:tabs>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1) iekārtas ID / lidaparātu ekspluatanta ID Eiropas Savienības darījumu žurnālā (</w:t>
            </w:r>
            <w:r w:rsidRPr="00930B4F">
              <w:rPr>
                <w:rFonts w:ascii="Times New Roman" w:hAnsi="Times New Roman"/>
                <w:i/>
                <w:iCs/>
                <w:sz w:val="18"/>
                <w:szCs w:val="20"/>
              </w:rPr>
              <w:t>EUTL</w:t>
            </w:r>
            <w:r w:rsidRPr="00930B4F">
              <w:rPr>
                <w:rFonts w:ascii="Times New Roman" w:hAnsi="Times New Roman"/>
                <w:sz w:val="18"/>
                <w:szCs w:val="20"/>
              </w:rPr>
              <w:t>), kas izveidots ar Komisijas Regulas (ES) Nr. 389/2013 5. pantu;</w:t>
            </w:r>
          </w:p>
          <w:p w14:paraId="5A56E63C" w14:textId="77777777" w:rsidR="00481482" w:rsidRPr="00930B4F" w:rsidRDefault="00067A32" w:rsidP="00930B4F">
            <w:pPr>
              <w:widowControl w:val="0"/>
              <w:tabs>
                <w:tab w:val="left" w:pos="326"/>
              </w:tabs>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 xml:space="preserve">2) prognozēto siltumnīcefekta gāzu </w:t>
            </w:r>
            <w:r w:rsidRPr="00930B4F">
              <w:rPr>
                <w:rFonts w:ascii="Times New Roman" w:hAnsi="Times New Roman"/>
                <w:sz w:val="18"/>
                <w:szCs w:val="20"/>
              </w:rPr>
              <w:lastRenderedPageBreak/>
              <w:t xml:space="preserve">emisiju līmeni uz produkta vienību piešķirtajos projektos, kuros ir pasākumi, kas atbilst ES </w:t>
            </w:r>
            <w:r w:rsidRPr="00930B4F">
              <w:rPr>
                <w:rFonts w:ascii="Times New Roman" w:hAnsi="Times New Roman"/>
                <w:i/>
                <w:iCs/>
                <w:sz w:val="18"/>
                <w:szCs w:val="20"/>
              </w:rPr>
              <w:t>ETS</w:t>
            </w:r>
            <w:r w:rsidRPr="00930B4F">
              <w:rPr>
                <w:rFonts w:ascii="Times New Roman" w:hAnsi="Times New Roman"/>
                <w:sz w:val="18"/>
                <w:szCs w:val="20"/>
              </w:rPr>
              <w:t>;</w:t>
            </w:r>
          </w:p>
          <w:p w14:paraId="1A30D706" w14:textId="5FB5BE6B" w:rsidR="00067A32" w:rsidRPr="00930B4F" w:rsidRDefault="00067A32" w:rsidP="00930B4F">
            <w:pPr>
              <w:widowControl w:val="0"/>
              <w:tabs>
                <w:tab w:val="left" w:pos="326"/>
              </w:tabs>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3) īsu projekta un izmantoto tehnoloģiju aprakstu.</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5EB5C4FD" w14:textId="01BE5443"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Ir parakstīti grantu līgumi 14 projektu atbalstam. </w:t>
            </w:r>
          </w:p>
        </w:tc>
      </w:tr>
      <w:tr w:rsidR="0042166D" w:rsidRPr="00930B4F" w14:paraId="0A2B3344"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522D98F2"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48</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3A514F29"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2.2.1.3.i. Atbalsts jaunu produktu un pakalpojumu ieviešanai uzņēmējdarbībā</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5C56AA2A"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Mērķis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03CAF809"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 xml:space="preserve">Atbalstīto projektu skaits </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1C9A1E87"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5F91EFCA"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Atbalstītie projekti</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7CA914E9"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14</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7D942A7F"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 xml:space="preserve">43 </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382F5415"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0AB96C8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2026</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0685CBD8"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Ekonomikas ministrija sadarbībā ar citām iestādēm</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55E9CB8C"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0532AEE7"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046C7CC2"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p>
          <w:p w14:paraId="7FEDC21A" w14:textId="77777777" w:rsidR="0048148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Šā dokumenta pielikumā iekļauj šādus dokumentārus pierādījumus:</w:t>
            </w:r>
          </w:p>
          <w:p w14:paraId="4E9F7972" w14:textId="77777777" w:rsidR="0048148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a) projektu sarakstu, kurā norādīts galasaņēmēja nosaukums un reģistrācijas numurs, projekta nosaukums un īss apraksts un granta summa;</w:t>
            </w:r>
          </w:p>
          <w:p w14:paraId="35FD4BC8" w14:textId="68DF03BE" w:rsidR="00067A32" w:rsidRPr="00930B4F" w:rsidRDefault="00067A32" w:rsidP="00930B4F">
            <w:pPr>
              <w:widowControl w:val="0"/>
              <w:spacing w:after="0" w:line="240" w:lineRule="auto"/>
              <w:ind w:left="57" w:right="57"/>
              <w:rPr>
                <w:rFonts w:ascii="Times New Roman" w:hAnsi="Times New Roman"/>
                <w:noProof/>
                <w:sz w:val="18"/>
                <w:szCs w:val="20"/>
              </w:rPr>
            </w:pPr>
            <w:r w:rsidRPr="00930B4F">
              <w:rPr>
                <w:rFonts w:ascii="Times New Roman" w:hAnsi="Times New Roman"/>
                <w:sz w:val="18"/>
                <w:szCs w:val="20"/>
              </w:rPr>
              <w:t>b) to grantu lēmumu kopijas, ar kuriem tiek apstiprināti projekti un finansējuma piešķiršana un nodrošināta atbilstība Tehniskajiem norādījumiem par principa “nenodarīt būtisku kaitējumu” piemērošanu (2021/C58/01), kā noteikts Padomes Īstenošanas lēmuma pielikumā, un prasībai piešķirt grantus par summu, kas nepārsniedz 1 000 000 EUR.</w:t>
            </w:r>
          </w:p>
          <w:p w14:paraId="515104C2"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p>
          <w:p w14:paraId="38E0A3E0" w14:textId="77777777" w:rsidR="0048148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i/>
                <w:iCs/>
                <w:sz w:val="18"/>
                <w:szCs w:val="20"/>
              </w:rPr>
              <w:t>ETS</w:t>
            </w:r>
            <w:r w:rsidRPr="00930B4F">
              <w:rPr>
                <w:rFonts w:ascii="Times New Roman" w:hAnsi="Times New Roman"/>
                <w:sz w:val="18"/>
                <w:szCs w:val="20"/>
              </w:rPr>
              <w:t xml:space="preserve"> iekārtu gadījumā šis dokuments satur šādu informāciju:</w:t>
            </w:r>
          </w:p>
          <w:p w14:paraId="3DEE865D" w14:textId="77777777" w:rsidR="0048148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1) iekārtas ID / lidaparātu ekspluatanta ID Eiropas Savienības darījumu žurnālā (</w:t>
            </w:r>
            <w:r w:rsidRPr="00930B4F">
              <w:rPr>
                <w:rFonts w:ascii="Times New Roman" w:hAnsi="Times New Roman"/>
                <w:i/>
                <w:iCs/>
                <w:sz w:val="18"/>
                <w:szCs w:val="20"/>
              </w:rPr>
              <w:t>EUTL</w:t>
            </w:r>
            <w:r w:rsidRPr="00930B4F">
              <w:rPr>
                <w:rFonts w:ascii="Times New Roman" w:hAnsi="Times New Roman"/>
                <w:sz w:val="18"/>
                <w:szCs w:val="20"/>
              </w:rPr>
              <w:t xml:space="preserve">), kas izveidots ar </w:t>
            </w:r>
            <w:r w:rsidRPr="00930B4F">
              <w:rPr>
                <w:rFonts w:ascii="Times New Roman" w:hAnsi="Times New Roman"/>
                <w:sz w:val="18"/>
                <w:szCs w:val="20"/>
              </w:rPr>
              <w:lastRenderedPageBreak/>
              <w:t>Komisijas Regulas (ES) Nr. 389/2013 5. pantu;</w:t>
            </w:r>
          </w:p>
          <w:p w14:paraId="46A0DA13" w14:textId="77777777" w:rsidR="0048148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 xml:space="preserve">2) prognozēto siltumnīcefekta gāzu emisiju līmeni uz produkta vienību piešķirtajos projektos, kuros ir pasākumi, kas atbilst ES </w:t>
            </w:r>
            <w:r w:rsidRPr="00930B4F">
              <w:rPr>
                <w:rFonts w:ascii="Times New Roman" w:hAnsi="Times New Roman"/>
                <w:i/>
                <w:iCs/>
                <w:sz w:val="18"/>
                <w:szCs w:val="20"/>
              </w:rPr>
              <w:t>ETS</w:t>
            </w:r>
            <w:r w:rsidRPr="00930B4F">
              <w:rPr>
                <w:rFonts w:ascii="Times New Roman" w:hAnsi="Times New Roman"/>
                <w:sz w:val="18"/>
                <w:szCs w:val="20"/>
              </w:rPr>
              <w:t>;</w:t>
            </w:r>
          </w:p>
          <w:p w14:paraId="121EABA8" w14:textId="5872C949"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3) īsu projekta un izmantoto tehnoloģiju aprakstu.</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3DABFD8F"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lastRenderedPageBreak/>
              <w:t>Ir parakstīti grantu līgumi par atbalstu papildu 29 projektiem.</w:t>
            </w:r>
          </w:p>
        </w:tc>
      </w:tr>
      <w:tr w:rsidR="0042166D" w:rsidRPr="00930B4F" w14:paraId="60ED0659"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365A62CA"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49</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448CA3DE"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2.2.1.3.i. Atbalsts jaunu produktu un pakalpojumu ieviešanai uzņēmējdarbībā</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6277563C"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Mērķis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17342CC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Piešķirtais privātais finansējums</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47A717ED"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704DB111"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EUR</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6F8ECE70"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0</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549282DE"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4 860 000</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13B352F2"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6181CEA6"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2026</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4BE1B41C"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Ekonomikas ministrija, Centrālā finanšu un līgumu aģentūra un Inovāciju klasteris</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2CC76F0A"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79FB9671"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43C755A7"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Šā dokumenta pielikumā iekļauj to līgumu sarakstu, kurus parakstījis atbalsta sniedzējs un saņēmējs pēc grantu lēmumiem, norādot privāto finansējumu projektā.</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512DB106" w14:textId="61F654D4"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t xml:space="preserve">Privātā finansējuma summa, kas piešķirta atbalstītajiem projektiem jaunu produktu un pakalpojumu ieviešanai. </w:t>
            </w:r>
          </w:p>
        </w:tc>
      </w:tr>
      <w:tr w:rsidR="0042166D" w:rsidRPr="00930B4F" w14:paraId="698CED7A"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00197601"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50</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6A63EA92" w14:textId="77777777" w:rsidR="0048148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2.2.1.4.i.</w:t>
            </w:r>
          </w:p>
          <w:p w14:paraId="3E9182A7" w14:textId="69C5F564"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Finanšu instrumenti komersantu digitālās transformācijas veicināšanai</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6F4E20A6"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Mērķis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2347744C"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 xml:space="preserve">Parakstītu aizdevumu līgumu skaits </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074541F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070100C5"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Aizdevumu skaits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4C873D16"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0</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7B3F65AE"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51</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4A2CCB9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338BDBD7"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2024</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177D9B7A"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“Altum”</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48C25F07"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63C462DD"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5F032A5F" w14:textId="77777777" w:rsidR="0048148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Šā dokumenta pielikumā iekļauj šādus dokumentārus pierādījumus:</w:t>
            </w:r>
          </w:p>
          <w:p w14:paraId="3D50DC1B" w14:textId="2B22834C" w:rsidR="00481482" w:rsidRPr="00930B4F" w:rsidRDefault="00ED5C50"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a) to aizdevumu līgumu sarakstu, k parakstījis “Altum” un saņēmēji;</w:t>
            </w:r>
          </w:p>
          <w:p w14:paraId="102E98E1" w14:textId="2549F0C2" w:rsidR="00067A32" w:rsidRPr="00930B4F" w:rsidRDefault="00ED5C50"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b) atbalstīto projektu un īstenoto aizdevuma darījumu sarakstu un aprakstus;</w:t>
            </w:r>
          </w:p>
          <w:p w14:paraId="66ABA23D" w14:textId="72FDA95F" w:rsidR="00067A32" w:rsidRPr="00930B4F" w:rsidRDefault="00ED5C50"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 xml:space="preserve">c) izrakstu no oficiālajiem dokumentiem, kuros norādīti atlases kritēriji, kas nodrošina atbilstību </w:t>
            </w:r>
            <w:r w:rsidRPr="00930B4F">
              <w:rPr>
                <w:rFonts w:ascii="Times New Roman" w:hAnsi="Times New Roman"/>
                <w:sz w:val="18"/>
                <w:szCs w:val="20"/>
              </w:rPr>
              <w:lastRenderedPageBreak/>
              <w:t>Tehniskajiem norādījumiem par principa “nenodarīt būtisku kaitējumu” piemērošanu (2021/C58/01), kā noteikts Padomes Īstenošanas lēmuma pielikumā.</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617BE855"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To aizdevumu līgumu skaits, ko parakstījis “Altum” un komersanti digitālās transformācijas projektu atbalstam. Atlases kritēriji nodrošina, ka atlasītie projekti atbilst Tehniskajiem norādījumiem par principa </w:t>
            </w:r>
            <w:r w:rsidRPr="00930B4F">
              <w:rPr>
                <w:rFonts w:ascii="Times New Roman" w:hAnsi="Times New Roman"/>
                <w:sz w:val="18"/>
                <w:szCs w:val="20"/>
              </w:rPr>
              <w:lastRenderedPageBreak/>
              <w:t>“nenodarīt būtisku kaitējumu” piemērošanu (2021/C58/01), izmantojot izslēgšanas sarakstu un prasību nodrošināt atbilstību attiecīgajiem ES un valsts tiesību aktiem vides jomā.</w:t>
            </w:r>
          </w:p>
        </w:tc>
      </w:tr>
      <w:tr w:rsidR="0042166D" w:rsidRPr="00930B4F" w14:paraId="19F13C1E"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5E7F5109"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51</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3704941A" w14:textId="77777777" w:rsidR="0048148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2.2.1.4.i.</w:t>
            </w:r>
          </w:p>
          <w:p w14:paraId="2F4F0D24" w14:textId="3D7E72BD"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Finanšu instrumenti komersantu digitālās transformācijas veicināšanai</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06B7E69D"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Mērķis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5816C1E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 xml:space="preserve">Parakstītu aizdevumu līgumu skaits </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7C1A26A4"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12494C5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Aizdevumu skaits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2102EC64"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51</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08338E0D"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61</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3CDD3468"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0D304FA7"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2026</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116C734A"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“Altum”</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088FAB83"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0AB37AF6"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1F85C164" w14:textId="77777777" w:rsidR="0048148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Šā dokumenta pielikumā iekļauj šādus dokumentārus pierādījumus:</w:t>
            </w:r>
          </w:p>
          <w:p w14:paraId="2DCCB165" w14:textId="7B0976F1" w:rsidR="00481482" w:rsidRPr="00930B4F" w:rsidRDefault="00160B05"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a) to aizdevumu līgumu sarakstu, ko parakstījis “Altum” un saņēmēji;</w:t>
            </w:r>
          </w:p>
          <w:p w14:paraId="515346C7" w14:textId="5A97C5EA" w:rsidR="00481482" w:rsidRPr="00930B4F" w:rsidRDefault="00160B05"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b) atbalstīto projektu un īstenoto aizdevuma darījumu sarakstu un aprakstus;</w:t>
            </w:r>
          </w:p>
          <w:p w14:paraId="14F64D87" w14:textId="09C691CD" w:rsidR="00067A32" w:rsidRPr="00930B4F" w:rsidRDefault="00160B05"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 xml:space="preserve">c) izrakstu no oficiālajiem dokumentiem, kuros norādīti atlases kritēriji, kas nodrošina atbilstību Tehniskajiem norādījumiem par principa “nenodarīt būtisku kaitējumu” piemērošanu (2021/C58/01), kā noteikts Padomes </w:t>
            </w:r>
            <w:r w:rsidRPr="00930B4F">
              <w:rPr>
                <w:rFonts w:ascii="Times New Roman" w:hAnsi="Times New Roman"/>
                <w:sz w:val="18"/>
                <w:szCs w:val="20"/>
              </w:rPr>
              <w:lastRenderedPageBreak/>
              <w:t>Īstenošanas lēmuma pielikumā.</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4808F023"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To aizdevumu līgumu skaits, ko parakstījis “Altum” un komersanti digitālās transformācijas projektu atbalstam. Atlases kritēriji nodrošina, ka atlasītie projekti atbilst Tehniskajiem norādījumiem par principa “nenodarīt būtisku kaitējumu” piemērošanu </w:t>
            </w:r>
            <w:r w:rsidRPr="00930B4F">
              <w:rPr>
                <w:rFonts w:ascii="Times New Roman" w:hAnsi="Times New Roman"/>
                <w:sz w:val="18"/>
                <w:szCs w:val="20"/>
              </w:rPr>
              <w:lastRenderedPageBreak/>
              <w:t>(2021/C58/01), izmantojot izslēgšanas sarakstu un prasību nodrošināt atbilstību attiecīgajiem ES un valsts tiesību aktiem vides jomā.</w:t>
            </w:r>
          </w:p>
        </w:tc>
      </w:tr>
      <w:tr w:rsidR="0042166D" w:rsidRPr="00930B4F" w14:paraId="6F2D52C1"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569C16BA"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52</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310E0B55" w14:textId="77777777" w:rsidR="0048148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2.2.1.4.i.</w:t>
            </w:r>
          </w:p>
          <w:p w14:paraId="2A2094B7" w14:textId="7E9EE6ED"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Finanšu instrumenti komersantu digitālās transformācijas veicināšanai</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3EF60560"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Mērķis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7F3905FE"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Piešķirtais privātais finansējums</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49A7E479"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 xml:space="preserve"> </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48F4D1E5"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EUR</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73251328"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 xml:space="preserve"> 0</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705CE4F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45 300 000</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36C97056"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68E77685"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2026</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12BAC002"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“Altum”</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2164D196"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33C93E8F"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4A71D056"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Šā dokumenta pielikumā iekļauj to aizdevuma līgumu sarakstu, kuri noslēgti starp “Altum” un saņēmējiem, norādot privāto finansējumu projektā.</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0B524BA9"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t xml:space="preserve">Privātā finansējuma summa, kas piešķirta atbalstītajiem projektiem komersantu digitālai transformācijai. </w:t>
            </w:r>
          </w:p>
        </w:tc>
      </w:tr>
      <w:tr w:rsidR="0042166D" w:rsidRPr="00930B4F" w14:paraId="59CD46C7"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38CCB771"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53</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1C78B4A8" w14:textId="77777777" w:rsidR="0048148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2.2.1.5.i.</w:t>
            </w:r>
          </w:p>
          <w:p w14:paraId="22BE7393" w14:textId="250A7008"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Mediju uzņēmumu digitālās transformācijas veicināšana</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7F649A00" w14:textId="77777777" w:rsidR="00067A32" w:rsidRPr="00930B4F" w:rsidRDefault="00067A32" w:rsidP="00930B4F">
            <w:pPr>
              <w:widowControl w:val="0"/>
              <w:spacing w:after="0" w:line="240" w:lineRule="auto"/>
              <w:ind w:left="57" w:right="57"/>
              <w:jc w:val="both"/>
              <w:rPr>
                <w:rFonts w:ascii="Times New Roman" w:eastAsiaTheme="minorEastAsia" w:hAnsi="Times New Roman" w:cs="Times New Roman"/>
                <w:noProof/>
                <w:sz w:val="18"/>
                <w:szCs w:val="20"/>
              </w:rPr>
            </w:pPr>
            <w:r w:rsidRPr="00930B4F">
              <w:rPr>
                <w:rFonts w:ascii="Times New Roman" w:hAnsi="Times New Roman"/>
                <w:sz w:val="18"/>
                <w:szCs w:val="20"/>
              </w:rPr>
              <w:t>Mērķis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5174FCC4" w14:textId="77777777" w:rsidR="00067A32" w:rsidRPr="00930B4F" w:rsidRDefault="00067A32" w:rsidP="00930B4F">
            <w:pPr>
              <w:widowControl w:val="0"/>
              <w:spacing w:after="0" w:line="240" w:lineRule="auto"/>
              <w:ind w:left="57" w:right="57"/>
              <w:jc w:val="both"/>
              <w:rPr>
                <w:rFonts w:ascii="Times New Roman" w:eastAsiaTheme="minorEastAsia" w:hAnsi="Times New Roman" w:cs="Times New Roman"/>
                <w:noProof/>
                <w:sz w:val="18"/>
                <w:szCs w:val="20"/>
              </w:rPr>
            </w:pPr>
            <w:r w:rsidRPr="00930B4F">
              <w:rPr>
                <w:rFonts w:ascii="Times New Roman" w:hAnsi="Times New Roman"/>
                <w:sz w:val="18"/>
                <w:szCs w:val="20"/>
              </w:rPr>
              <w:t>Izveidoto platformu un digitālo risinājumu skaits</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1011D455" w14:textId="77777777" w:rsidR="00067A32" w:rsidRPr="00930B4F" w:rsidRDefault="00067A32" w:rsidP="00930B4F">
            <w:pPr>
              <w:widowControl w:val="0"/>
              <w:spacing w:after="0" w:line="240" w:lineRule="auto"/>
              <w:ind w:left="57" w:right="57"/>
              <w:jc w:val="both"/>
              <w:rPr>
                <w:rFonts w:ascii="Times New Roman" w:eastAsiaTheme="minorEastAsia" w:hAnsi="Times New Roman" w:cs="Times New Roman"/>
                <w:noProof/>
                <w:sz w:val="18"/>
                <w:szCs w:val="20"/>
              </w:rPr>
            </w:pPr>
            <w:r w:rsidRPr="00930B4F">
              <w:rPr>
                <w:rFonts w:ascii="Times New Roman" w:hAnsi="Times New Roman"/>
                <w:sz w:val="18"/>
                <w:szCs w:val="20"/>
              </w:rPr>
              <w:t>Neattiecas</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170B6E4A" w14:textId="77777777" w:rsidR="00067A32" w:rsidRPr="00930B4F" w:rsidRDefault="00067A32" w:rsidP="00930B4F">
            <w:pPr>
              <w:widowControl w:val="0"/>
              <w:spacing w:after="0" w:line="240" w:lineRule="auto"/>
              <w:ind w:left="57" w:right="57"/>
              <w:jc w:val="both"/>
              <w:rPr>
                <w:rFonts w:ascii="Times New Roman" w:eastAsiaTheme="minorEastAsia" w:hAnsi="Times New Roman" w:cs="Times New Roman"/>
                <w:noProof/>
                <w:sz w:val="18"/>
                <w:szCs w:val="20"/>
              </w:rPr>
            </w:pPr>
            <w:r w:rsidRPr="00930B4F">
              <w:rPr>
                <w:rFonts w:ascii="Times New Roman" w:hAnsi="Times New Roman"/>
                <w:sz w:val="18"/>
                <w:szCs w:val="20"/>
              </w:rPr>
              <w:t>Skaits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2C92C335" w14:textId="77777777" w:rsidR="00067A32" w:rsidRPr="00930B4F" w:rsidRDefault="00067A32" w:rsidP="00930B4F">
            <w:pPr>
              <w:widowControl w:val="0"/>
              <w:spacing w:after="0" w:line="240" w:lineRule="auto"/>
              <w:ind w:left="57" w:right="57"/>
              <w:jc w:val="both"/>
              <w:rPr>
                <w:rFonts w:ascii="Times New Roman" w:eastAsiaTheme="minorEastAsia" w:hAnsi="Times New Roman" w:cs="Times New Roman"/>
                <w:noProof/>
                <w:sz w:val="18"/>
                <w:szCs w:val="20"/>
              </w:rPr>
            </w:pPr>
            <w:r w:rsidRPr="00930B4F">
              <w:rPr>
                <w:rFonts w:ascii="Times New Roman" w:hAnsi="Times New Roman"/>
                <w:sz w:val="18"/>
                <w:szCs w:val="20"/>
              </w:rPr>
              <w:t>0</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1557962F" w14:textId="77777777" w:rsidR="00067A32" w:rsidRPr="00930B4F" w:rsidRDefault="00067A32" w:rsidP="00930B4F">
            <w:pPr>
              <w:widowControl w:val="0"/>
              <w:spacing w:after="0" w:line="240" w:lineRule="auto"/>
              <w:ind w:left="57" w:right="57"/>
              <w:jc w:val="both"/>
              <w:rPr>
                <w:rFonts w:ascii="Times New Roman" w:eastAsiaTheme="minorEastAsia" w:hAnsi="Times New Roman" w:cs="Times New Roman"/>
                <w:noProof/>
                <w:sz w:val="18"/>
                <w:szCs w:val="20"/>
              </w:rPr>
            </w:pPr>
            <w:r w:rsidRPr="00930B4F">
              <w:rPr>
                <w:rFonts w:ascii="Times New Roman" w:hAnsi="Times New Roman"/>
                <w:sz w:val="18"/>
                <w:szCs w:val="20"/>
              </w:rPr>
              <w:t>3</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5C2938F4" w14:textId="77777777" w:rsidR="00067A32" w:rsidRPr="00930B4F" w:rsidRDefault="00067A32" w:rsidP="00930B4F">
            <w:pPr>
              <w:widowControl w:val="0"/>
              <w:spacing w:after="0" w:line="240" w:lineRule="auto"/>
              <w:ind w:left="57" w:right="57"/>
              <w:jc w:val="both"/>
              <w:rPr>
                <w:rFonts w:ascii="Times New Roman" w:eastAsiaTheme="minorEastAsia" w:hAnsi="Times New Roman" w:cs="Times New Roman"/>
                <w:noProof/>
                <w:sz w:val="18"/>
                <w:szCs w:val="20"/>
              </w:rPr>
            </w:pPr>
            <w:r w:rsidRPr="00930B4F">
              <w:rPr>
                <w:rFonts w:ascii="Times New Roman" w:hAnsi="Times New Roman"/>
                <w:sz w:val="18"/>
                <w:szCs w:val="20"/>
              </w:rPr>
              <w:t>2.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347AC51A" w14:textId="77777777" w:rsidR="00067A32" w:rsidRPr="00930B4F" w:rsidRDefault="00067A32" w:rsidP="00930B4F">
            <w:pPr>
              <w:widowControl w:val="0"/>
              <w:spacing w:after="0" w:line="240" w:lineRule="auto"/>
              <w:ind w:left="57" w:right="57"/>
              <w:jc w:val="both"/>
              <w:rPr>
                <w:rFonts w:ascii="Times New Roman" w:eastAsiaTheme="minorEastAsia" w:hAnsi="Times New Roman" w:cs="Times New Roman"/>
                <w:noProof/>
                <w:sz w:val="18"/>
                <w:szCs w:val="20"/>
              </w:rPr>
            </w:pPr>
            <w:r w:rsidRPr="00930B4F">
              <w:rPr>
                <w:rFonts w:ascii="Times New Roman" w:hAnsi="Times New Roman"/>
                <w:sz w:val="18"/>
                <w:szCs w:val="20"/>
              </w:rPr>
              <w:t>2025</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64E855D4"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 xml:space="preserve">Kultūras ministrija un Centrālā finanšu un līgumu aģentūra </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4031889F" w14:textId="77777777" w:rsidR="00067A32" w:rsidRPr="00930B4F" w:rsidRDefault="00067A32" w:rsidP="00930B4F">
            <w:pPr>
              <w:widowControl w:val="0"/>
              <w:spacing w:after="0" w:line="240" w:lineRule="auto"/>
              <w:ind w:left="57" w:right="57"/>
              <w:jc w:val="both"/>
              <w:rPr>
                <w:rFonts w:ascii="Times New Roman" w:eastAsiaTheme="minorEastAsia"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47531719"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065C63C9" w14:textId="77777777" w:rsidR="0048148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Šā dokumenta pielikumā attiecībā uz katru platformu un IT risinājumu iekļauj šādus dokumentārus pierādījumus:</w:t>
            </w:r>
          </w:p>
          <w:p w14:paraId="6A697A99" w14:textId="257C02B1" w:rsidR="00067A32" w:rsidRPr="00930B4F" w:rsidRDefault="00050AFB"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a) trīs platformu vai IT risinājuma un tā testēšanas pabeigšanas apliecinājumu;</w:t>
            </w:r>
          </w:p>
          <w:p w14:paraId="6B913BA9" w14:textId="29911CCB" w:rsidR="00067A32" w:rsidRPr="00930B4F" w:rsidRDefault="00050AFB"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 xml:space="preserve">b) saiti uz trīs platformām vai IT </w:t>
            </w:r>
            <w:r w:rsidRPr="00930B4F">
              <w:rPr>
                <w:rFonts w:ascii="Times New Roman" w:hAnsi="Times New Roman"/>
                <w:sz w:val="18"/>
                <w:szCs w:val="20"/>
              </w:rPr>
              <w:lastRenderedPageBreak/>
              <w:t>risinājumiem, kas pieejami lietotājiem.</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3DAABACE" w14:textId="77777777" w:rsidR="00067A32" w:rsidRPr="00930B4F" w:rsidRDefault="00067A32" w:rsidP="00930B4F">
            <w:pPr>
              <w:widowControl w:val="0"/>
              <w:spacing w:after="0" w:line="240" w:lineRule="auto"/>
              <w:ind w:left="57" w:right="57"/>
              <w:rPr>
                <w:rFonts w:ascii="Times New Roman" w:eastAsiaTheme="minorEastAsia" w:hAnsi="Times New Roman" w:cs="Times New Roman"/>
                <w:noProof/>
                <w:sz w:val="18"/>
                <w:szCs w:val="20"/>
              </w:rPr>
            </w:pPr>
            <w:r w:rsidRPr="00930B4F">
              <w:rPr>
                <w:rFonts w:ascii="Times New Roman" w:hAnsi="Times New Roman"/>
                <w:sz w:val="18"/>
                <w:szCs w:val="20"/>
              </w:rPr>
              <w:lastRenderedPageBreak/>
              <w:t>Izveidotas, testētas un lietotājiem pieejamas trīs platformas vai IT risinājumi mediju nozarē.</w:t>
            </w:r>
          </w:p>
        </w:tc>
      </w:tr>
      <w:tr w:rsidR="0042166D" w:rsidRPr="00930B4F" w14:paraId="53E65E40"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3321273F"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54</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2D70AE62" w14:textId="77777777" w:rsidR="0048148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2.2.1.5.i.</w:t>
            </w:r>
          </w:p>
          <w:p w14:paraId="769D8E6F" w14:textId="3DF9A661"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Mediju uzņēmumu digitālās transformācijas veicināšana</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156E21C0"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Mērķis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3D118C1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Atbalstīto projektu skaits</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6538BAFA"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4C69FA7C" w14:textId="10EEC76F"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Atbalstītie projekti</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18BB55F2"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0</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65DCD1C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10</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63695161"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5A63E103"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2026</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44BC03B6"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Kultūras ministrija un Centrālā finanšu un līgumu aģentūra</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7BE72BDD" w14:textId="77777777" w:rsidR="00067A32" w:rsidRPr="00930B4F" w:rsidRDefault="00067A32" w:rsidP="00930B4F">
            <w:pPr>
              <w:widowControl w:val="0"/>
              <w:spacing w:after="0" w:line="240" w:lineRule="auto"/>
              <w:ind w:left="57" w:right="57"/>
              <w:jc w:val="both"/>
              <w:rPr>
                <w:rFonts w:ascii="Times New Roman" w:eastAsiaTheme="minorEastAsia"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6E8AB9D0"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2E75A2BE" w14:textId="77777777" w:rsidR="0048148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Šā dokumenta pielikumā iekļauj šādus dokumentārus pierādījumus:</w:t>
            </w:r>
          </w:p>
          <w:p w14:paraId="44771831" w14:textId="694B90F4" w:rsidR="00067A32" w:rsidRPr="00930B4F" w:rsidRDefault="00050AFB" w:rsidP="00930B4F">
            <w:pPr>
              <w:widowControl w:val="0"/>
              <w:spacing w:after="0" w:line="240" w:lineRule="auto"/>
              <w:ind w:left="57" w:right="57"/>
              <w:rPr>
                <w:rFonts w:ascii="Times New Roman" w:hAnsi="Times New Roman"/>
                <w:noProof/>
                <w:sz w:val="18"/>
                <w:szCs w:val="20"/>
              </w:rPr>
            </w:pPr>
            <w:r w:rsidRPr="00930B4F">
              <w:rPr>
                <w:rFonts w:ascii="Times New Roman" w:hAnsi="Times New Roman"/>
                <w:sz w:val="18"/>
                <w:szCs w:val="20"/>
              </w:rPr>
              <w:t>a) noslēgto līgumu sarakstu un aprakstu;</w:t>
            </w:r>
          </w:p>
          <w:p w14:paraId="27E7F0C3" w14:textId="1778ADF9" w:rsidR="00067A32" w:rsidRPr="00930B4F" w:rsidRDefault="00050AFB" w:rsidP="00930B4F">
            <w:pPr>
              <w:widowControl w:val="0"/>
              <w:spacing w:after="0" w:line="240" w:lineRule="auto"/>
              <w:ind w:left="57" w:right="57"/>
              <w:rPr>
                <w:rFonts w:ascii="Times New Roman" w:hAnsi="Times New Roman"/>
                <w:noProof/>
                <w:sz w:val="18"/>
                <w:szCs w:val="20"/>
              </w:rPr>
            </w:pPr>
            <w:r w:rsidRPr="00930B4F">
              <w:rPr>
                <w:rFonts w:ascii="Times New Roman" w:hAnsi="Times New Roman"/>
                <w:sz w:val="18"/>
                <w:szCs w:val="20"/>
              </w:rPr>
              <w:t xml:space="preserve">b) to līgumu sarakstu, kas noslēgti starp saņēmēju un iestādi, kas atbild par projekta īstenošanu. </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080C1DF8" w14:textId="77777777" w:rsidR="00067A32" w:rsidRPr="00930B4F" w:rsidRDefault="00067A32" w:rsidP="00930B4F">
            <w:pPr>
              <w:widowControl w:val="0"/>
              <w:spacing w:after="0" w:line="240" w:lineRule="auto"/>
              <w:ind w:left="57" w:right="57"/>
              <w:rPr>
                <w:rFonts w:ascii="Times New Roman" w:hAnsi="Times New Roman" w:cs="Times New Roman"/>
                <w:noProof/>
                <w:sz w:val="18"/>
                <w:szCs w:val="20"/>
              </w:rPr>
            </w:pPr>
            <w:r w:rsidRPr="00930B4F">
              <w:rPr>
                <w:rFonts w:ascii="Times New Roman" w:hAnsi="Times New Roman"/>
                <w:sz w:val="18"/>
                <w:szCs w:val="20"/>
              </w:rPr>
              <w:t>Rādītāju uzskata par izpildītu, ja starp komersantu un CFLA ir noslēgts līgums par granta saņemšanu projekta īstenošanai (par tādu tehnoloģisko risinājumu izstrādi, kas uzlabo digitālās prasmes vai uzņēmējdarbības modeļus mediju nozarē).</w:t>
            </w:r>
          </w:p>
        </w:tc>
      </w:tr>
      <w:tr w:rsidR="0042166D" w:rsidRPr="00930B4F" w14:paraId="20DAEEB8"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47BAAF11"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56</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26399127" w14:textId="77777777" w:rsidR="0048148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2.3.1.r.</w:t>
            </w:r>
          </w:p>
          <w:p w14:paraId="6E0E85F1" w14:textId="0A9F8EE5"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 xml:space="preserve">Ilgtspējīgas un sociāli atbildīgas atbalsta sistēmas pieaugušo izglītībai attīstība </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3E3567EF"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Mērķis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21E11F8E"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Pieaugušo izglītībā iesaistīto pieaugušo (vecumā no 25 līdz 64 gadiem) īpatsvars pēdējās četrās nedēļās pirms apsekojuma (%)</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54845B5C"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74B1AAEA"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5EF6D2AF"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 xml:space="preserve">6,6 </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3DFD7132"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8</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3EEC5B0A"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4.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0C6D5A3D"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2025</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5A2B9433"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 xml:space="preserve">Izglītības un zinātnes ministrija </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54E151A7"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63064770"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02EF7061"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 xml:space="preserve">Šā dokumenta pielikumā iekļauj ikgadējo darbaspēka apsekojumu – pieaugušo izglītībā iesaistīto pieaugušo (vecumā no 25 līdz 64 gadiem) īpatsvara izmaiņu novērtējumu (kas veikts </w:t>
            </w:r>
            <w:r w:rsidRPr="00930B4F">
              <w:rPr>
                <w:rFonts w:ascii="Times New Roman" w:hAnsi="Times New Roman"/>
                <w:i/>
                <w:iCs/>
                <w:sz w:val="18"/>
                <w:szCs w:val="20"/>
              </w:rPr>
              <w:t>Eurostat</w:t>
            </w:r>
            <w:r w:rsidRPr="00930B4F">
              <w:rPr>
                <w:rFonts w:ascii="Times New Roman" w:hAnsi="Times New Roman"/>
                <w:sz w:val="18"/>
                <w:szCs w:val="20"/>
              </w:rPr>
              <w:t xml:space="preserve"> </w:t>
            </w:r>
            <w:r w:rsidRPr="00930B4F">
              <w:rPr>
                <w:rFonts w:ascii="Times New Roman" w:hAnsi="Times New Roman"/>
                <w:i/>
                <w:iCs/>
                <w:sz w:val="18"/>
                <w:szCs w:val="20"/>
              </w:rPr>
              <w:t>LFS</w:t>
            </w:r>
            <w:r w:rsidRPr="00930B4F">
              <w:rPr>
                <w:rFonts w:ascii="Times New Roman" w:hAnsi="Times New Roman"/>
                <w:sz w:val="18"/>
                <w:szCs w:val="20"/>
              </w:rPr>
              <w:t xml:space="preserve"> satvarā, https://ec.europa.eu/eurostat/web/microdata/european-union-labour-force-</w:t>
            </w:r>
            <w:r w:rsidRPr="00930B4F">
              <w:rPr>
                <w:rFonts w:ascii="Times New Roman" w:hAnsi="Times New Roman"/>
                <w:sz w:val="18"/>
                <w:szCs w:val="20"/>
              </w:rPr>
              <w:lastRenderedPageBreak/>
              <w:t>survey).</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36B6E0CD" w14:textId="5DA8C6D4"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Plāna ietvaros sasniedzamais mērķis ir noteikts, pamatojoties uz Latvijas vidēja termiņa politikas plānošanas dokumenta “Izglītības attīstības pamatnostādnes 2021.–2027. gadam”, </w:t>
            </w:r>
            <w:r w:rsidRPr="00930B4F">
              <w:rPr>
                <w:rFonts w:ascii="Times New Roman" w:hAnsi="Times New Roman"/>
                <w:sz w:val="18"/>
                <w:szCs w:val="20"/>
              </w:rPr>
              <w:lastRenderedPageBreak/>
              <w:t xml:space="preserve">kuru plānots apstiprināt Ministru kabinetā līdz 2021. gada vidum, vidēja termiņa mērķi, proti, palielināt pieaugušo līdzdalību izglītībā no 6,6 % (2020. gadā) līdz 12 % (2027. gadā), t. i., līdz 2025. gadam palielināt pieaugušo līdzdalību izglītībā līdz 8 %. Mērķa sasniegšana ir tieši saistīta ar pieaugušo izglītības attīstībai plānotajiem reformas pasākumiem. </w:t>
            </w:r>
          </w:p>
        </w:tc>
      </w:tr>
      <w:tr w:rsidR="0042166D" w:rsidRPr="00930B4F" w14:paraId="701A6B02"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0A04D5F3"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57</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6BAB8970" w14:textId="77777777" w:rsidR="00481482" w:rsidRPr="00930B4F" w:rsidRDefault="00067A32" w:rsidP="00930B4F">
            <w:pPr>
              <w:widowControl w:val="0"/>
              <w:spacing w:after="0" w:line="240" w:lineRule="auto"/>
              <w:ind w:left="57" w:right="57"/>
              <w:jc w:val="both"/>
              <w:rPr>
                <w:rFonts w:ascii="Times New Roman" w:eastAsia="Calibri" w:hAnsi="Times New Roman" w:cs="Times New Roman"/>
                <w:b/>
                <w:noProof/>
                <w:sz w:val="18"/>
                <w:szCs w:val="20"/>
              </w:rPr>
            </w:pPr>
            <w:r w:rsidRPr="00930B4F">
              <w:rPr>
                <w:rFonts w:ascii="Times New Roman" w:hAnsi="Times New Roman"/>
                <w:b/>
                <w:sz w:val="18"/>
                <w:szCs w:val="20"/>
              </w:rPr>
              <w:t>2.3.1.r.</w:t>
            </w:r>
          </w:p>
          <w:p w14:paraId="1FD469DE" w14:textId="72380F30" w:rsidR="00067A32" w:rsidRPr="00930B4F" w:rsidRDefault="00067A32" w:rsidP="00930B4F">
            <w:pPr>
              <w:widowControl w:val="0"/>
              <w:spacing w:after="0" w:line="240" w:lineRule="auto"/>
              <w:ind w:left="57" w:right="57"/>
              <w:jc w:val="both"/>
              <w:rPr>
                <w:rFonts w:ascii="Times New Roman" w:eastAsia="Calibri" w:hAnsi="Times New Roman" w:cs="Times New Roman"/>
                <w:b/>
                <w:noProof/>
                <w:sz w:val="18"/>
                <w:szCs w:val="20"/>
              </w:rPr>
            </w:pPr>
            <w:r w:rsidRPr="00930B4F">
              <w:rPr>
                <w:rFonts w:ascii="Times New Roman" w:hAnsi="Times New Roman"/>
                <w:b/>
                <w:sz w:val="18"/>
                <w:szCs w:val="20"/>
              </w:rPr>
              <w:t xml:space="preserve">Ilgtspējīgas un sociāli atbildīgas atbalsta </w:t>
            </w:r>
            <w:r w:rsidRPr="00930B4F">
              <w:rPr>
                <w:rFonts w:ascii="Times New Roman" w:hAnsi="Times New Roman"/>
                <w:b/>
                <w:sz w:val="18"/>
                <w:szCs w:val="20"/>
              </w:rPr>
              <w:lastRenderedPageBreak/>
              <w:t xml:space="preserve">sistēmas pieaugušo izglītībai attīstība </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32EE1EA0"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Atskaites punkts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7419A3B5"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Pastiprināts atbalsts darbinieku mācībām</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16AA50D1"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Tiesību akti ir stājušies spēkā</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1EEB115C"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3B05A913"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63340FA6"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5F4933A9"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4.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164FCADD"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2023</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0E264C6A"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 xml:space="preserve">Ekonomikas ministrija </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6E4E46F6"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4C053E02"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 xml:space="preserve">Attiecīgā tiesību akta kopija un saite uz tā publikāciju oficiālajā izdevumā, tostarp atsauce uz noteikumu, kurā norādīta stāšanās spēkā, kopā ar kopsavilkuma dokumentu, kurā </w:t>
            </w:r>
            <w:r w:rsidRPr="00930B4F">
              <w:rPr>
                <w:rFonts w:ascii="Times New Roman" w:hAnsi="Times New Roman"/>
                <w:sz w:val="18"/>
                <w:szCs w:val="20"/>
              </w:rPr>
              <w:lastRenderedPageBreak/>
              <w:t xml:space="preserve">pienācīgi pamatots, kā tika apmierinoši sasniegts atskaites punkts (tostarp visi būtiskie elementi), ar atbilstošām saitēm uz pamatojošajiem pierādījumiem. </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0028A946"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lastRenderedPageBreak/>
              <w:t>Stājušies spēkā tiesību akti, ar ko tiek:</w:t>
            </w:r>
          </w:p>
          <w:p w14:paraId="6568BB88" w14:textId="77777777" w:rsidR="0048148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t xml:space="preserve">1) ieviests labvēlīgāks </w:t>
            </w:r>
            <w:r w:rsidRPr="00930B4F">
              <w:rPr>
                <w:rFonts w:ascii="Times New Roman" w:hAnsi="Times New Roman"/>
                <w:sz w:val="18"/>
                <w:szCs w:val="20"/>
              </w:rPr>
              <w:lastRenderedPageBreak/>
              <w:t xml:space="preserve">nodokļu režīms likumā “Par iedzīvotāju ienākuma nodokli” attiecībā uz mācību maksu, ko darba devējs sedz par darbinieku augstāko izglītību; </w:t>
            </w:r>
          </w:p>
          <w:p w14:paraId="004976FC" w14:textId="77777777" w:rsidR="0048148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t>2) grozīts Darba likums, lai paplašinātu darbinieku tiesības piedalīties ar profesionālajiem pienākumiem saistītās mācībās;</w:t>
            </w:r>
          </w:p>
          <w:p w14:paraId="142F27E6" w14:textId="15FF5AC2"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t>3) pieņemti Ministru kabineta norādījumi par atbalsta pasākumu sagatavošanas standartizēšanu darba devējiem darbinieku mācību nodrošināšanai.</w:t>
            </w:r>
          </w:p>
        </w:tc>
      </w:tr>
      <w:tr w:rsidR="0042166D" w:rsidRPr="00930B4F" w14:paraId="3C3714A8"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40881E5E"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5</w:t>
            </w:r>
            <w:r w:rsidRPr="00930B4F">
              <w:rPr>
                <w:rFonts w:ascii="Times New Roman" w:hAnsi="Times New Roman"/>
                <w:sz w:val="18"/>
                <w:szCs w:val="20"/>
              </w:rPr>
              <w:lastRenderedPageBreak/>
              <w:t>7a</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700F6059" w14:textId="77777777" w:rsidR="00481482" w:rsidRPr="00930B4F" w:rsidRDefault="00067A32" w:rsidP="00930B4F">
            <w:pPr>
              <w:widowControl w:val="0"/>
              <w:spacing w:after="0" w:line="240" w:lineRule="auto"/>
              <w:ind w:left="57" w:right="57"/>
              <w:jc w:val="both"/>
              <w:rPr>
                <w:rFonts w:ascii="Times New Roman" w:eastAsia="Calibri" w:hAnsi="Times New Roman" w:cs="Times New Roman"/>
                <w:b/>
                <w:noProof/>
                <w:sz w:val="18"/>
                <w:szCs w:val="20"/>
              </w:rPr>
            </w:pPr>
            <w:r w:rsidRPr="00930B4F">
              <w:rPr>
                <w:rFonts w:ascii="Times New Roman" w:hAnsi="Times New Roman"/>
                <w:b/>
                <w:sz w:val="18"/>
                <w:szCs w:val="20"/>
              </w:rPr>
              <w:lastRenderedPageBreak/>
              <w:t>2.3.1.r.</w:t>
            </w:r>
          </w:p>
          <w:p w14:paraId="7DFCA245" w14:textId="608F2F1D" w:rsidR="00067A32" w:rsidRPr="00930B4F" w:rsidRDefault="00067A32" w:rsidP="00930B4F">
            <w:pPr>
              <w:widowControl w:val="0"/>
              <w:spacing w:after="0" w:line="240" w:lineRule="auto"/>
              <w:ind w:left="57" w:right="57"/>
              <w:jc w:val="both"/>
              <w:rPr>
                <w:rFonts w:ascii="Times New Roman" w:eastAsia="Calibri" w:hAnsi="Times New Roman" w:cs="Times New Roman"/>
                <w:b/>
                <w:noProof/>
                <w:sz w:val="18"/>
                <w:szCs w:val="20"/>
              </w:rPr>
            </w:pPr>
            <w:r w:rsidRPr="00930B4F">
              <w:rPr>
                <w:rFonts w:ascii="Times New Roman" w:hAnsi="Times New Roman"/>
                <w:b/>
                <w:sz w:val="18"/>
                <w:szCs w:val="20"/>
              </w:rPr>
              <w:lastRenderedPageBreak/>
              <w:t>Ilgtspējīgas un sociāli atbildīgas atbalsta sistēmas pieaugušo izglītībai attīstība</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5FEA2654"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Atskai</w:t>
            </w:r>
            <w:r w:rsidRPr="00930B4F">
              <w:rPr>
                <w:rFonts w:ascii="Times New Roman" w:hAnsi="Times New Roman"/>
                <w:sz w:val="18"/>
                <w:szCs w:val="20"/>
              </w:rPr>
              <w:lastRenderedPageBreak/>
              <w:t>tes punkts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34CD48B2"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Rīcības </w:t>
            </w:r>
            <w:r w:rsidRPr="00930B4F">
              <w:rPr>
                <w:rFonts w:ascii="Times New Roman" w:hAnsi="Times New Roman"/>
                <w:sz w:val="18"/>
                <w:szCs w:val="20"/>
              </w:rPr>
              <w:lastRenderedPageBreak/>
              <w:t>plāna “Cilvēkkapitāla attīstības stratēģija” pieņemšana</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426AA8E2"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Valdība </w:t>
            </w:r>
            <w:r w:rsidRPr="00930B4F">
              <w:rPr>
                <w:rFonts w:ascii="Times New Roman" w:hAnsi="Times New Roman"/>
                <w:sz w:val="18"/>
                <w:szCs w:val="20"/>
              </w:rPr>
              <w:lastRenderedPageBreak/>
              <w:t>ir pieņēmusi rīcības plānu</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10DDC63D"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Neattieca</w:t>
            </w:r>
            <w:r w:rsidRPr="00930B4F">
              <w:rPr>
                <w:rFonts w:ascii="Times New Roman" w:hAnsi="Times New Roman"/>
                <w:sz w:val="18"/>
                <w:szCs w:val="20"/>
              </w:rPr>
              <w:lastRenderedPageBreak/>
              <w:t>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270AC75C"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Neatt</w:t>
            </w:r>
            <w:r w:rsidRPr="00930B4F">
              <w:rPr>
                <w:rFonts w:ascii="Times New Roman" w:hAnsi="Times New Roman"/>
                <w:sz w:val="18"/>
                <w:szCs w:val="20"/>
              </w:rPr>
              <w:lastRenderedPageBreak/>
              <w:t>iecas</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638EECE9"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Neatti</w:t>
            </w:r>
            <w:r w:rsidRPr="00930B4F">
              <w:rPr>
                <w:rFonts w:ascii="Times New Roman" w:hAnsi="Times New Roman"/>
                <w:sz w:val="18"/>
                <w:szCs w:val="20"/>
              </w:rPr>
              <w:lastRenderedPageBreak/>
              <w:t>ecas</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7D239456"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4. ce</w:t>
            </w:r>
            <w:r w:rsidRPr="00930B4F">
              <w:rPr>
                <w:rFonts w:ascii="Times New Roman" w:hAnsi="Times New Roman"/>
                <w:sz w:val="18"/>
                <w:szCs w:val="20"/>
              </w:rPr>
              <w:lastRenderedPageBreak/>
              <w:t>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58FEA472"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2025</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3BF79756"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 xml:space="preserve">Ekonomikas </w:t>
            </w:r>
            <w:r w:rsidRPr="00930B4F">
              <w:rPr>
                <w:rFonts w:ascii="Times New Roman" w:hAnsi="Times New Roman"/>
                <w:sz w:val="18"/>
                <w:szCs w:val="20"/>
              </w:rPr>
              <w:lastRenderedPageBreak/>
              <w:t>ministrija</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247583A1"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4B47729B"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 xml:space="preserve">Kopsavilkuma dokuments, kurā </w:t>
            </w:r>
            <w:r w:rsidRPr="00930B4F">
              <w:rPr>
                <w:rFonts w:ascii="Times New Roman" w:hAnsi="Times New Roman"/>
                <w:sz w:val="18"/>
                <w:szCs w:val="20"/>
              </w:rPr>
              <w:lastRenderedPageBreak/>
              <w:t>pienācīgi pamatots, kā tika apmierinoši sasniegts atskaites punkts (tostarp visi būtiskie elementi), kopā ar atbilstošām saitēm uz pamatojošajiem pierādījumiem. Šā dokumenta pielikumā iekļauj Ministru kabineta pieņemtā rīcības plāna kopiju.</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0F048A37"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Ministru </w:t>
            </w:r>
            <w:r w:rsidRPr="00930B4F">
              <w:rPr>
                <w:rFonts w:ascii="Times New Roman" w:hAnsi="Times New Roman"/>
                <w:sz w:val="18"/>
                <w:szCs w:val="20"/>
              </w:rPr>
              <w:lastRenderedPageBreak/>
              <w:t>kabinets ir pieņēmis rīcības plānu “Cilvēkkapitāla attīstības stratēģija”.</w:t>
            </w:r>
          </w:p>
        </w:tc>
      </w:tr>
      <w:tr w:rsidR="0042166D" w:rsidRPr="00930B4F" w14:paraId="5B840757"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28203F1C"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58</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4C7142B1" w14:textId="77777777" w:rsidR="0048148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2.3.1.r.</w:t>
            </w:r>
          </w:p>
          <w:p w14:paraId="44A80821" w14:textId="46231F36"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 xml:space="preserve">Ilgtspējīgas un sociāli atbildīgas atbalsta sistēmas pieaugušo izglītībai attīstība </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7D4CBA1E"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Atskaites punkts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038D12D4"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Prasmju fondu koncepcijas izstrāde</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5618014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Stājās spēkā Ministru kabineta noteikumi</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71F66F83"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1620E98E"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07ACB4E5"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07A47389"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3.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4AF1070A"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2024</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1BA7F449"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Izglītības un zinātnes ministrija</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15534C58"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37A48BCF"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Ministru kabineta noteikumu kopija un saite uz publikāciju oficiālajā izdevumā, tostarp atsauce uz noteikumu, kurā norādīta stāšanās spēkā, kam pievienots kopsavilkuma dokuments, kurā pienācīgi pamatots, kā tika apmierinoši sasniegts atskaites punkts, kopā ar atbilstošām saitēm uz pamatojošajiem pierādījumiem.</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3E9454BF"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t>Stājušies spēkā tādi Ministru kabineta noteikumi par prasmju fondu ieviešanu, kuros noteikta prasmju fondu struktūra un iesaistīto personu tiesības un pienākumi.</w:t>
            </w:r>
          </w:p>
        </w:tc>
      </w:tr>
      <w:tr w:rsidR="0042166D" w:rsidRPr="00930B4F" w14:paraId="01681020"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731A7A48"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59</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59D208A7"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2.3.1.r.</w:t>
            </w:r>
          </w:p>
          <w:p w14:paraId="69A2C91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 xml:space="preserve">Ilgtspējīgas un sociāli atbildīgas atbalsta sistēmas pieaugušo izglītībai attīstība </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2509F3DE"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Mērķis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09DD4413"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Prasmju fondu izmēģinājuma projekti</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088937C4"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Prasmju fondu izveide</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132D09C9"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Skaits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41DD249C"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0</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5BD23E2D"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3</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2BA82575"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6CB1BC90"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2026</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799BCFF4"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Izglītības un zinātnes ministrija un Centrālā finanšu un līgumu aģentūra</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6985B65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49B19E7E"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3E1A3505"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Šā dokumenta pielikumā iekļauj šādus dokumentārus pierādījumus:</w:t>
            </w:r>
          </w:p>
          <w:p w14:paraId="0E70D437" w14:textId="37CB1811" w:rsidR="00067A32" w:rsidRPr="00930B4F" w:rsidRDefault="00050AFB"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a) ziņojumu par izmēģinājuma projektu rezultātiem un norādi par turpmākajiem pasākumiem;</w:t>
            </w:r>
          </w:p>
          <w:p w14:paraId="415B0D54" w14:textId="33E4FFE9" w:rsidR="00481482" w:rsidRPr="00930B4F" w:rsidRDefault="00050AFB"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b) prasmju fondiem veltītu trīs izmēģinājuma projektu īstenošanai nepieciešamo līgumu kopijas;</w:t>
            </w:r>
          </w:p>
          <w:p w14:paraId="5D8EB02E" w14:textId="7F5CF289" w:rsidR="00067A32" w:rsidRPr="00930B4F" w:rsidRDefault="00050AFB"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c) apliecinājumu par trīs izmēģinājuma projektu pabeigšanu.</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4609CF72" w14:textId="7A629E61"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t xml:space="preserve">Trīs izmēģinājuma projekti par prasmju fondiem. Izmēģinājuma projekta mērķis ir novērtēt šādas pieejas ieviešanas iespējamību Latvijas kontekstā, tostarp pārbaudot tādus aspektus kā a) </w:t>
            </w:r>
            <w:r w:rsidRPr="00930B4F">
              <w:rPr>
                <w:rFonts w:ascii="Times New Roman" w:hAnsi="Times New Roman"/>
                <w:sz w:val="18"/>
                <w:szCs w:val="20"/>
              </w:rPr>
              <w:lastRenderedPageBreak/>
              <w:t>publisko un privāto līdzieguldījumu samērs un dinamika laika gaitā, b) sadarbības modelis starp uzņēmumiem un darba ņēmēju organizācijām nozarēs, lai izstrādātu kopīgu redzējumu par mācību vajadzībām, t. sk. “nākotnes prasmes” nozarē un saistītajās nozarēs, un c) nozares mācību īstenošanas plāns, kas ietver jaunu darbinieku sagatavošanu, citās nozarēs nodarbināto pārkvalifikāciju un esošo darbinieku kvalifikācijas celšanu.</w:t>
            </w:r>
          </w:p>
        </w:tc>
      </w:tr>
      <w:tr w:rsidR="0042166D" w:rsidRPr="00930B4F" w14:paraId="050E991A"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103F4896"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6</w:t>
            </w:r>
            <w:r w:rsidRPr="00930B4F">
              <w:rPr>
                <w:rFonts w:ascii="Times New Roman" w:hAnsi="Times New Roman"/>
                <w:sz w:val="18"/>
                <w:szCs w:val="20"/>
              </w:rPr>
              <w:lastRenderedPageBreak/>
              <w:t>0</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056B57E0" w14:textId="77777777" w:rsidR="0048148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lastRenderedPageBreak/>
              <w:t>2.3.1.r.</w:t>
            </w:r>
          </w:p>
          <w:p w14:paraId="6167E94D" w14:textId="29D25749"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lastRenderedPageBreak/>
              <w:t xml:space="preserve">Ilgtspējīgas un sociāli atbildīgas atbalsta sistēmas pieaugušo izglītībai attīstība </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6A6E1193"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Atskai</w:t>
            </w:r>
            <w:r w:rsidRPr="00930B4F">
              <w:rPr>
                <w:rFonts w:ascii="Times New Roman" w:hAnsi="Times New Roman"/>
                <w:sz w:val="18"/>
                <w:szCs w:val="20"/>
              </w:rPr>
              <w:lastRenderedPageBreak/>
              <w:t>tes punkts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1BA5361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Individuālo </w:t>
            </w:r>
            <w:r w:rsidRPr="00930B4F">
              <w:rPr>
                <w:rFonts w:ascii="Times New Roman" w:hAnsi="Times New Roman"/>
                <w:sz w:val="18"/>
                <w:szCs w:val="20"/>
              </w:rPr>
              <w:lastRenderedPageBreak/>
              <w:t>mācību kontu pieejas attīstība</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2C196D65"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Stājās </w:t>
            </w:r>
            <w:r w:rsidRPr="00930B4F">
              <w:rPr>
                <w:rFonts w:ascii="Times New Roman" w:hAnsi="Times New Roman"/>
                <w:sz w:val="18"/>
                <w:szCs w:val="20"/>
              </w:rPr>
              <w:lastRenderedPageBreak/>
              <w:t>spēkā Ministru kabineta noteikumi</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66868F62"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Neattieca</w:t>
            </w:r>
            <w:r w:rsidRPr="00930B4F">
              <w:rPr>
                <w:rFonts w:ascii="Times New Roman" w:hAnsi="Times New Roman"/>
                <w:sz w:val="18"/>
                <w:szCs w:val="20"/>
              </w:rPr>
              <w:lastRenderedPageBreak/>
              <w:t>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53379EAF"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Neatt</w:t>
            </w:r>
            <w:r w:rsidRPr="00930B4F">
              <w:rPr>
                <w:rFonts w:ascii="Times New Roman" w:hAnsi="Times New Roman"/>
                <w:sz w:val="18"/>
                <w:szCs w:val="20"/>
              </w:rPr>
              <w:lastRenderedPageBreak/>
              <w:t xml:space="preserve">iecas </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17CF71A0"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Neatti</w:t>
            </w:r>
            <w:r w:rsidRPr="00930B4F">
              <w:rPr>
                <w:rFonts w:ascii="Times New Roman" w:hAnsi="Times New Roman"/>
                <w:sz w:val="18"/>
                <w:szCs w:val="20"/>
              </w:rPr>
              <w:lastRenderedPageBreak/>
              <w:t>ecas</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0C46B6A2"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4. ce</w:t>
            </w:r>
            <w:r w:rsidRPr="00930B4F">
              <w:rPr>
                <w:rFonts w:ascii="Times New Roman" w:hAnsi="Times New Roman"/>
                <w:sz w:val="18"/>
                <w:szCs w:val="20"/>
              </w:rPr>
              <w:lastRenderedPageBreak/>
              <w:t>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0FD91E7A"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2023</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1772D596"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 xml:space="preserve">Izglītības un </w:t>
            </w:r>
            <w:r w:rsidRPr="00930B4F">
              <w:rPr>
                <w:rFonts w:ascii="Times New Roman" w:hAnsi="Times New Roman"/>
                <w:sz w:val="18"/>
                <w:szCs w:val="20"/>
              </w:rPr>
              <w:lastRenderedPageBreak/>
              <w:t>zinātnes ministrija</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2B7895DD"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4C1A05DE"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 xml:space="preserve">Attiecīgā tiesību akta kopija un saite </w:t>
            </w:r>
            <w:r w:rsidRPr="00930B4F">
              <w:rPr>
                <w:rFonts w:ascii="Times New Roman" w:hAnsi="Times New Roman"/>
                <w:sz w:val="18"/>
                <w:szCs w:val="20"/>
              </w:rPr>
              <w:lastRenderedPageBreak/>
              <w:t>uz publikāciju oficiālajā izdevumā, tostarp atsauce uz noteikumu, kurā norādīta stāšanās spēkā, kam pievienots kopsavilkuma dokuments, kurā pienācīgi pamatots, kā tika apmierinoši sasniegts atskaites punkts, kopā ar atbilstošām saitēm uz pamatojošajiem pierādījumiem.</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1D5FF389"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Stājas spēkā </w:t>
            </w:r>
            <w:r w:rsidRPr="00930B4F">
              <w:rPr>
                <w:rFonts w:ascii="Times New Roman" w:hAnsi="Times New Roman"/>
                <w:sz w:val="18"/>
                <w:szCs w:val="20"/>
              </w:rPr>
              <w:lastRenderedPageBreak/>
              <w:t>noteikumi, kuros precizēta pieeja individuālā mācību konta izveidei, tostarp: a) atbilstības kritēriju noteikšana, b) izglītības sniedzēju atlases kritēriju noteikšana.</w:t>
            </w:r>
          </w:p>
        </w:tc>
      </w:tr>
      <w:tr w:rsidR="0042166D" w:rsidRPr="00930B4F" w14:paraId="56CFEED3"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1C14351E"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61</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1332BB65" w14:textId="77777777" w:rsidR="0048148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2.3.1.r.</w:t>
            </w:r>
          </w:p>
          <w:p w14:paraId="010F8CAE" w14:textId="61A1B1E6"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 xml:space="preserve">Ilgtspējīgas un sociāli atbildīgas atbalsta sistēmas pieaugušo izglītībai attīstība </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4C9494AD"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Mērķis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7B1883C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Individuālo mācību kontu pieejas izmēģinājuma projekts</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7684EAF8"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64371F68" w14:textId="77777777" w:rsidR="00067A32" w:rsidRPr="00930B4F" w:rsidRDefault="00067A32" w:rsidP="00930B4F">
            <w:pPr>
              <w:widowControl w:val="0"/>
              <w:spacing w:after="0" w:line="240" w:lineRule="auto"/>
              <w:ind w:left="57" w:right="57"/>
              <w:jc w:val="both"/>
              <w:rPr>
                <w:rFonts w:ascii="Times New Roman" w:hAnsi="Times New Roman" w:cs="Times New Roman"/>
                <w:noProof/>
                <w:sz w:val="18"/>
                <w:szCs w:val="20"/>
              </w:rPr>
            </w:pPr>
            <w:r w:rsidRPr="00930B4F">
              <w:rPr>
                <w:rFonts w:ascii="Times New Roman" w:hAnsi="Times New Roman"/>
                <w:sz w:val="18"/>
                <w:szCs w:val="20"/>
              </w:rPr>
              <w:t>Skaits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31BCC79A"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0</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32422B39"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1</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2F81001A"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3.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02EDA97C"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2026</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728BAAD3"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Izglītības un zinātnes ministrija</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73254402"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77AEEC19"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0CA4602A"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Šā dokumenta pielikumā iekļauj šādus dokumentārus pierādījumus:</w:t>
            </w:r>
          </w:p>
          <w:p w14:paraId="26A7D5F5" w14:textId="28F6D3F3" w:rsidR="00481482" w:rsidRPr="00930B4F" w:rsidRDefault="00050AFB"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a) ziņojumu par izmēģinājuma projekta rezultātiem, tostarp par to, cik personām ir individuālie mācību konti, un norādi par turpmākajiem pasākumiem;</w:t>
            </w:r>
          </w:p>
          <w:p w14:paraId="2AE661A4" w14:textId="4EB28C45" w:rsidR="00067A32" w:rsidRPr="00930B4F" w:rsidRDefault="00050AFB"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b) projekta īstenošanai nepieciešamā līguma kopiju;</w:t>
            </w:r>
          </w:p>
          <w:p w14:paraId="633CAC83" w14:textId="7289DC35" w:rsidR="00067A32" w:rsidRPr="00930B4F" w:rsidRDefault="00050AFB"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c) apliecinājumu par izmēģinājuma projekta pabeigšanu.</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29B318EC"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t xml:space="preserve">Pabeigts viens izmēģinājuma projekts, lai novērtētu tāda individuālā mācību konta risinājuma izveidi, kas būtu vispiemērotākais Latvijas situācijai. Paredzams, ka izmēģinājuma projektā tiks iesaistītas 3500 personas, kas veido individuālos mācību kontus, pārvalda šos individuālos mācību kontus </w:t>
            </w:r>
            <w:r w:rsidRPr="00930B4F">
              <w:rPr>
                <w:rFonts w:ascii="Times New Roman" w:hAnsi="Times New Roman"/>
                <w:sz w:val="18"/>
                <w:szCs w:val="20"/>
              </w:rPr>
              <w:lastRenderedPageBreak/>
              <w:t>un glabā datus par līdzdalību un rezultātu radītājiem projekta laikā.</w:t>
            </w:r>
          </w:p>
        </w:tc>
      </w:tr>
      <w:tr w:rsidR="0042166D" w:rsidRPr="00930B4F" w14:paraId="5DBC7F29"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0209ED5F"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62</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5711FDB4" w14:textId="77777777" w:rsidR="0048148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2.3.1.1.i.</w:t>
            </w:r>
          </w:p>
          <w:p w14:paraId="34959F72" w14:textId="642ABFEE"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Augsta līmeņa digitālo prasmju apguves nodrošināšana</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6B12B805"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Mērķis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482A8F54"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To speciālistu (uzņēmējdarbības, akadēmiskā un valsts sektora) un studentu skaits, kam ir padziļinātas digitālās prasmes kvantu tehnoloģiju, augstas veiktspējas datošanas un valodu tehnoloģiju jomā</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23C95891" w14:textId="77777777" w:rsidR="00067A32" w:rsidRPr="00930B4F" w:rsidRDefault="00067A32" w:rsidP="00930B4F">
            <w:pPr>
              <w:widowControl w:val="0"/>
              <w:spacing w:after="0" w:line="240" w:lineRule="auto"/>
              <w:ind w:left="57" w:right="57"/>
              <w:jc w:val="both"/>
              <w:rPr>
                <w:rFonts w:ascii="Times New Roman" w:hAnsi="Times New Roman" w:cs="Times New Roman"/>
                <w:noProof/>
                <w:sz w:val="18"/>
                <w:szCs w:val="20"/>
              </w:rPr>
            </w:pP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7E577E5A"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Skaits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7D972E10"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0</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2BCF2741"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3000</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4521C3CD"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3.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3B616B7C"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2026</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23654FFC"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bookmarkStart w:id="24" w:name="_Hlk89430409"/>
            <w:r w:rsidRPr="00930B4F">
              <w:rPr>
                <w:rFonts w:ascii="Times New Roman" w:hAnsi="Times New Roman"/>
                <w:sz w:val="18"/>
                <w:szCs w:val="20"/>
              </w:rPr>
              <w:t>Izglītības un zinātnes ministrija</w:t>
            </w:r>
            <w:bookmarkEnd w:id="24"/>
            <w:r w:rsidRPr="00930B4F">
              <w:rPr>
                <w:rFonts w:ascii="Times New Roman" w:hAnsi="Times New Roman"/>
                <w:sz w:val="18"/>
                <w:szCs w:val="20"/>
              </w:rPr>
              <w:t>, projektā iesaistītās iestādes</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00BA4B85"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05EFE00C"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5E72DEB6"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Šā dokumenta pielikumā iekļauj šādus dokumentārus pierādījumus:</w:t>
            </w:r>
          </w:p>
          <w:p w14:paraId="77D6D3D9" w14:textId="591A8A2A" w:rsidR="00067A32" w:rsidRPr="00930B4F" w:rsidRDefault="00BC4FDD"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a) īsu aprakstu par katru no 20 studiju moduļiem;</w:t>
            </w:r>
          </w:p>
          <w:p w14:paraId="078A23B9" w14:textId="6CC3BE5D" w:rsidR="00067A32" w:rsidRPr="00930B4F" w:rsidRDefault="00BC4FDD"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b) izdoto sertifikātu sarakstu un ziņojumus no augstākās izglītības iestādes studiju informācijas sistēmas par mācību moduļu pabeigšanu.</w:t>
            </w:r>
          </w:p>
          <w:p w14:paraId="5989154C" w14:textId="77777777" w:rsidR="00067A32" w:rsidRPr="00930B4F" w:rsidRDefault="00067A32" w:rsidP="00930B4F">
            <w:pPr>
              <w:widowControl w:val="0"/>
              <w:spacing w:after="0" w:line="240" w:lineRule="auto"/>
              <w:ind w:left="57" w:right="57"/>
              <w:rPr>
                <w:rFonts w:ascii="Times New Roman" w:eastAsiaTheme="minorEastAsia" w:hAnsi="Times New Roman"/>
                <w:noProof/>
                <w:sz w:val="18"/>
                <w:szCs w:val="20"/>
              </w:rPr>
            </w:pP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7B02DB13"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t>To uzņēmējdarbības speciālistu, akadēmisko un pētniecības speciālistu, kā arī valsts sektora profesionāļu, augstākās izglītības studentu un citu ieinteresēto personu skaits, kas saņēmuši atbalstu padziļinātu digitālo prasmju mācību moduļu apmeklēšanai kvantu tehnoloģiju, augstas veiktspējas datošanas un valodu tehnoloģiju jomā.</w:t>
            </w:r>
          </w:p>
          <w:p w14:paraId="379B5945" w14:textId="4645FBE1"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t xml:space="preserve">Plānots izstrādāt aptuveni 20 studiju </w:t>
            </w:r>
            <w:r w:rsidRPr="00930B4F">
              <w:rPr>
                <w:rFonts w:ascii="Times New Roman" w:hAnsi="Times New Roman"/>
                <w:sz w:val="18"/>
                <w:szCs w:val="20"/>
              </w:rPr>
              <w:lastRenderedPageBreak/>
              <w:t>moduļus, lai tos iekļautu bakalaura, maģistra, doktorantūras programmās visās tematiskajās izglītības grupās, kā arī pieaugušo izglītības programmās uzņēmumos nodarbinātiem speciālistiem un citām ieinteresētajām personām ar atbilstošu zināšanu bāzi. Studiju moduļu saturs ietver zināšanas, kas līdz šim uzkrātas augstas veiktspējas datošanas, kvantu tehnoloģiju un valodu tehnoloģiju jomā, kā arī ANM ietvaros veikto pētījumu rezultātus.</w:t>
            </w:r>
          </w:p>
        </w:tc>
      </w:tr>
      <w:tr w:rsidR="0042166D" w:rsidRPr="00930B4F" w14:paraId="0C4CE45B"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23673298"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63</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490CBDDF"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b/>
                <w:noProof/>
                <w:sz w:val="18"/>
                <w:szCs w:val="20"/>
              </w:rPr>
            </w:pPr>
            <w:r w:rsidRPr="00930B4F">
              <w:rPr>
                <w:rFonts w:ascii="Times New Roman" w:hAnsi="Times New Roman"/>
                <w:b/>
                <w:sz w:val="18"/>
                <w:szCs w:val="20"/>
              </w:rPr>
              <w:t>2.3.1.2.i. Uzņēmumu būtisko digitālo prasmju attīstība</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08DCE6E3"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Mērķis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1D9241E6"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Uzņēmumiem nodrošināto digitālo pamatprasmju mācību skaits</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0EF6C736"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2C450E01"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Skaits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7036F65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0</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0795F188"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628</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1E5F943F"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53C7044F"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2024</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14FD3939"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Ekonomikas ministrija, nozaru apvienības, klasteri, Eiropas Digitālās inovācijas centrs, Centrālā finanšu un līgumu aģentūra</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5188F01C"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0D70490D"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27AF3A43"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Šā dokumenta pielikumā iekļauj projektu īstenotāju parakstītus ziņojumus, kuros iekļauts to uzņēmumu saraksts, kuros nodrošināta digitālo pamatprasmju apguve, un norādīti mācību temati.</w:t>
            </w:r>
          </w:p>
          <w:p w14:paraId="085ADB35"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Ziņojumos arī norāda atlases kritērijus, kas izmantoti, lai nodrošinātu atbilstību Tehniskajiem norādījumiem par principa “nenodarīt būtisku kaitējumu” piemērošanu (2021/C58/01), kā noteikts Padomes Īstenošanas lēmuma pielikumā.</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209842F1"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t xml:space="preserve">Uzņēmumiem nodrošināto digitālo pamatprasmju mācību skaits. </w:t>
            </w:r>
          </w:p>
        </w:tc>
      </w:tr>
      <w:tr w:rsidR="0042166D" w:rsidRPr="00930B4F" w14:paraId="181CE12F"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7CE13180"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64</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6634EF69"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b/>
                <w:noProof/>
                <w:sz w:val="18"/>
                <w:szCs w:val="20"/>
              </w:rPr>
            </w:pPr>
            <w:r w:rsidRPr="00930B4F">
              <w:rPr>
                <w:rFonts w:ascii="Times New Roman" w:hAnsi="Times New Roman"/>
                <w:b/>
                <w:sz w:val="18"/>
                <w:szCs w:val="20"/>
              </w:rPr>
              <w:t>2.3.1.2.i. Uzņēmumu būtisko digitālo prasmju attīstība</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17D18F5A"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Mērķis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5D751B01"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Uzņēmumiem nodrošināto digitālo pamatprasmju mācību skaits</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7099CEC0"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579D9056"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Skaits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52B7255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628</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57210666"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2080</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28FF57F0"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66DD66B4"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2026</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56BA0365" w14:textId="7E81BA34"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Ekonomikas ministrija, nozaru apvienības, klasteri, Eiropas Digitālās inovācijas centrs, Centrālā finanšu un līgumu aģentūra</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39212B22"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6481D923" w14:textId="77777777" w:rsidR="0048148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07549638" w14:textId="5F44912A" w:rsidR="00067A32" w:rsidRPr="00930B4F" w:rsidRDefault="00067A32" w:rsidP="00930B4F">
            <w:pPr>
              <w:widowControl w:val="0"/>
              <w:spacing w:after="0" w:line="240" w:lineRule="auto"/>
              <w:ind w:left="57" w:right="57"/>
              <w:rPr>
                <w:rFonts w:ascii="Times New Roman" w:hAnsi="Times New Roman"/>
                <w:noProof/>
                <w:sz w:val="18"/>
                <w:szCs w:val="20"/>
              </w:rPr>
            </w:pPr>
            <w:r w:rsidRPr="00930B4F">
              <w:rPr>
                <w:rFonts w:ascii="Times New Roman" w:hAnsi="Times New Roman"/>
                <w:sz w:val="18"/>
                <w:szCs w:val="20"/>
              </w:rPr>
              <w:t>Šā dokumenta pielikumā iekļauj projektu īstenotāju parakstītus ziņojumus, kuros iekļauts to uzņēmumu saraksts, kuros nodrošināta digitālo pamatprasmju apguve, un norādīti mācību temati.</w:t>
            </w:r>
          </w:p>
          <w:p w14:paraId="53138D21"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 xml:space="preserve">Ziņojumos arī norāda atlases kritērijus, kas izmantoti, lai nodrošinātu atbilstību Tehniskajiem norādījumiem par principa “nenodarīt </w:t>
            </w:r>
            <w:r w:rsidRPr="00930B4F">
              <w:rPr>
                <w:rFonts w:ascii="Times New Roman" w:hAnsi="Times New Roman"/>
                <w:sz w:val="18"/>
                <w:szCs w:val="20"/>
              </w:rPr>
              <w:lastRenderedPageBreak/>
              <w:t>būtisku kaitējumu” piemērošanu (2021/C58/01), kā noteikts Padomes Īstenošanas lēmuma pielikumā.</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3019F9F7"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lastRenderedPageBreak/>
              <w:t>Uzņēmumiem nodrošināto digitālo pamatprasmju mācību skaits.</w:t>
            </w:r>
          </w:p>
          <w:p w14:paraId="6F973D70"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p>
        </w:tc>
      </w:tr>
      <w:tr w:rsidR="0042166D" w:rsidRPr="00930B4F" w14:paraId="58AB68D6"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26F78657"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65</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00E98F47"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2.3.1.3.i. Pašvadītu IKT speciālistu mācību pieejas attīstība</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1B2A37D7"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 xml:space="preserve">Mērķis </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3DACEA8E"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To IKT speciālistu skaits, kas sagatavoti, izmantojot neformālu mācību pieeju</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2DAF1873"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3149C141"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Skaits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7587AD68"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0</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711463F7"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1000</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364BFE3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3.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1C64EEE2"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2026</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672D1895"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bookmarkStart w:id="25" w:name="_Hlk89434232"/>
            <w:r w:rsidRPr="00930B4F">
              <w:rPr>
                <w:rFonts w:ascii="Times New Roman" w:hAnsi="Times New Roman"/>
                <w:sz w:val="18"/>
                <w:szCs w:val="20"/>
              </w:rPr>
              <w:t>Izglītības un zinātnes ministrija</w:t>
            </w:r>
            <w:bookmarkEnd w:id="25"/>
            <w:r w:rsidRPr="00930B4F">
              <w:rPr>
                <w:rFonts w:ascii="Times New Roman" w:hAnsi="Times New Roman"/>
                <w:sz w:val="18"/>
                <w:szCs w:val="20"/>
              </w:rPr>
              <w:t xml:space="preserve"> un projektā iesaistītās iestādes</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48150D15"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6AA3A941"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23A11F85"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Šā dokumenta pielikumā iekļauj to sertifikātu sarakstu, kas izdoti par mācību pabeigšanu.</w:t>
            </w:r>
          </w:p>
          <w:p w14:paraId="77430349"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60E1FCC8"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t>Speciālisti, kas iesaistīti pašvadītās IKT mācībās un kas ir pabeiguši vismaz vienu mācību posmu.</w:t>
            </w:r>
          </w:p>
        </w:tc>
      </w:tr>
      <w:tr w:rsidR="0042166D" w:rsidRPr="00930B4F" w14:paraId="5F5F983A"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42E1ADF6"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66</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66DB9680"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 xml:space="preserve">2.3.1.4.i. Individuālo mācību kontu pieejas attīstība </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11298811"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Mērķis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0155A64F"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Pieaugušie, kam palīdzēts apgūt digitālās prasmes, izmantojot individuālo mācību kontu resursus</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4DD9C5A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368107F7"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Skaits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0F1B61AE"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0</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287F069C"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1000</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2C2D6391"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4.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645183CC"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2024</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263A05F3"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Izglītības un zinātnes ministrija</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1B02F0C7"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5ADBD04B"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3DD2AA75"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Šā dokumenta pielikumā iekļauj to sertifikātu sarakstu, kas izdoti par mācību pabeigšanu.</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55E222D8"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t>Pieaugušie, kam palīdzēts apgūt digitālās prasmes, izmantojot individuālo mācību kontu resursus</w:t>
            </w:r>
          </w:p>
        </w:tc>
      </w:tr>
      <w:tr w:rsidR="0042166D" w:rsidRPr="00930B4F" w14:paraId="697F05AE"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715FC827"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67</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028E6D45"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 xml:space="preserve">2.3.1.4.i. Individuālo mācību kontu pieejas attīstība </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2D028F2A"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Mērķis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563B0059"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Pieaugušie, kam palīdzēts apgūt digitālās prasmes, izmantojot individuālo mācību kontu resursus</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308928C1"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18ED4676"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Skaits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61B4E83E"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1000</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743E8862"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3000</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1E030D17"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3.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7619FE00"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2026</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5E322D40"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Izglītības un zinātnes ministrija</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45FED5C7"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5C5C11DA"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 Šā dokumenta pielikumā iekļauj to sertifikātu sarakstu, kas izdoti par mācību pabeigšanu.</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5325BAE0"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t>Pieaugušie, kam palīdzēts apgūt digitālās prasmes, izmantojot individuālo mācību kontu resursus</w:t>
            </w:r>
          </w:p>
        </w:tc>
      </w:tr>
      <w:tr w:rsidR="0042166D" w:rsidRPr="00930B4F" w14:paraId="6EB948E6"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4909CA0A"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68</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0087F8CC" w14:textId="77777777" w:rsidR="0048148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2.3.2.r.</w:t>
            </w:r>
          </w:p>
          <w:p w14:paraId="587F8C96" w14:textId="457A5126"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Digitālās prasmes sabiedrības un pārvaldes digitālajai transformācijai</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30413A4C"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Mērķis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51664D5A"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Digitālo prasmju pilnveide 16–74 g. v. cilvēkiem: iedzīvotāji, kam ir vismaz digitālās pamatprasmes</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5CB24412"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3DEA403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5EAEDB2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43 (2020)</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751AE240"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54</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2366A517"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3.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33D8364D"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2026</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08A804BD"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Izglītības un zinātnes ministrija</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30CA7531"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Kad tiek iesniegts maksājuma pieprasījums par šo mērķi, jaunākajam pieejamajam DESI indeksam ir jāatspoguļo iecerētais uzlabojums.</w:t>
            </w: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61FEAAEC"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01EFFC93"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t>To Latvijas iedzīvotāju īpatsvars, kam ir vismaz digitālās pamatprasmes. Mērķa sasniegšana ir tieši saistīta ar plānotajiem reformu pasākumiem, kas ietver gan digitālo prasmju līmeņu struktūras stiprināšanu, t. i., iespēju tos novērtēt, pamatojoties uz vienotu pieeju, gan atbilstošu mācību pasākumu izstrādi to uzlabošanai, kā arī novērtēt šo mācību pasākumu sasniegtos rezultātus un to atbilstību izvirzītajiem mērķiem.</w:t>
            </w:r>
          </w:p>
        </w:tc>
      </w:tr>
      <w:tr w:rsidR="0042166D" w:rsidRPr="00930B4F" w14:paraId="3C1A64BB"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552E93E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69</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327FEB19" w14:textId="77777777" w:rsidR="0048148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2.3.2.r</w:t>
            </w:r>
          </w:p>
          <w:p w14:paraId="131D53C5" w14:textId="45ADAAD8"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 xml:space="preserve">Digitālās </w:t>
            </w:r>
            <w:r w:rsidRPr="00930B4F">
              <w:rPr>
                <w:rFonts w:ascii="Times New Roman" w:hAnsi="Times New Roman"/>
                <w:b/>
                <w:sz w:val="18"/>
                <w:szCs w:val="20"/>
              </w:rPr>
              <w:lastRenderedPageBreak/>
              <w:t>prasmes sabiedrības un pārvaldes digitālajai transformācijai</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672366EF"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Atskaites </w:t>
            </w:r>
            <w:r w:rsidRPr="00930B4F">
              <w:rPr>
                <w:rFonts w:ascii="Times New Roman" w:hAnsi="Times New Roman"/>
                <w:sz w:val="18"/>
                <w:szCs w:val="20"/>
              </w:rPr>
              <w:lastRenderedPageBreak/>
              <w:t>punkts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5430CBC5"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Normatīvais </w:t>
            </w:r>
            <w:r w:rsidRPr="00930B4F">
              <w:rPr>
                <w:rFonts w:ascii="Times New Roman" w:hAnsi="Times New Roman"/>
                <w:sz w:val="18"/>
                <w:szCs w:val="20"/>
              </w:rPr>
              <w:lastRenderedPageBreak/>
              <w:t>regulējums stiprina un īsteno vienotu sistēmu digitālo pamatprasmju novērtēšanai, mācību vajadzību apzināšanai, plānošanai un novērtēšanai</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6F062273"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Stājās spēkā </w:t>
            </w:r>
            <w:r w:rsidRPr="00930B4F">
              <w:rPr>
                <w:rFonts w:ascii="Times New Roman" w:hAnsi="Times New Roman"/>
                <w:sz w:val="18"/>
                <w:szCs w:val="20"/>
              </w:rPr>
              <w:lastRenderedPageBreak/>
              <w:t>tiesiskais regulējums</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59648678"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Neattiecas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00878AA1"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6ADDFE94"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617C6788"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4.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7C9CA3D8"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2022</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204694B3"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 xml:space="preserve">Izglītības un zinātnes </w:t>
            </w:r>
            <w:r w:rsidRPr="00930B4F">
              <w:rPr>
                <w:rFonts w:ascii="Times New Roman" w:hAnsi="Times New Roman"/>
                <w:sz w:val="18"/>
                <w:szCs w:val="20"/>
              </w:rPr>
              <w:lastRenderedPageBreak/>
              <w:t>ministrija</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4EC35AFD"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37866C16"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 xml:space="preserve">Attiecīgā tiesību akta kopija un saite uz publikāciju oficiālajā izdevumā, </w:t>
            </w:r>
            <w:r w:rsidRPr="00930B4F">
              <w:rPr>
                <w:rFonts w:ascii="Times New Roman" w:hAnsi="Times New Roman"/>
                <w:sz w:val="18"/>
                <w:szCs w:val="20"/>
              </w:rPr>
              <w:lastRenderedPageBreak/>
              <w:t>tostarp atsauce uz noteikumu, kurā norādīta stāšanās spēkā, kam pievienots kopsavilkuma dokuments, kurā pienācīgi pamatots, kā tika apmierinoši sasniegts atskaites punkts, kopā ar atbilstošām saitēm uz pamatojošajiem pierādījumiem.</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3AED491B"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Stājušies spēkā tiesību akti, ar </w:t>
            </w:r>
            <w:r w:rsidRPr="00930B4F">
              <w:rPr>
                <w:rFonts w:ascii="Times New Roman" w:hAnsi="Times New Roman"/>
                <w:sz w:val="18"/>
                <w:szCs w:val="20"/>
              </w:rPr>
              <w:lastRenderedPageBreak/>
              <w:t xml:space="preserve">kuriem izveido vienotu sistēmu digitālo pamatprasmju novērtēšanai, mācību vajadzību apzināšanai un plānošanai, kā arī novērtēšanai, kuras pamatā ir </w:t>
            </w:r>
            <w:r w:rsidRPr="00930B4F">
              <w:rPr>
                <w:rFonts w:ascii="Times New Roman" w:hAnsi="Times New Roman"/>
                <w:i/>
                <w:iCs/>
                <w:sz w:val="18"/>
                <w:szCs w:val="20"/>
              </w:rPr>
              <w:t>DigiComp</w:t>
            </w:r>
            <w:r w:rsidRPr="00930B4F">
              <w:rPr>
                <w:rFonts w:ascii="Times New Roman" w:hAnsi="Times New Roman"/>
                <w:sz w:val="18"/>
                <w:szCs w:val="20"/>
              </w:rPr>
              <w:t xml:space="preserve"> 2.1. </w:t>
            </w:r>
          </w:p>
        </w:tc>
      </w:tr>
      <w:tr w:rsidR="0042166D" w:rsidRPr="00930B4F" w14:paraId="1DBB6BD3"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5B971E31"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70</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70606A07" w14:textId="77777777" w:rsidR="0048148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2.3.2.r</w:t>
            </w:r>
          </w:p>
          <w:p w14:paraId="504840D3" w14:textId="33D43E22"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Digitālās prasmes sabiedrības un pārvaldes digitālajai transformācijai</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7EEBB411"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Atskaites punkts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3367F314"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Stājušies spēkā grozījumi normatīvajos aktos par valsts augstākās izglītības standartiem, paredzot digitālās kompetences studiju rezultātu sasniegšanu atbilstošajos Latvijas kvalifikācij</w:t>
            </w:r>
            <w:r w:rsidRPr="00930B4F">
              <w:rPr>
                <w:rFonts w:ascii="Times New Roman" w:hAnsi="Times New Roman"/>
                <w:sz w:val="18"/>
                <w:szCs w:val="20"/>
              </w:rPr>
              <w:lastRenderedPageBreak/>
              <w:t xml:space="preserve">u ietvarstruktūras līmeņos </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35E50655"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Stājās spēkā grozītais tiesiskais regulējums</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2E30A9F8"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1BF566B0"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30712E61"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010CFACF"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4.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69FE9A2F"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2022</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676DE5C0"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Izglītības un zinātnes ministrija</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7E13D289"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5980BF2A"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Attiecīgā tiesību akta kopija un saite uz publikāciju oficiālajā izdevumā, tostarp atsauce uz noteikumu, kurā norādīta stāšanās spēkā, kam pievienots kopsavilkuma dokuments, kurā pienācīgi pamatots, kā tika apmierinoši sasniegts atskaites punkts, kopā ar atbilstošām saitēm uz pamatojošajiem pierādījumiem.</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3B328F97"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t xml:space="preserve">Stājušies spēkā grozījumi valsts augstākās izglītības standartos (augstākās akadēmiskās izglītības valsts standartā un profesionālās augstākās izglītības valsts standartā). Tie nosaka rezultātus, kas jāsasniedz digitālo kompetenču apguvē, un </w:t>
            </w:r>
            <w:r w:rsidRPr="00930B4F">
              <w:rPr>
                <w:rFonts w:ascii="Times New Roman" w:hAnsi="Times New Roman"/>
                <w:sz w:val="18"/>
                <w:szCs w:val="20"/>
              </w:rPr>
              <w:lastRenderedPageBreak/>
              <w:t>nodrošina to piemērošanu augstākās izglītības programmu izstrādē, licencēšanā un akreditēšanā, ar nosacījumu, ka studiju programmās, kas izstrādātas, licencētas un akreditētas pēc tiesiskā regulējuma stāšanās spēkā, ir iekļauti šādi sasniedzami studiju rezultāti un atbilstoši kursi vai moduļi to sasniegšanai.</w:t>
            </w:r>
          </w:p>
        </w:tc>
      </w:tr>
      <w:tr w:rsidR="0042166D" w:rsidRPr="00930B4F" w14:paraId="778DF49C"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3A243A92" w14:textId="77777777" w:rsidR="00067A32" w:rsidRPr="00930B4F" w:rsidRDefault="00067A32" w:rsidP="00930B4F">
            <w:pPr>
              <w:widowControl w:val="0"/>
              <w:spacing w:after="0" w:line="240" w:lineRule="auto"/>
              <w:ind w:left="57" w:right="57"/>
              <w:jc w:val="both"/>
              <w:rPr>
                <w:rFonts w:ascii="Times New Roman" w:eastAsiaTheme="minorEastAsia" w:hAnsi="Times New Roman"/>
                <w:noProof/>
                <w:sz w:val="18"/>
                <w:szCs w:val="20"/>
              </w:rPr>
            </w:pPr>
            <w:r w:rsidRPr="00930B4F">
              <w:rPr>
                <w:rFonts w:ascii="Times New Roman" w:hAnsi="Times New Roman"/>
                <w:sz w:val="18"/>
                <w:szCs w:val="20"/>
              </w:rPr>
              <w:lastRenderedPageBreak/>
              <w:t>71</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6F998EDA" w14:textId="77777777" w:rsidR="00481482" w:rsidRPr="00930B4F" w:rsidRDefault="00067A32" w:rsidP="00930B4F">
            <w:pPr>
              <w:widowControl w:val="0"/>
              <w:spacing w:after="0" w:line="240" w:lineRule="auto"/>
              <w:ind w:left="57" w:right="57"/>
              <w:jc w:val="both"/>
              <w:rPr>
                <w:rFonts w:ascii="Times New Roman" w:eastAsiaTheme="minorEastAsia" w:hAnsi="Times New Roman"/>
                <w:noProof/>
                <w:sz w:val="18"/>
                <w:szCs w:val="20"/>
              </w:rPr>
            </w:pPr>
            <w:r w:rsidRPr="00930B4F">
              <w:rPr>
                <w:rFonts w:ascii="Times New Roman" w:hAnsi="Times New Roman"/>
                <w:sz w:val="18"/>
                <w:szCs w:val="20"/>
              </w:rPr>
              <w:t>2.3.2.1.i</w:t>
            </w:r>
          </w:p>
          <w:p w14:paraId="47CB9B02" w14:textId="5304861B" w:rsidR="00067A32" w:rsidRPr="00930B4F" w:rsidRDefault="00067A32" w:rsidP="00930B4F">
            <w:pPr>
              <w:widowControl w:val="0"/>
              <w:spacing w:after="0" w:line="240" w:lineRule="auto"/>
              <w:ind w:left="57" w:right="57"/>
              <w:jc w:val="both"/>
              <w:rPr>
                <w:rFonts w:ascii="Times New Roman" w:eastAsiaTheme="minorEastAsia" w:hAnsi="Times New Roman"/>
                <w:noProof/>
                <w:sz w:val="18"/>
                <w:szCs w:val="20"/>
              </w:rPr>
            </w:pPr>
            <w:r w:rsidRPr="00930B4F">
              <w:rPr>
                <w:rFonts w:ascii="Times New Roman" w:hAnsi="Times New Roman"/>
                <w:sz w:val="18"/>
                <w:szCs w:val="20"/>
              </w:rPr>
              <w:t>Digitālās prasmes cilvēkiem, t. sk. jauniešiem</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690672CB" w14:textId="77777777" w:rsidR="00067A32" w:rsidRPr="00930B4F" w:rsidRDefault="00067A32" w:rsidP="00930B4F">
            <w:pPr>
              <w:widowControl w:val="0"/>
              <w:spacing w:after="0" w:line="240" w:lineRule="auto"/>
              <w:ind w:left="57" w:right="57"/>
              <w:jc w:val="both"/>
              <w:rPr>
                <w:rFonts w:ascii="Times New Roman" w:eastAsiaTheme="minorEastAsia" w:hAnsi="Times New Roman"/>
                <w:noProof/>
                <w:sz w:val="18"/>
                <w:szCs w:val="20"/>
              </w:rPr>
            </w:pPr>
            <w:r w:rsidRPr="00930B4F">
              <w:rPr>
                <w:rFonts w:ascii="Times New Roman" w:hAnsi="Times New Roman"/>
                <w:sz w:val="18"/>
                <w:szCs w:val="20"/>
              </w:rPr>
              <w:t>Mērķis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376EB222" w14:textId="77777777" w:rsidR="00067A32" w:rsidRPr="00930B4F" w:rsidRDefault="00067A32" w:rsidP="00930B4F">
            <w:pPr>
              <w:widowControl w:val="0"/>
              <w:spacing w:after="0" w:line="240" w:lineRule="auto"/>
              <w:ind w:left="57" w:right="57"/>
              <w:jc w:val="both"/>
              <w:rPr>
                <w:rFonts w:ascii="Times New Roman" w:eastAsiaTheme="minorEastAsia" w:hAnsi="Times New Roman"/>
                <w:noProof/>
                <w:sz w:val="18"/>
                <w:szCs w:val="20"/>
              </w:rPr>
            </w:pPr>
            <w:r w:rsidRPr="00930B4F">
              <w:rPr>
                <w:rFonts w:ascii="Times New Roman" w:hAnsi="Times New Roman"/>
                <w:sz w:val="18"/>
                <w:szCs w:val="20"/>
              </w:rPr>
              <w:t>Mācībās piedalījušos cilvēku skaits</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2CB49AC5" w14:textId="77777777" w:rsidR="00067A32" w:rsidRPr="00930B4F" w:rsidRDefault="00067A32" w:rsidP="00930B4F">
            <w:pPr>
              <w:widowControl w:val="0"/>
              <w:spacing w:after="0" w:line="240" w:lineRule="auto"/>
              <w:ind w:left="57" w:right="57"/>
              <w:jc w:val="both"/>
              <w:rPr>
                <w:rFonts w:ascii="Times New Roman" w:eastAsiaTheme="minorEastAsia" w:hAnsi="Times New Roman"/>
                <w:noProof/>
                <w:sz w:val="18"/>
                <w:szCs w:val="20"/>
              </w:rPr>
            </w:pPr>
            <w:r w:rsidRPr="00930B4F">
              <w:rPr>
                <w:rFonts w:ascii="Times New Roman" w:hAnsi="Times New Roman"/>
                <w:sz w:val="18"/>
                <w:szCs w:val="20"/>
              </w:rPr>
              <w:t>Neattiecas</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27A237EE" w14:textId="77777777" w:rsidR="00067A32" w:rsidRPr="00930B4F" w:rsidRDefault="00067A32" w:rsidP="00930B4F">
            <w:pPr>
              <w:widowControl w:val="0"/>
              <w:spacing w:after="0" w:line="240" w:lineRule="auto"/>
              <w:ind w:left="57" w:right="57"/>
              <w:jc w:val="both"/>
              <w:rPr>
                <w:rFonts w:ascii="Times New Roman" w:eastAsiaTheme="minorEastAsia" w:hAnsi="Times New Roman"/>
                <w:noProof/>
                <w:sz w:val="18"/>
                <w:szCs w:val="20"/>
              </w:rPr>
            </w:pPr>
            <w:r w:rsidRPr="00930B4F">
              <w:rPr>
                <w:rFonts w:ascii="Times New Roman" w:hAnsi="Times New Roman"/>
                <w:sz w:val="18"/>
                <w:szCs w:val="20"/>
              </w:rPr>
              <w:t>Skaits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1548806D" w14:textId="77777777" w:rsidR="00067A32" w:rsidRPr="00930B4F" w:rsidRDefault="00067A32" w:rsidP="00930B4F">
            <w:pPr>
              <w:widowControl w:val="0"/>
              <w:spacing w:after="0" w:line="240" w:lineRule="auto"/>
              <w:ind w:left="57" w:right="57"/>
              <w:jc w:val="both"/>
              <w:rPr>
                <w:rFonts w:ascii="Times New Roman" w:eastAsiaTheme="minorEastAsia" w:hAnsi="Times New Roman"/>
                <w:noProof/>
                <w:sz w:val="18"/>
                <w:szCs w:val="20"/>
              </w:rPr>
            </w:pPr>
            <w:r w:rsidRPr="00930B4F">
              <w:rPr>
                <w:rFonts w:ascii="Times New Roman" w:hAnsi="Times New Roman"/>
                <w:sz w:val="18"/>
                <w:szCs w:val="20"/>
              </w:rPr>
              <w:t>0</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19739CB5" w14:textId="77777777" w:rsidR="00067A32" w:rsidRPr="00930B4F" w:rsidRDefault="00067A32" w:rsidP="00930B4F">
            <w:pPr>
              <w:widowControl w:val="0"/>
              <w:spacing w:after="0" w:line="240" w:lineRule="auto"/>
              <w:ind w:left="57" w:right="57"/>
              <w:jc w:val="both"/>
              <w:rPr>
                <w:rFonts w:ascii="Times New Roman" w:eastAsiaTheme="minorEastAsia" w:hAnsi="Times New Roman"/>
                <w:noProof/>
                <w:sz w:val="18"/>
                <w:szCs w:val="20"/>
              </w:rPr>
            </w:pPr>
            <w:r w:rsidRPr="00930B4F">
              <w:rPr>
                <w:rFonts w:ascii="Times New Roman" w:hAnsi="Times New Roman"/>
                <w:sz w:val="18"/>
                <w:szCs w:val="20"/>
              </w:rPr>
              <w:t>15 000</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034F8DB2" w14:textId="77777777" w:rsidR="00067A32" w:rsidRPr="00930B4F" w:rsidRDefault="00067A32" w:rsidP="00930B4F">
            <w:pPr>
              <w:widowControl w:val="0"/>
              <w:spacing w:after="0" w:line="240" w:lineRule="auto"/>
              <w:ind w:left="57" w:right="57"/>
              <w:jc w:val="both"/>
              <w:rPr>
                <w:rFonts w:ascii="Times New Roman" w:eastAsiaTheme="minorEastAsia" w:hAnsi="Times New Roman"/>
                <w:noProof/>
                <w:sz w:val="18"/>
                <w:szCs w:val="20"/>
              </w:rPr>
            </w:pPr>
            <w:r w:rsidRPr="00930B4F">
              <w:rPr>
                <w:rFonts w:ascii="Times New Roman" w:hAnsi="Times New Roman"/>
                <w:sz w:val="18"/>
                <w:szCs w:val="20"/>
              </w:rPr>
              <w:t>4.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1DFB9326" w14:textId="77777777" w:rsidR="00067A32" w:rsidRPr="00930B4F" w:rsidRDefault="00067A32" w:rsidP="00930B4F">
            <w:pPr>
              <w:widowControl w:val="0"/>
              <w:spacing w:after="0" w:line="240" w:lineRule="auto"/>
              <w:ind w:left="57" w:right="57"/>
              <w:jc w:val="both"/>
              <w:rPr>
                <w:rFonts w:ascii="Times New Roman" w:eastAsiaTheme="minorEastAsia" w:hAnsi="Times New Roman"/>
                <w:noProof/>
                <w:sz w:val="18"/>
                <w:szCs w:val="20"/>
              </w:rPr>
            </w:pPr>
            <w:r w:rsidRPr="00930B4F">
              <w:rPr>
                <w:rFonts w:ascii="Times New Roman" w:hAnsi="Times New Roman"/>
                <w:sz w:val="18"/>
                <w:szCs w:val="20"/>
              </w:rPr>
              <w:t>2024</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5748D619" w14:textId="77777777" w:rsidR="00067A32" w:rsidRPr="00930B4F" w:rsidRDefault="00067A32" w:rsidP="00930B4F">
            <w:pPr>
              <w:widowControl w:val="0"/>
              <w:spacing w:after="0" w:line="240" w:lineRule="auto"/>
              <w:ind w:left="57" w:right="57"/>
              <w:jc w:val="both"/>
              <w:rPr>
                <w:rFonts w:ascii="Times New Roman" w:eastAsiaTheme="minorEastAsia" w:hAnsi="Times New Roman"/>
                <w:noProof/>
                <w:sz w:val="18"/>
                <w:szCs w:val="20"/>
              </w:rPr>
            </w:pPr>
            <w:r w:rsidRPr="00930B4F">
              <w:rPr>
                <w:rFonts w:ascii="Times New Roman" w:hAnsi="Times New Roman"/>
                <w:sz w:val="18"/>
                <w:szCs w:val="20"/>
              </w:rPr>
              <w:t xml:space="preserve">Viedās administrācijas un reģionālās attīstības ministrija / pašvaldības / mācību nodrošinātāji </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204A5DE4"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6000C161" w14:textId="77777777" w:rsidR="00067A32" w:rsidRPr="00930B4F" w:rsidRDefault="00067A32" w:rsidP="00930B4F">
            <w:pPr>
              <w:widowControl w:val="0"/>
              <w:spacing w:after="0" w:line="240" w:lineRule="auto"/>
              <w:ind w:left="57" w:right="57"/>
              <w:rPr>
                <w:rFonts w:ascii="Times New Roman" w:eastAsiaTheme="minorEastAsia" w:hAnsi="Times New Roman"/>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18078001" w14:textId="77777777" w:rsidR="00067A32" w:rsidRPr="00930B4F" w:rsidRDefault="00067A32" w:rsidP="00930B4F">
            <w:pPr>
              <w:widowControl w:val="0"/>
              <w:spacing w:after="0" w:line="240" w:lineRule="auto"/>
              <w:ind w:left="57" w:right="57"/>
              <w:rPr>
                <w:rFonts w:ascii="Times New Roman" w:eastAsiaTheme="minorEastAsia" w:hAnsi="Times New Roman"/>
                <w:noProof/>
                <w:sz w:val="18"/>
                <w:szCs w:val="20"/>
              </w:rPr>
            </w:pPr>
            <w:r w:rsidRPr="00930B4F">
              <w:rPr>
                <w:rFonts w:ascii="Times New Roman" w:hAnsi="Times New Roman"/>
                <w:sz w:val="18"/>
                <w:szCs w:val="20"/>
              </w:rPr>
              <w:t>Šā dokumenta pielikumā iekļauj šādus dokumentārus pierādījumus:</w:t>
            </w:r>
          </w:p>
          <w:p w14:paraId="27920BCA" w14:textId="2BE59AA5" w:rsidR="00067A32" w:rsidRPr="00930B4F" w:rsidRDefault="00067A32" w:rsidP="00930B4F">
            <w:pPr>
              <w:widowControl w:val="0"/>
              <w:spacing w:after="0" w:line="240" w:lineRule="auto"/>
              <w:ind w:left="57" w:right="57"/>
              <w:rPr>
                <w:rFonts w:ascii="Times New Roman" w:eastAsiaTheme="minorEastAsia" w:hAnsi="Times New Roman"/>
                <w:strike/>
                <w:noProof/>
                <w:sz w:val="18"/>
                <w:szCs w:val="20"/>
              </w:rPr>
            </w:pPr>
            <w:r w:rsidRPr="00930B4F">
              <w:rPr>
                <w:rFonts w:ascii="Times New Roman" w:hAnsi="Times New Roman"/>
                <w:sz w:val="18"/>
                <w:szCs w:val="20"/>
              </w:rPr>
              <w:t xml:space="preserve">ziņojums par organizētu pasākumu un kursu īstenošanu un rezultātiem, anonimizēts to personu saraksts ar unikālajiem identifikatoriem, kuras </w:t>
            </w:r>
            <w:r w:rsidRPr="00930B4F">
              <w:rPr>
                <w:rFonts w:ascii="Times New Roman" w:hAnsi="Times New Roman"/>
                <w:sz w:val="18"/>
                <w:szCs w:val="20"/>
              </w:rPr>
              <w:lastRenderedPageBreak/>
              <w:t>piedalījušās digitālas pašapkalpošanās prasmju mācībās</w:t>
            </w:r>
            <w:r w:rsidRPr="00930B4F">
              <w:rPr>
                <w:rFonts w:ascii="Times New Roman" w:hAnsi="Times New Roman"/>
                <w:strike/>
                <w:sz w:val="18"/>
                <w:szCs w:val="20"/>
              </w:rPr>
              <w:t xml:space="preserve"> un tehnoloģiskas inovācijas pasākumos digitālajā darbā ar jaunatni</w:t>
            </w:r>
            <w:r w:rsidRPr="00930B4F">
              <w:rPr>
                <w:rFonts w:ascii="Times New Roman" w:hAnsi="Times New Roman"/>
                <w:sz w:val="18"/>
                <w:szCs w:val="20"/>
              </w:rPr>
              <w:t>.</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28DB13A9" w14:textId="77777777" w:rsidR="00067A32" w:rsidRPr="00930B4F" w:rsidRDefault="00067A32" w:rsidP="00930B4F">
            <w:pPr>
              <w:widowControl w:val="0"/>
              <w:spacing w:after="0" w:line="240" w:lineRule="auto"/>
              <w:ind w:left="57" w:right="57"/>
              <w:rPr>
                <w:rFonts w:ascii="Times New Roman" w:eastAsiaTheme="minorEastAsia" w:hAnsi="Times New Roman"/>
                <w:noProof/>
                <w:sz w:val="18"/>
                <w:szCs w:val="20"/>
              </w:rPr>
            </w:pPr>
            <w:r w:rsidRPr="00930B4F">
              <w:rPr>
                <w:rFonts w:ascii="Times New Roman" w:hAnsi="Times New Roman"/>
                <w:sz w:val="18"/>
                <w:szCs w:val="20"/>
              </w:rPr>
              <w:lastRenderedPageBreak/>
              <w:t xml:space="preserve">To cilvēku skaits, kuri ir piedalījušies mācībās, lai uzlabotu digitālās pašapkalpošanās prasmes. </w:t>
            </w:r>
          </w:p>
        </w:tc>
      </w:tr>
      <w:tr w:rsidR="0042166D" w:rsidRPr="00930B4F" w14:paraId="59E02A9E"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1BEE0A0C"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72</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50F89F4A" w14:textId="77777777" w:rsidR="0048148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2.3.2.1.i</w:t>
            </w:r>
          </w:p>
          <w:p w14:paraId="396A4B35" w14:textId="7417D2A3"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Digitālās prasmes cilvēkiem, t. sk. jauniešiem</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3DD3F1F7"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Mērķis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06F6760A"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To cilvēku skaits, kuri ir piedalījušies mācībās vai tehnoloģiskās inovācijas pasākumos digitālajā darbā ar jaunatni</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381B00ED"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7EFF4CC6"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Skaits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23314F7A"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15 000</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35C2C56D"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50 000</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0C1CB2BA"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3.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44015207"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2026</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01B4A2D3"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 xml:space="preserve">Viedās administrācijas un reģionālās attīstības ministrija / pašvaldības / mācību nodrošinātāji </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09D728AF"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1E40859D"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2C529FCF"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Šā dokumenta pielikumā iekļauj šādus dokumentārus pierādījumus:</w:t>
            </w:r>
          </w:p>
          <w:p w14:paraId="250B8571" w14:textId="7AD84D9F" w:rsidR="00481482" w:rsidRPr="00930B4F" w:rsidRDefault="00E53599"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a) e-mācību kursa apraksta kopiju;</w:t>
            </w:r>
          </w:p>
          <w:p w14:paraId="14A208BE" w14:textId="24EF21B7" w:rsidR="00481482" w:rsidRPr="00930B4F" w:rsidRDefault="00E53599"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t>b) Kopīgās tehnoloģiju jaunrades pamatnostādnes jauniešu tehnoloģiju un inovācijas kapacitātes attīstībai;</w:t>
            </w:r>
          </w:p>
          <w:p w14:paraId="7397A58D" w14:textId="7E5F5699" w:rsidR="00067A32" w:rsidRPr="00930B4F" w:rsidRDefault="00E53599"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c) to personu anonimizētu sarakstu ar unikālajiem identifikatoriem, kas ir piedalījušās digitālo pašapkalpošanās prasmju mācībās un tehnoloģiskās inovācijas pasākumos digitālajā darbā ar jaunatni.</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1BB71653" w14:textId="329BA82B"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t xml:space="preserve">Izmantojot investīcijas, izveidota un īstenota digitālo pašapkalpošanās prasmju apguves pieeja (e-mācību kurss) un Tehnoloģiskās jaunrades vadlīnijas jaunatnes tehnoloģiskās un inovācijas spējas attīstīšanai digitālajā darbā ar jaunatni, vismaz 40 000 cilvēku ir piedalījušies mācībās, lai uzlabotu digitālās pašapkalpošanās spējas (no tiem pašmācībā ir iesaistījušies vismaz 5000 cilvēku), </w:t>
            </w:r>
            <w:r w:rsidRPr="00930B4F">
              <w:rPr>
                <w:rFonts w:ascii="Times New Roman" w:hAnsi="Times New Roman"/>
                <w:sz w:val="18"/>
                <w:szCs w:val="20"/>
              </w:rPr>
              <w:lastRenderedPageBreak/>
              <w:t>un vismaz 10 000 cilvēku ir piedalījušies tehnoloģiskās inovācijas pasākumos digitālajā darbā ar jaunatni.</w:t>
            </w:r>
          </w:p>
        </w:tc>
      </w:tr>
      <w:tr w:rsidR="0042166D" w:rsidRPr="00930B4F" w14:paraId="31B7AEA4"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07CFDFA5"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73</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560A62F3" w14:textId="77777777" w:rsidR="0048148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2.3.2.1.i</w:t>
            </w:r>
          </w:p>
          <w:p w14:paraId="014C4415" w14:textId="207C27AA"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Digitālās prasmes cilvēkiem, t. sk. jauniešiem</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65DC7E6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Mērķis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56EAAFD4"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To pašvaldību skaits, kam ir jauniešiem paredzētas digitālo prasmju pilnveides programmas</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04683EF9"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2E44799A"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Skaits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13F9C3B1"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0</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6FD5205C"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42</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5E475910"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3.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7230AD86"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2026</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507DF167"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Izglītības un zinātnes ministrija / projekta dati</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0AA2E2D9"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25E55DEC"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6B50FE53"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Šā dokumenta pielikumā iekļauj šādus dokumentārus pierādījumus:</w:t>
            </w:r>
          </w:p>
          <w:p w14:paraId="1D399CF5" w14:textId="388BA012" w:rsidR="00067A32" w:rsidRPr="00930B4F" w:rsidRDefault="00C23B22" w:rsidP="00930B4F">
            <w:pPr>
              <w:widowControl w:val="0"/>
              <w:spacing w:after="0" w:line="240" w:lineRule="auto"/>
              <w:ind w:left="57" w:right="57"/>
              <w:rPr>
                <w:rFonts w:ascii="Times New Roman" w:eastAsia="Arial Narrow" w:hAnsi="Times New Roman" w:cs="Arial Narrow"/>
                <w:noProof/>
                <w:sz w:val="18"/>
                <w:szCs w:val="20"/>
              </w:rPr>
            </w:pPr>
            <w:r w:rsidRPr="00930B4F">
              <w:rPr>
                <w:rFonts w:ascii="Times New Roman" w:hAnsi="Times New Roman"/>
                <w:sz w:val="18"/>
                <w:szCs w:val="20"/>
              </w:rPr>
              <w:t>a) pašvaldību digitālo prasmju pilnveides programmu kopijas;</w:t>
            </w:r>
          </w:p>
          <w:p w14:paraId="46471E92" w14:textId="76317E93" w:rsidR="00067A32" w:rsidRPr="00930B4F" w:rsidRDefault="00C23B22" w:rsidP="00930B4F">
            <w:pPr>
              <w:widowControl w:val="0"/>
              <w:spacing w:after="0" w:line="240" w:lineRule="auto"/>
              <w:ind w:left="57" w:right="57"/>
              <w:rPr>
                <w:rFonts w:ascii="Times New Roman" w:eastAsia="Arial Narrow" w:hAnsi="Times New Roman" w:cs="Arial Narrow"/>
                <w:noProof/>
                <w:sz w:val="18"/>
                <w:szCs w:val="20"/>
              </w:rPr>
            </w:pPr>
            <w:r w:rsidRPr="00930B4F">
              <w:rPr>
                <w:rFonts w:ascii="Times New Roman" w:hAnsi="Times New Roman"/>
                <w:sz w:val="18"/>
                <w:szCs w:val="20"/>
              </w:rPr>
              <w:t xml:space="preserve">b) pašvaldību ziņojumus par programmu īstenošanu. </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316CB064"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t>Investīciju rezultātā 42 pašvaldības ir izstrādājušas un pilnīgi īstenojušas pasākumu programmas, lai nodrošinātu digitālo prasmju apguvi un lietošanu darbā ar jauniešiem, digitālās vides izveidi darbam ar jauniešiem un jauniešu līdzdalības veicināšanu vietējo pašvaldību procesos.</w:t>
            </w:r>
          </w:p>
        </w:tc>
      </w:tr>
      <w:tr w:rsidR="0042166D" w:rsidRPr="00930B4F" w14:paraId="2BF05319"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6EB399E6"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74</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7B2401F7"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2.3.2.2.i. Valsts un pašvaldību digitālās transformā</w:t>
            </w:r>
            <w:r w:rsidRPr="00930B4F">
              <w:rPr>
                <w:rFonts w:ascii="Times New Roman" w:hAnsi="Times New Roman"/>
                <w:b/>
                <w:sz w:val="18"/>
                <w:szCs w:val="20"/>
              </w:rPr>
              <w:lastRenderedPageBreak/>
              <w:t>cijas prasmju un spēju attīstība</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2F6C52D9"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Atskaites punkts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69B31AE2" w14:textId="4E0E8134"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 xml:space="preserve">Izstrādāts valsts pārvaldes digitālo prasmju </w:t>
            </w:r>
            <w:r w:rsidRPr="00930B4F">
              <w:rPr>
                <w:rFonts w:ascii="Times New Roman" w:hAnsi="Times New Roman"/>
                <w:sz w:val="18"/>
                <w:szCs w:val="20"/>
              </w:rPr>
              <w:lastRenderedPageBreak/>
              <w:t>satvars</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171B37F4"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Digitālo prasmju satvars ir pieejams Valsts </w:t>
            </w:r>
            <w:r w:rsidRPr="00930B4F">
              <w:rPr>
                <w:rFonts w:ascii="Times New Roman" w:hAnsi="Times New Roman"/>
                <w:sz w:val="18"/>
                <w:szCs w:val="20"/>
              </w:rPr>
              <w:lastRenderedPageBreak/>
              <w:t>administrācijas skolas Mācību pārvaldības sistēmā, un tas ir apstiprināts ar Valsts administrācijas skolas iekšējo normatīvo aktu</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0A3E5C0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Neattiecas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155DC1A7"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48DAEB39" w14:textId="77777777" w:rsidR="00067A32" w:rsidRPr="00930B4F" w:rsidRDefault="00067A32" w:rsidP="00930B4F">
            <w:pPr>
              <w:widowControl w:val="0"/>
              <w:spacing w:after="0" w:line="240" w:lineRule="auto"/>
              <w:ind w:left="57" w:right="57"/>
              <w:jc w:val="both"/>
              <w:rPr>
                <w:rFonts w:ascii="Times New Roman" w:hAnsi="Times New Roman" w:cs="Times New Roman"/>
                <w:noProof/>
                <w:sz w:val="18"/>
                <w:szCs w:val="20"/>
              </w:rPr>
            </w:pP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117ED575"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49CFA49F"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2023</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3DEB4DAA"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 xml:space="preserve">Viedās administrācijas un reģionālās attīstības </w:t>
            </w:r>
            <w:r w:rsidRPr="00930B4F">
              <w:rPr>
                <w:rFonts w:ascii="Times New Roman" w:hAnsi="Times New Roman"/>
                <w:sz w:val="18"/>
                <w:szCs w:val="20"/>
              </w:rPr>
              <w:lastRenderedPageBreak/>
              <w:t xml:space="preserve">ministrija / Valsts administrācijas skola </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070F4DCD"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7128592F"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 xml:space="preserve">Kopsavilkuma dokuments, kurā pienācīgi pamatots, kā tika apmierinoši sasniegts mērķis (tostarp visi būtiskie elementi), kopā ar atbilstošām saitēm uz pamatojošajiem </w:t>
            </w:r>
            <w:r w:rsidRPr="00930B4F">
              <w:rPr>
                <w:rFonts w:ascii="Times New Roman" w:hAnsi="Times New Roman"/>
                <w:sz w:val="18"/>
                <w:szCs w:val="20"/>
              </w:rPr>
              <w:lastRenderedPageBreak/>
              <w:t>pierādījumiem.</w:t>
            </w:r>
          </w:p>
          <w:p w14:paraId="33F24441"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Šā dokumenta pielikumā iekļauj šādus dokumentārus pierādījumus:</w:t>
            </w:r>
          </w:p>
          <w:p w14:paraId="019EC974" w14:textId="77777777" w:rsidR="0048148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a) digitālo prasmju plāna un satvara, tostarp izglītības programmas, kopiju;</w:t>
            </w:r>
          </w:p>
          <w:p w14:paraId="5A0FABDE" w14:textId="77777777" w:rsidR="0048148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b) nodrošināto mācību sarakstu;</w:t>
            </w:r>
          </w:p>
          <w:p w14:paraId="006ED30C" w14:textId="1E526594"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c) mācību pabeigšanu apliecinošu sertifikātu sarakstu.</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36A325DD"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Jāizstrādā valsts pārvaldes digitālo prasmju sistēma, tostarp izglītības </w:t>
            </w:r>
            <w:r w:rsidRPr="00930B4F">
              <w:rPr>
                <w:rFonts w:ascii="Times New Roman" w:hAnsi="Times New Roman"/>
                <w:sz w:val="18"/>
                <w:szCs w:val="20"/>
              </w:rPr>
              <w:lastRenderedPageBreak/>
              <w:t>programma.</w:t>
            </w:r>
          </w:p>
        </w:tc>
      </w:tr>
      <w:tr w:rsidR="0042166D" w:rsidRPr="00930B4F" w14:paraId="3B3B3C19"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3DB0B3C8"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75</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3EEDE75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2.3.2.2.i. Valsts un pašvaldību digitālās transformācijas prasmju un spēju attīstība</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47D176E2"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Mērķis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49CA9A5C" w14:textId="3E0B66D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Valsts pārvaldes darbinieku pabeigto mācību skaits digitālo prasmju jomās</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7C90A897"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54A09BA5"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Skaits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307FED46"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0</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36BE5239"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25 160</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3E652C99"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4.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4A6CC5E5"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2024</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49F0B3A3"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Viedās administrācijas un reģionālās attīstības ministrija / Valsts administrācijas skola</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32285F10"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51D3C366"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43FC110C"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Šā dokumenta pielikumā iekļauj šādus dokumentārus pierādījumus:</w:t>
            </w:r>
          </w:p>
          <w:p w14:paraId="3826CFE7" w14:textId="68C0056C" w:rsidR="00067A32" w:rsidRPr="00930B4F" w:rsidRDefault="00E817F5"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a) organizēto mācību programmu sarakstu;</w:t>
            </w:r>
          </w:p>
          <w:p w14:paraId="7C815D82" w14:textId="5B5C1AA3" w:rsidR="00481482" w:rsidRPr="00930B4F" w:rsidRDefault="00E817F5"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b) to sertifikātu sarakstu ar unikālajiem identifikatoriem, kas izdoti par personu klātienes vai tiešsaistes mācību pabeigšanu digitālo prasmju satvara jomās;</w:t>
            </w:r>
          </w:p>
          <w:p w14:paraId="342FD3BB" w14:textId="0310EB99" w:rsidR="00067A32" w:rsidRPr="00930B4F" w:rsidRDefault="00311344"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 xml:space="preserve">c) </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29DA6AAD" w14:textId="671DAFA9"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t xml:space="preserve">klātienes un tiešsaistes mācību skaits tādās digitālo prasmju satvara jomās kā 1) digitalizācijas pārvaldība un attīstība, 2) digitālā satura veidošana, 3) kiberdrošība, 4) sakari un sadarbība, 5) informācijpratība un datpratība, 6) transversālas prasmes, ko </w:t>
            </w:r>
            <w:r w:rsidRPr="00930B4F">
              <w:rPr>
                <w:rFonts w:ascii="Times New Roman" w:hAnsi="Times New Roman"/>
                <w:sz w:val="18"/>
                <w:szCs w:val="20"/>
              </w:rPr>
              <w:lastRenderedPageBreak/>
              <w:t xml:space="preserve">pabeiguši valsts pārvaldes darbinieki. </w:t>
            </w:r>
          </w:p>
        </w:tc>
      </w:tr>
      <w:tr w:rsidR="0042166D" w:rsidRPr="00930B4F" w14:paraId="7AAF35B6"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6A7D6F55"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76</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6925116D"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2.3.2.2.i. Valsts un pašvaldību digitālās transformācijas prasmju un spēju attīstība</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4E1A84F9"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Mērķis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6A6C2064"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 xml:space="preserve">Valsts pārvaldes darbinieku pabeigto mācību skaits digitālo prasmju kompetences satvara jomās </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512397A9"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5D7E077C"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Skaits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46F1F8C3"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25 160</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4BE12D13"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62 900</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188B22BF"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3.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2CC0C1FE"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2026</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79DF077C"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Viedās administrācijas un reģionālās attīstības ministrija / Valsts administrācijas skola</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7C2F148F"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35349D2C"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3E7E7820"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Šā dokumenta pielikumā iekļauj šādus dokumentārus pierādījumus:</w:t>
            </w:r>
          </w:p>
          <w:p w14:paraId="14D346FC" w14:textId="4600B913" w:rsidR="00067A32" w:rsidRPr="00930B4F" w:rsidRDefault="004F7209"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a) organizēto mācību programmu sarakstu;</w:t>
            </w:r>
          </w:p>
          <w:p w14:paraId="1AE30C6D" w14:textId="5A928836" w:rsidR="00481482" w:rsidRPr="00930B4F" w:rsidRDefault="004F7209"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b) to sertifikātu sarakstu ar unikālajiem identifikatoriem, kas izdoti par personu klātienes vai tiešsaistes mācību pabeigšanu digitālo prasmju satvara jomās;</w:t>
            </w:r>
          </w:p>
          <w:p w14:paraId="07C8326D" w14:textId="50ACD268" w:rsidR="00067A32" w:rsidRPr="00930B4F" w:rsidRDefault="004F7209"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c)</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264330AD"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t>klātienes un tiešsaistes mācību skaits tādās digitālo prasmju satvara jomās kā 1) digitalizācijas pārvaldība un attīstība, 2) digitālā satura veidošana, 3) kiberdrošība, 4) sakari un sadarbība, 5) informācijpratība un datpratība, 6) transversālas prasmes, ko pabeiguši valsts pārvaldes darbinieki.</w:t>
            </w:r>
          </w:p>
        </w:tc>
      </w:tr>
      <w:tr w:rsidR="0042166D" w:rsidRPr="00930B4F" w14:paraId="1E934528"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2EAC714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77</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5A1F2E3E" w14:textId="77777777" w:rsidR="0048148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2.3.2.3.i</w:t>
            </w:r>
          </w:p>
          <w:p w14:paraId="46859A46" w14:textId="2C267339"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 xml:space="preserve">Digitālās plaisas mazināšana sociāli neaizsargātajiem skolēniem un izglītības iestādēs </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0E7C3E7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Atskaites punkts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4F75C05C"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 xml:space="preserve">Tiesiskā regulējuma, ar ko nosaka attālināto mācību organizēšanas un īstenošanas procedūras, stāšanās </w:t>
            </w:r>
            <w:r w:rsidRPr="00930B4F">
              <w:rPr>
                <w:rFonts w:ascii="Times New Roman" w:hAnsi="Times New Roman"/>
                <w:sz w:val="18"/>
                <w:szCs w:val="20"/>
              </w:rPr>
              <w:lastRenderedPageBreak/>
              <w:t>spēkā</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736174C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Tiesiskā regulējuma, ar ko nosaka attālināto mācību organizēšanas un īstenošanas procedūr</w:t>
            </w:r>
            <w:r w:rsidRPr="00930B4F">
              <w:rPr>
                <w:rFonts w:ascii="Times New Roman" w:hAnsi="Times New Roman"/>
                <w:sz w:val="18"/>
                <w:szCs w:val="20"/>
              </w:rPr>
              <w:lastRenderedPageBreak/>
              <w:t>as, stāšanās spēkā</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7CCA74BF"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Neattiecas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7DEDBDE4"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249AD36F"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62AE09B0"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4.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49B67FE6"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2021</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79558806"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Izglītības un zinātnes ministrija</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6150367A"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5D46E087"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Attiecīgā tiesību akta kopija un saite uz publikāciju oficiālajā izdevumā, tostarp atsauce uz noteikumu, kurā norādīta stāšanās spēkā, kam pievienots kopsavilkuma dokuments, kurā pienācīgi pamatots, kā tika apmierinoši sasniegts atskaites punkts, kopā ar atbilstošām saitēm uz pamatojošajiem pierādījumiem.</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03207EB4"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t xml:space="preserve">Stājas spēkā Ministru kabineta noteikumi, ar ko nosaka attālināto mācību organizēšanas un veikšanas kritērijus un nosacījumus </w:t>
            </w:r>
            <w:r w:rsidRPr="00930B4F">
              <w:rPr>
                <w:rFonts w:ascii="Times New Roman" w:hAnsi="Times New Roman"/>
                <w:sz w:val="18"/>
                <w:szCs w:val="20"/>
              </w:rPr>
              <w:lastRenderedPageBreak/>
              <w:t>nolūkā nodrošināt attālināto mācību organizēšanu un ieviešanu visās Latvijas izglītības iestādēs un izglītības līmeņos (izņemot pirmsskolas izglītības līmeni).</w:t>
            </w:r>
          </w:p>
          <w:p w14:paraId="10A962D6" w14:textId="17738952"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t>Izglītības iestāde savos iekšējos noteikumos iekļauj sistēmu attālināto mācību organizēšanai un īstenošanai, tostarp:</w:t>
            </w:r>
          </w:p>
          <w:p w14:paraId="4D415BFF"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t xml:space="preserve">1. procedūru, kā izglītības iestāde nosaka, vai izglītības guvējiem ir pieejami tehniskie līdzekļi attālināto mācību nodrošināšanai, </w:t>
            </w:r>
            <w:r w:rsidRPr="00930B4F">
              <w:rPr>
                <w:rFonts w:ascii="Times New Roman" w:hAnsi="Times New Roman"/>
                <w:sz w:val="18"/>
                <w:szCs w:val="20"/>
              </w:rPr>
              <w:lastRenderedPageBreak/>
              <w:t>kā arī procedūras šo tehnisko līdzekļu nodrošināšanai, ja tie izglītības guvējiem nav pieejami;</w:t>
            </w:r>
          </w:p>
          <w:p w14:paraId="5F733594"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t>2. procedūru, kā reģistrē izglītības guvēju dalību attālinātās mācībās un uzdoto uzdevumu izpildi;</w:t>
            </w:r>
          </w:p>
          <w:p w14:paraId="61DB56D7"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t>3. gadījumos, kad izglītības guvēja dalība attālinātajās mācībās nav iespējama vai tiek kavēta tehnisku iemeslu dēļ;</w:t>
            </w:r>
          </w:p>
          <w:p w14:paraId="369F5B69"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t xml:space="preserve">4. procedūras, lai nodrošinātu atbilstību drošības prasībām attālināto mācību laikā, un procedūras saziņai ar izglītības guvēja </w:t>
            </w:r>
            <w:r w:rsidRPr="00930B4F">
              <w:rPr>
                <w:rFonts w:ascii="Times New Roman" w:hAnsi="Times New Roman"/>
                <w:sz w:val="18"/>
                <w:szCs w:val="20"/>
              </w:rPr>
              <w:lastRenderedPageBreak/>
              <w:t>juridiskajiem pārstāvjiem drošības vai veselības apdraudējumu gadījumā;</w:t>
            </w:r>
          </w:p>
          <w:p w14:paraId="1A8294CD"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t>5. procedūru, kā izglītības guvēji izmanto izglītības iestādes resursus un infrastruktūru (telpas, bibliotēkas u. c.) attālināto mācību ietvaros.</w:t>
            </w:r>
          </w:p>
        </w:tc>
      </w:tr>
      <w:tr w:rsidR="0042166D" w:rsidRPr="00930B4F" w14:paraId="3646CA98"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12D0CA5A"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79</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046D5927" w14:textId="77777777" w:rsidR="0048148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2.3.2.3.i</w:t>
            </w:r>
          </w:p>
          <w:p w14:paraId="7B28ACBA" w14:textId="5DEDBCB5"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 xml:space="preserve">Digitālās plaisas mazināšana sociāli neaizsargātajiem skolēniem un izglītības iestādēs </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62774E95"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Mērķis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160EA371"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IKT aprīkojuma vienību skaits mērķgrupai (izglītības guvējiem)</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4AA0DC73"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1835FCAD"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Skaits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6A2B249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0</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14282B26"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26 620</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640C064D"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4.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3C5AAC56"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2023</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7D923C73"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Izglītības un zinātnes ministrija</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6E26067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43D37C84"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235CBA15"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Šā dokumenta pielikumā iekļauj šādus dokumentārus pierādījumus:</w:t>
            </w:r>
          </w:p>
          <w:p w14:paraId="358B9AD7" w14:textId="29C5A867" w:rsidR="00481482" w:rsidRPr="00930B4F" w:rsidRDefault="005264F9"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a) projekta iepirkuma darba uzdevumā iekļautās tehniskās specifikācijas kopiju un saiti uz šo tehnisko specifikāciju;</w:t>
            </w:r>
          </w:p>
          <w:p w14:paraId="6AD69810" w14:textId="2241DBEF" w:rsidR="00481482" w:rsidRPr="00930B4F" w:rsidRDefault="005264F9"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b) investīcijas īstenošanai noslēgto līgumu kopijas;</w:t>
            </w:r>
          </w:p>
          <w:p w14:paraId="4DF799D1" w14:textId="2B01798A" w:rsidR="00067A32" w:rsidRPr="00930B4F" w:rsidRDefault="005264F9"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c) iegādātā IKT aprīkojuma vienību sarakstu un to atrašanās vietu kartējumu.</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2ED4D6F2"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t>Tādu IKT aprīkojuma vienību skaits, kas iegādātas un piegādātas pašvaldībām vai tieši izglītības iestādēm vispārējās izglītības nodrošināšanai.</w:t>
            </w:r>
          </w:p>
        </w:tc>
      </w:tr>
      <w:tr w:rsidR="0042166D" w:rsidRPr="00930B4F" w14:paraId="222DDB04"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54D70A66"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8</w:t>
            </w:r>
            <w:r w:rsidRPr="00930B4F">
              <w:rPr>
                <w:rFonts w:ascii="Times New Roman" w:hAnsi="Times New Roman"/>
                <w:sz w:val="18"/>
                <w:szCs w:val="20"/>
              </w:rPr>
              <w:lastRenderedPageBreak/>
              <w:t>0</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6CA700C4" w14:textId="77777777" w:rsidR="0048148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lastRenderedPageBreak/>
              <w:t>2.4.1.r</w:t>
            </w:r>
          </w:p>
          <w:p w14:paraId="7A0D8FEF" w14:textId="3D687D98"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lastRenderedPageBreak/>
              <w:t>Platjoslas infrastruktūras attīstība</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7557B6C3"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Atskai</w:t>
            </w:r>
            <w:r w:rsidRPr="00930B4F">
              <w:rPr>
                <w:rFonts w:ascii="Times New Roman" w:hAnsi="Times New Roman"/>
                <w:sz w:val="18"/>
                <w:szCs w:val="20"/>
              </w:rPr>
              <w:lastRenderedPageBreak/>
              <w:t>tes punkts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410B4941"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Tehnisko </w:t>
            </w:r>
            <w:r w:rsidRPr="00930B4F">
              <w:rPr>
                <w:rFonts w:ascii="Times New Roman" w:hAnsi="Times New Roman"/>
                <w:sz w:val="18"/>
                <w:szCs w:val="20"/>
              </w:rPr>
              <w:lastRenderedPageBreak/>
              <w:t>prasību pieņemšana savienotai un automatizētai braukšanai</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69062A89"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Vienotu </w:t>
            </w:r>
            <w:r w:rsidRPr="00930B4F">
              <w:rPr>
                <w:rFonts w:ascii="Times New Roman" w:hAnsi="Times New Roman"/>
                <w:sz w:val="18"/>
                <w:szCs w:val="20"/>
              </w:rPr>
              <w:lastRenderedPageBreak/>
              <w:t xml:space="preserve">tehnisko prasību pieņemšana </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2C9AC780"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Neattieca</w:t>
            </w:r>
            <w:r w:rsidRPr="00930B4F">
              <w:rPr>
                <w:rFonts w:ascii="Times New Roman" w:hAnsi="Times New Roman"/>
                <w:sz w:val="18"/>
                <w:szCs w:val="20"/>
              </w:rPr>
              <w:lastRenderedPageBreak/>
              <w:t>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48E44B65"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Neatt</w:t>
            </w:r>
            <w:r w:rsidRPr="00930B4F">
              <w:rPr>
                <w:rFonts w:ascii="Times New Roman" w:hAnsi="Times New Roman"/>
                <w:sz w:val="18"/>
                <w:szCs w:val="20"/>
              </w:rPr>
              <w:lastRenderedPageBreak/>
              <w:t>iecas</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792D4FFC"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Neatti</w:t>
            </w:r>
            <w:r w:rsidRPr="00930B4F">
              <w:rPr>
                <w:rFonts w:ascii="Times New Roman" w:hAnsi="Times New Roman"/>
                <w:sz w:val="18"/>
                <w:szCs w:val="20"/>
              </w:rPr>
              <w:lastRenderedPageBreak/>
              <w:t>ecas</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5A625EC5"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4. ce</w:t>
            </w:r>
            <w:r w:rsidRPr="00930B4F">
              <w:rPr>
                <w:rFonts w:ascii="Times New Roman" w:hAnsi="Times New Roman"/>
                <w:sz w:val="18"/>
                <w:szCs w:val="20"/>
              </w:rPr>
              <w:lastRenderedPageBreak/>
              <w:t>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0ADA9EE2"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2021</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000E0C7D"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 xml:space="preserve">Satiksmes </w:t>
            </w:r>
            <w:r w:rsidRPr="00930B4F">
              <w:rPr>
                <w:rFonts w:ascii="Times New Roman" w:hAnsi="Times New Roman"/>
                <w:sz w:val="18"/>
                <w:szCs w:val="20"/>
              </w:rPr>
              <w:lastRenderedPageBreak/>
              <w:t>ministrija sadarbībā ar VAS “Latvijas Valsts radio un televīzijas centrs”</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3601B65B" w14:textId="77777777" w:rsidR="00067A32" w:rsidRPr="00930B4F" w:rsidRDefault="00067A32" w:rsidP="00930B4F">
            <w:pPr>
              <w:widowControl w:val="0"/>
              <w:spacing w:after="0" w:line="240" w:lineRule="auto"/>
              <w:ind w:left="57" w:right="57"/>
              <w:jc w:val="both"/>
              <w:rPr>
                <w:rFonts w:ascii="Times New Roman" w:eastAsia="Arial Narrow" w:hAnsi="Times New Roman" w:cs="Arial Narrow"/>
                <w:noProof/>
                <w:sz w:val="18"/>
                <w:szCs w:val="20"/>
              </w:rPr>
            </w:pPr>
            <w:r w:rsidRPr="00930B4F">
              <w:rPr>
                <w:rFonts w:ascii="Times New Roman" w:hAnsi="Times New Roman"/>
                <w:sz w:val="18"/>
                <w:szCs w:val="20"/>
              </w:rPr>
              <w:lastRenderedPageBreak/>
              <w:t xml:space="preserve">Uzskata, ka </w:t>
            </w:r>
            <w:r w:rsidRPr="00930B4F">
              <w:rPr>
                <w:rFonts w:ascii="Times New Roman" w:hAnsi="Times New Roman"/>
                <w:sz w:val="18"/>
                <w:szCs w:val="20"/>
              </w:rPr>
              <w:lastRenderedPageBreak/>
              <w:t xml:space="preserve">tehniskās prasības ir līdzvērtīgas tehniskajām specifikācijām. </w:t>
            </w: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7ABD9B92"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lastRenderedPageBreak/>
              <w:t xml:space="preserve">Kopsavilkuma dokuments, kurā </w:t>
            </w:r>
            <w:r w:rsidRPr="00930B4F">
              <w:rPr>
                <w:rFonts w:ascii="Times New Roman" w:hAnsi="Times New Roman"/>
                <w:sz w:val="18"/>
                <w:szCs w:val="20"/>
              </w:rPr>
              <w:lastRenderedPageBreak/>
              <w:t xml:space="preserve">pienācīgi pamatots, kā tika apmierinoši sasniegts atskaites punkts (tostarp visi būtiskie elementi), kopā ar atbilstošām saitēm uz pamatojošajiem pierādījumiem. Šā dokumenta pielikumā iekļauj šādus dokumentārus pierādījumus: vienotās tehniskās prasības infrastruktūrai (attiecībā uz optiku, torņiem, elektriskajiem savienojumiem u. c.), lai atbalstītu savienotas un automatizētas braukšanas </w:t>
            </w:r>
            <w:r w:rsidRPr="00930B4F">
              <w:rPr>
                <w:rFonts w:ascii="Times New Roman" w:hAnsi="Times New Roman"/>
                <w:i/>
                <w:iCs/>
                <w:sz w:val="18"/>
                <w:szCs w:val="20"/>
              </w:rPr>
              <w:t>Via Baltica</w:t>
            </w:r>
            <w:r w:rsidRPr="00930B4F">
              <w:rPr>
                <w:rFonts w:ascii="Times New Roman" w:hAnsi="Times New Roman"/>
                <w:sz w:val="18"/>
                <w:szCs w:val="20"/>
              </w:rPr>
              <w:t xml:space="preserve"> koridoru Latvijas posmā.</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570627B3" w14:textId="0FED6628"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1. VAS </w:t>
            </w:r>
            <w:r w:rsidRPr="00930B4F">
              <w:rPr>
                <w:rFonts w:ascii="Times New Roman" w:hAnsi="Times New Roman"/>
                <w:sz w:val="18"/>
                <w:szCs w:val="20"/>
              </w:rPr>
              <w:lastRenderedPageBreak/>
              <w:t xml:space="preserve">“Latvijas Valsts radio un televīzijas centrs” nosaka vienotās tehniskās prasības elektronisko sakaru operatoriem, lai būtu iespējams nodrošināt savienotu un automatizētu braukšanu. Tiek ņemtas vērā operatoru vajadzības sadarbībā ar Igaunijas, Lietuvas un Polijas pārstāvjiem, lai veicinātu savienota un automatizēta braukšanas koridora izveidi </w:t>
            </w:r>
            <w:r w:rsidRPr="00930B4F">
              <w:rPr>
                <w:rFonts w:ascii="Times New Roman" w:hAnsi="Times New Roman"/>
                <w:i/>
                <w:iCs/>
                <w:sz w:val="18"/>
                <w:szCs w:val="20"/>
              </w:rPr>
              <w:t>Via Baltica</w:t>
            </w:r>
            <w:r w:rsidRPr="00930B4F">
              <w:rPr>
                <w:rFonts w:ascii="Times New Roman" w:hAnsi="Times New Roman"/>
                <w:sz w:val="18"/>
                <w:szCs w:val="20"/>
              </w:rPr>
              <w:t xml:space="preserve"> trasē. Pēc tam iepirkuma komiteja pieņem vienotās tehniskās prasības. </w:t>
            </w:r>
          </w:p>
        </w:tc>
      </w:tr>
      <w:tr w:rsidR="0042166D" w:rsidRPr="00930B4F" w14:paraId="36025A35"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5437EBE3"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81</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61C40FF8" w14:textId="77777777" w:rsidR="0048148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2.4.1.r</w:t>
            </w:r>
          </w:p>
          <w:p w14:paraId="30370B74" w14:textId="5AB80C7D"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Platjoslas infrastruktūras attīstība</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4ABF3270"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Atskaites punkts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23FEDDFD"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Vienota modeļa pieņemšana “pēdējās jūdzes” attīstībai</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0396EA96"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 xml:space="preserve">Vienota modeļa pieņemšana “pēdējās jūdzes” attīstībai </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4FB22E65"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01AAB17C"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0C679EE4"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7E47572F"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4.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11E8AC6A"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2021</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262B1CED"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 xml:space="preserve">Satiksmes ministrija </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5F016F56"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Jauns modeļa projekts “pēdējās jūdzes” attīstībai ir iekļauts elektronisko sakaru nozares attīstības plānā, Satiksmes ministrija ir iesniegusi to sabiedriskajai apspriešanai, un Ministru kabinets to ir apstiprinājis.</w:t>
            </w: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55191BC5"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Kopsavilkuma dokuments, kurā pienācīgi pamatots, kā tika apmierinoši sasniegts atskaites punkts (tostarp visi būtiskie elementi), kopā ar atbilstošām saitēm uz pamatojošajiem pierādījumiem.</w:t>
            </w:r>
          </w:p>
          <w:p w14:paraId="2CF5F13D" w14:textId="77777777" w:rsidR="0048148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Šā dokumenta pielikumā iekļauj šādus dokumentārus pierādījumus:</w:t>
            </w:r>
          </w:p>
          <w:p w14:paraId="6527D6FC" w14:textId="1D8B1851" w:rsidR="00481482" w:rsidRPr="00930B4F" w:rsidRDefault="00E63B7F"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a) Ministru kabineta lēmuma par vienoto “pēdējās jūdzes” attīstības modeli kopiju un saiti uz šo lēmumu;</w:t>
            </w:r>
          </w:p>
          <w:p w14:paraId="3B23FD04" w14:textId="251DFC38" w:rsidR="00481482" w:rsidRPr="00930B4F" w:rsidRDefault="00E63B7F"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b) to pētījumu kopijas, kas ņemti par pamatu elektronisko sakaru nozares attīstības plānam;</w:t>
            </w:r>
          </w:p>
          <w:p w14:paraId="3E662068" w14:textId="48046BF7" w:rsidR="00067A32" w:rsidRPr="00930B4F" w:rsidRDefault="00E63B7F"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 xml:space="preserve">c) ziņojumu par Elektronisko sakaru nozares politikas 2021.–2027. gadam sabiedriskās apspriešanas rezultātiem un saiti uz šīs sabiedriskās apspriešanas dokumentiem. </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12C61532" w14:textId="77777777" w:rsidR="0048148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t>1. Pamatojoties uz veiktajiem pētījumiem, Satiksmes ministrija sagatavo elektronisko sakaru nozares attīstības plānu, kurā iekļauj modeļa projektu.</w:t>
            </w:r>
          </w:p>
          <w:p w14:paraId="6FE4C264" w14:textId="559A128A"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t>2. Pamatojoties uz sabiedriskās apspriešanas rezultātiem, pieņem galīgo lēmumu par modeli, kas tiks pieņemts un ieviests.</w:t>
            </w:r>
          </w:p>
        </w:tc>
      </w:tr>
      <w:tr w:rsidR="0042166D" w:rsidRPr="00930B4F" w14:paraId="076C251E" w14:textId="77777777" w:rsidTr="00E24E22">
        <w:trPr>
          <w:jc w:val="center"/>
        </w:trPr>
        <w:tc>
          <w:tcPr>
            <w:tcW w:w="281" w:type="dxa"/>
            <w:tcBorders>
              <w:top w:val="single" w:sz="8" w:space="0" w:color="auto"/>
              <w:left w:val="single" w:sz="8" w:space="0" w:color="auto"/>
              <w:bottom w:val="single" w:sz="8" w:space="0" w:color="auto"/>
              <w:right w:val="single" w:sz="8" w:space="0" w:color="auto"/>
            </w:tcBorders>
            <w:shd w:val="clear" w:color="auto" w:fill="C6EFCE"/>
          </w:tcPr>
          <w:p w14:paraId="134B820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83</w:t>
            </w:r>
          </w:p>
        </w:tc>
        <w:tc>
          <w:tcPr>
            <w:tcW w:w="1098" w:type="dxa"/>
            <w:tcBorders>
              <w:top w:val="single" w:sz="8" w:space="0" w:color="auto"/>
              <w:left w:val="single" w:sz="8" w:space="0" w:color="auto"/>
              <w:bottom w:val="single" w:sz="8" w:space="0" w:color="auto"/>
              <w:right w:val="single" w:sz="8" w:space="0" w:color="auto"/>
            </w:tcBorders>
            <w:shd w:val="clear" w:color="auto" w:fill="C6EFCE"/>
          </w:tcPr>
          <w:p w14:paraId="55E856D9" w14:textId="77777777" w:rsidR="0048148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2.4.1.2.i</w:t>
            </w:r>
          </w:p>
          <w:p w14:paraId="7283C980" w14:textId="7C22962E" w:rsidR="00067A32" w:rsidRPr="00930B4F" w:rsidRDefault="00067A32" w:rsidP="00930B4F">
            <w:pPr>
              <w:widowControl w:val="0"/>
              <w:spacing w:after="0" w:line="240" w:lineRule="auto"/>
              <w:ind w:left="57" w:right="57"/>
              <w:jc w:val="both"/>
              <w:rPr>
                <w:rFonts w:ascii="Times New Roman" w:eastAsia="Calibri" w:hAnsi="Times New Roman" w:cs="Times New Roman"/>
                <w:b/>
                <w:bCs/>
                <w:noProof/>
                <w:sz w:val="18"/>
                <w:szCs w:val="20"/>
              </w:rPr>
            </w:pPr>
            <w:r w:rsidRPr="00930B4F">
              <w:rPr>
                <w:rFonts w:ascii="Times New Roman" w:hAnsi="Times New Roman"/>
                <w:b/>
                <w:sz w:val="18"/>
                <w:szCs w:val="20"/>
              </w:rPr>
              <w:t>Platjoslas jeb ļoti augstas veiktspējas tīklu “pēdējās jūdzes” infrastruktūras attīstība</w:t>
            </w:r>
          </w:p>
        </w:tc>
        <w:tc>
          <w:tcPr>
            <w:tcW w:w="675" w:type="dxa"/>
            <w:tcBorders>
              <w:top w:val="single" w:sz="8" w:space="0" w:color="auto"/>
              <w:left w:val="single" w:sz="8" w:space="0" w:color="auto"/>
              <w:bottom w:val="single" w:sz="8" w:space="0" w:color="auto"/>
              <w:right w:val="single" w:sz="8" w:space="0" w:color="auto"/>
            </w:tcBorders>
            <w:shd w:val="clear" w:color="auto" w:fill="C6EFCE"/>
          </w:tcPr>
          <w:p w14:paraId="44D61A74"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Mērķis</w:t>
            </w:r>
          </w:p>
        </w:tc>
        <w:tc>
          <w:tcPr>
            <w:tcW w:w="1028" w:type="dxa"/>
            <w:tcBorders>
              <w:top w:val="single" w:sz="8" w:space="0" w:color="auto"/>
              <w:left w:val="single" w:sz="8" w:space="0" w:color="auto"/>
              <w:bottom w:val="single" w:sz="8" w:space="0" w:color="auto"/>
              <w:right w:val="single" w:sz="8" w:space="0" w:color="auto"/>
            </w:tcBorders>
            <w:shd w:val="clear" w:color="auto" w:fill="C6EFCE"/>
          </w:tcPr>
          <w:p w14:paraId="64C19DC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 xml:space="preserve">To mājsaimniecību, uzņēmumu, skolu, slimnīcu un citu sabiedrisko ēku skaits, kam ir pieeja ļoti augstas veiktspējas platjoslas </w:t>
            </w:r>
            <w:r w:rsidRPr="00930B4F">
              <w:rPr>
                <w:rFonts w:ascii="Times New Roman" w:hAnsi="Times New Roman"/>
                <w:sz w:val="18"/>
                <w:szCs w:val="20"/>
              </w:rPr>
              <w:lastRenderedPageBreak/>
              <w:t xml:space="preserve">tīklam </w:t>
            </w:r>
          </w:p>
        </w:tc>
        <w:tc>
          <w:tcPr>
            <w:tcW w:w="882" w:type="dxa"/>
            <w:tcBorders>
              <w:top w:val="single" w:sz="8" w:space="0" w:color="auto"/>
              <w:left w:val="single" w:sz="8" w:space="0" w:color="auto"/>
              <w:bottom w:val="single" w:sz="8" w:space="0" w:color="auto"/>
              <w:right w:val="single" w:sz="8" w:space="0" w:color="auto"/>
            </w:tcBorders>
            <w:shd w:val="clear" w:color="auto" w:fill="C6EFCE"/>
          </w:tcPr>
          <w:p w14:paraId="72CF63C9"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Neattiecas</w:t>
            </w:r>
          </w:p>
        </w:tc>
        <w:tc>
          <w:tcPr>
            <w:tcW w:w="856" w:type="dxa"/>
            <w:tcBorders>
              <w:top w:val="single" w:sz="8" w:space="0" w:color="auto"/>
              <w:left w:val="single" w:sz="8" w:space="0" w:color="auto"/>
              <w:bottom w:val="single" w:sz="8" w:space="0" w:color="auto"/>
              <w:right w:val="single" w:sz="8" w:space="0" w:color="auto"/>
            </w:tcBorders>
            <w:shd w:val="clear" w:color="auto" w:fill="C6EFCE"/>
          </w:tcPr>
          <w:p w14:paraId="19341D91"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Skaits</w:t>
            </w:r>
          </w:p>
        </w:tc>
        <w:tc>
          <w:tcPr>
            <w:tcW w:w="607" w:type="dxa"/>
            <w:tcBorders>
              <w:top w:val="single" w:sz="8" w:space="0" w:color="auto"/>
              <w:left w:val="single" w:sz="8" w:space="0" w:color="auto"/>
              <w:bottom w:val="single" w:sz="8" w:space="0" w:color="auto"/>
              <w:right w:val="single" w:sz="8" w:space="0" w:color="auto"/>
            </w:tcBorders>
            <w:shd w:val="clear" w:color="auto" w:fill="C6EFCE"/>
          </w:tcPr>
          <w:p w14:paraId="7F5F0DC7"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0</w:t>
            </w:r>
          </w:p>
        </w:tc>
        <w:tc>
          <w:tcPr>
            <w:tcW w:w="674" w:type="dxa"/>
            <w:tcBorders>
              <w:top w:val="single" w:sz="8" w:space="0" w:color="auto"/>
              <w:left w:val="single" w:sz="8" w:space="0" w:color="auto"/>
              <w:bottom w:val="single" w:sz="8" w:space="0" w:color="auto"/>
              <w:right w:val="single" w:sz="8" w:space="0" w:color="auto"/>
            </w:tcBorders>
            <w:shd w:val="clear" w:color="auto" w:fill="C6EFCE"/>
          </w:tcPr>
          <w:p w14:paraId="7CA07DC8"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6200</w:t>
            </w:r>
          </w:p>
        </w:tc>
        <w:tc>
          <w:tcPr>
            <w:tcW w:w="557" w:type="dxa"/>
            <w:tcBorders>
              <w:top w:val="single" w:sz="8" w:space="0" w:color="auto"/>
              <w:left w:val="single" w:sz="8" w:space="0" w:color="auto"/>
              <w:bottom w:val="single" w:sz="8" w:space="0" w:color="auto"/>
              <w:right w:val="single" w:sz="8" w:space="0" w:color="auto"/>
            </w:tcBorders>
            <w:shd w:val="clear" w:color="auto" w:fill="C6EFCE"/>
          </w:tcPr>
          <w:p w14:paraId="3406507A"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3. cet.</w:t>
            </w:r>
          </w:p>
        </w:tc>
        <w:tc>
          <w:tcPr>
            <w:tcW w:w="568" w:type="dxa"/>
            <w:tcBorders>
              <w:top w:val="single" w:sz="8" w:space="0" w:color="auto"/>
              <w:left w:val="single" w:sz="8" w:space="0" w:color="auto"/>
              <w:bottom w:val="single" w:sz="8" w:space="0" w:color="auto"/>
              <w:right w:val="single" w:sz="4" w:space="0" w:color="auto"/>
            </w:tcBorders>
            <w:shd w:val="clear" w:color="auto" w:fill="C6EFCE"/>
          </w:tcPr>
          <w:p w14:paraId="714A24AB" w14:textId="77777777" w:rsidR="00067A32" w:rsidRPr="00930B4F" w:rsidRDefault="00067A32" w:rsidP="00930B4F">
            <w:pPr>
              <w:widowControl w:val="0"/>
              <w:spacing w:after="0" w:line="240" w:lineRule="auto"/>
              <w:ind w:left="57" w:right="57"/>
              <w:jc w:val="both"/>
              <w:rPr>
                <w:rFonts w:ascii="Times New Roman" w:eastAsia="Calibri" w:hAnsi="Times New Roman" w:cs="Times New Roman"/>
                <w:noProof/>
                <w:sz w:val="18"/>
                <w:szCs w:val="20"/>
              </w:rPr>
            </w:pPr>
            <w:r w:rsidRPr="00930B4F">
              <w:rPr>
                <w:rFonts w:ascii="Times New Roman" w:hAnsi="Times New Roman"/>
                <w:sz w:val="18"/>
                <w:szCs w:val="20"/>
              </w:rPr>
              <w:t>2026</w:t>
            </w:r>
          </w:p>
        </w:tc>
        <w:tc>
          <w:tcPr>
            <w:tcW w:w="1189" w:type="dxa"/>
            <w:tcBorders>
              <w:top w:val="single" w:sz="4" w:space="0" w:color="auto"/>
              <w:left w:val="single" w:sz="4" w:space="0" w:color="auto"/>
              <w:bottom w:val="single" w:sz="4" w:space="0" w:color="auto"/>
              <w:right w:val="single" w:sz="4" w:space="0" w:color="auto"/>
            </w:tcBorders>
            <w:shd w:val="clear" w:color="auto" w:fill="C6EFCE"/>
          </w:tcPr>
          <w:p w14:paraId="446DB7D8"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 xml:space="preserve">Satiksmes ministrija </w:t>
            </w:r>
          </w:p>
        </w:tc>
        <w:tc>
          <w:tcPr>
            <w:tcW w:w="1220" w:type="dxa"/>
            <w:tcBorders>
              <w:top w:val="single" w:sz="4" w:space="0" w:color="auto"/>
              <w:left w:val="single" w:sz="4" w:space="0" w:color="auto"/>
              <w:bottom w:val="single" w:sz="4" w:space="0" w:color="auto"/>
              <w:right w:val="single" w:sz="4" w:space="0" w:color="auto"/>
            </w:tcBorders>
            <w:shd w:val="clear" w:color="auto" w:fill="C6EFCE"/>
          </w:tcPr>
          <w:p w14:paraId="4032BFE5" w14:textId="77777777" w:rsidR="00067A32" w:rsidRPr="00930B4F" w:rsidRDefault="00067A32" w:rsidP="00930B4F">
            <w:pPr>
              <w:widowControl w:val="0"/>
              <w:spacing w:after="0" w:line="240" w:lineRule="auto"/>
              <w:ind w:left="57" w:right="57"/>
              <w:jc w:val="both"/>
              <w:rPr>
                <w:rFonts w:ascii="Times New Roman" w:hAnsi="Times New Roman" w:cs="Calibri"/>
                <w:noProof/>
                <w:sz w:val="18"/>
                <w:szCs w:val="20"/>
              </w:rPr>
            </w:pPr>
            <w:r w:rsidRPr="00930B4F">
              <w:rPr>
                <w:rFonts w:ascii="Times New Roman" w:hAnsi="Times New Roman"/>
                <w:sz w:val="18"/>
                <w:szCs w:val="20"/>
              </w:rPr>
              <w:t>Ar vārdu “pieeja” saprot iespēju noslēgt līgumu, lai sāktu saņemt ļoti augstas veiktspējas platjoslas tīkla pakalpojumu</w:t>
            </w:r>
          </w:p>
        </w:tc>
        <w:tc>
          <w:tcPr>
            <w:tcW w:w="2975" w:type="dxa"/>
            <w:tcBorders>
              <w:top w:val="single" w:sz="4" w:space="0" w:color="auto"/>
              <w:left w:val="single" w:sz="4" w:space="0" w:color="auto"/>
              <w:bottom w:val="single" w:sz="4" w:space="0" w:color="auto"/>
              <w:right w:val="single" w:sz="4" w:space="0" w:color="auto"/>
            </w:tcBorders>
            <w:shd w:val="clear" w:color="auto" w:fill="C6EFCE"/>
          </w:tcPr>
          <w:p w14:paraId="75F899A4"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Kopsavilkuma dokuments, kurā pienācīgi pamatots, kā tika apmierinoši sasniegts mērķis (tostarp visi elementi), kopā ar atbilstošām saitēm uz pamatojošajiem pierādījumiem.</w:t>
            </w:r>
          </w:p>
          <w:p w14:paraId="5D2B2688" w14:textId="77777777" w:rsidR="00067A32" w:rsidRPr="00930B4F" w:rsidRDefault="00067A32"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Šā dokumenta pielikumā iekļauj šādus dokumentārus pierādījumus:</w:t>
            </w:r>
          </w:p>
          <w:p w14:paraId="608A63BC" w14:textId="29BD0C07" w:rsidR="00481482" w:rsidRPr="00930B4F" w:rsidRDefault="00E63B7F"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 xml:space="preserve">a) ziņojumus, kurus iesniedzis projekta īstenotājs (pamatojoties uz informāciju no elektronisko sakaru operatoriem) un apstiprinājusi līgumslēdzēja iestāde un kuros norādīts mērķa aprakstā noteiktais </w:t>
            </w:r>
            <w:r w:rsidRPr="00930B4F">
              <w:rPr>
                <w:rFonts w:ascii="Times New Roman" w:hAnsi="Times New Roman"/>
                <w:sz w:val="18"/>
                <w:szCs w:val="20"/>
              </w:rPr>
              <w:lastRenderedPageBreak/>
              <w:t>saņēmēju skaits;</w:t>
            </w:r>
          </w:p>
          <w:p w14:paraId="42CDB10E" w14:textId="7A19DFB1" w:rsidR="00067A32" w:rsidRPr="00930B4F" w:rsidRDefault="00E63B7F" w:rsidP="00930B4F">
            <w:pPr>
              <w:widowControl w:val="0"/>
              <w:spacing w:after="0" w:line="240" w:lineRule="auto"/>
              <w:ind w:left="57" w:right="57"/>
              <w:rPr>
                <w:rFonts w:ascii="Times New Roman" w:hAnsi="Times New Roman" w:cs="Calibri"/>
                <w:noProof/>
                <w:sz w:val="18"/>
                <w:szCs w:val="20"/>
              </w:rPr>
            </w:pPr>
            <w:r w:rsidRPr="00930B4F">
              <w:rPr>
                <w:rFonts w:ascii="Times New Roman" w:hAnsi="Times New Roman"/>
                <w:sz w:val="18"/>
                <w:szCs w:val="20"/>
              </w:rPr>
              <w:t>b) investīciju kartējumu, kurā norādīta to mājsaimniecību, uzņēmumu, skolu un citu sabiedrisko ēku atrašanās vieta, kam ir jauna platjoslas pieeja ļoti augstas veiktspējas platjoslas tīklam ar vismaz 100 Mbps datu pārraides ātrumu.</w:t>
            </w:r>
          </w:p>
        </w:tc>
        <w:tc>
          <w:tcPr>
            <w:tcW w:w="1383" w:type="dxa"/>
            <w:tcBorders>
              <w:top w:val="single" w:sz="4" w:space="0" w:color="auto"/>
              <w:left w:val="single" w:sz="4" w:space="0" w:color="auto"/>
              <w:bottom w:val="single" w:sz="4" w:space="0" w:color="auto"/>
              <w:right w:val="single" w:sz="4" w:space="0" w:color="auto"/>
            </w:tcBorders>
            <w:shd w:val="clear" w:color="auto" w:fill="C6EFCE"/>
          </w:tcPr>
          <w:p w14:paraId="680E4B50" w14:textId="77777777" w:rsidR="00067A32" w:rsidRPr="00930B4F" w:rsidRDefault="00067A32" w:rsidP="00930B4F">
            <w:pPr>
              <w:widowControl w:val="0"/>
              <w:spacing w:after="0" w:line="240" w:lineRule="auto"/>
              <w:ind w:left="57" w:right="57"/>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Rādītājs ir to mājsaimniecību, uzņēmumu, skolu, slimnīcu un citu sabiedrisko ēku skaits, kam ir pieejams ļoti augstas veiktspējas platjoslas tīkls ar vismaz 100 Mbps datu pārraides </w:t>
            </w:r>
            <w:r w:rsidRPr="00930B4F">
              <w:rPr>
                <w:rFonts w:ascii="Times New Roman" w:hAnsi="Times New Roman"/>
                <w:sz w:val="18"/>
                <w:szCs w:val="20"/>
              </w:rPr>
              <w:lastRenderedPageBreak/>
              <w:t>ātrumu.</w:t>
            </w:r>
          </w:p>
        </w:tc>
      </w:tr>
    </w:tbl>
    <w:p w14:paraId="1982BE44" w14:textId="77777777" w:rsidR="00481482" w:rsidRPr="00481482" w:rsidRDefault="00481482" w:rsidP="00481482">
      <w:pPr>
        <w:widowControl w:val="0"/>
        <w:spacing w:after="0" w:line="240" w:lineRule="auto"/>
        <w:jc w:val="both"/>
        <w:rPr>
          <w:rFonts w:ascii="Times New Roman" w:hAnsi="Times New Roman" w:cs="Times New Roman"/>
          <w:noProof/>
          <w:sz w:val="24"/>
        </w:rPr>
      </w:pPr>
    </w:p>
    <w:p w14:paraId="34F0E06B" w14:textId="77777777" w:rsidR="00B20686" w:rsidRDefault="00B20686">
      <w:pPr>
        <w:rPr>
          <w:rFonts w:ascii="Times New Roman" w:hAnsi="Times New Roman"/>
          <w:b/>
          <w:sz w:val="24"/>
        </w:rPr>
      </w:pPr>
      <w:r>
        <w:rPr>
          <w:rFonts w:ascii="Times New Roman" w:hAnsi="Times New Roman"/>
          <w:b/>
          <w:sz w:val="24"/>
        </w:rPr>
        <w:br w:type="page"/>
      </w:r>
    </w:p>
    <w:p w14:paraId="6B4EBA45" w14:textId="680F7B0F" w:rsidR="00067A32" w:rsidRDefault="00067A32" w:rsidP="00E63B7F">
      <w:pPr>
        <w:widowControl w:val="0"/>
        <w:numPr>
          <w:ilvl w:val="1"/>
          <w:numId w:val="0"/>
        </w:numPr>
        <w:spacing w:after="0" w:line="240" w:lineRule="auto"/>
        <w:ind w:left="567"/>
        <w:jc w:val="both"/>
        <w:rPr>
          <w:rFonts w:ascii="Times New Roman" w:hAnsi="Times New Roman" w:cs="Times New Roman"/>
          <w:b/>
          <w:bCs/>
          <w:noProof/>
          <w:sz w:val="24"/>
          <w:szCs w:val="26"/>
        </w:rPr>
      </w:pPr>
      <w:r>
        <w:rPr>
          <w:rFonts w:ascii="Times New Roman" w:hAnsi="Times New Roman"/>
          <w:b/>
          <w:sz w:val="24"/>
        </w:rPr>
        <w:lastRenderedPageBreak/>
        <w:t>C. KOMPONENTS NR. 3. NEVIENLĪDZĪBAS MAZINĀŠANA</w:t>
      </w:r>
    </w:p>
    <w:p w14:paraId="7406C73A" w14:textId="77777777" w:rsidR="00E63B7F" w:rsidRPr="00481482" w:rsidRDefault="00E63B7F" w:rsidP="00481482">
      <w:pPr>
        <w:widowControl w:val="0"/>
        <w:numPr>
          <w:ilvl w:val="1"/>
          <w:numId w:val="0"/>
        </w:numPr>
        <w:spacing w:after="0" w:line="240" w:lineRule="auto"/>
        <w:jc w:val="both"/>
        <w:rPr>
          <w:rFonts w:ascii="Times New Roman" w:hAnsi="Times New Roman" w:cs="Times New Roman"/>
          <w:b/>
          <w:bCs/>
          <w:noProof/>
          <w:sz w:val="24"/>
          <w:szCs w:val="2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390"/>
        <w:gridCol w:w="1304"/>
        <w:gridCol w:w="717"/>
        <w:gridCol w:w="1331"/>
        <w:gridCol w:w="1279"/>
        <w:gridCol w:w="884"/>
        <w:gridCol w:w="754"/>
        <w:gridCol w:w="754"/>
        <w:gridCol w:w="838"/>
        <w:gridCol w:w="429"/>
        <w:gridCol w:w="1079"/>
        <w:gridCol w:w="1042"/>
        <w:gridCol w:w="1689"/>
        <w:gridCol w:w="1503"/>
      </w:tblGrid>
      <w:tr w:rsidR="00930B4F" w:rsidRPr="00930B4F" w14:paraId="30DA59E4" w14:textId="77777777" w:rsidTr="000860F9">
        <w:trPr>
          <w:tblHeader/>
          <w:jc w:val="center"/>
        </w:trPr>
        <w:tc>
          <w:tcPr>
            <w:tcW w:w="0" w:type="auto"/>
            <w:vMerge w:val="restart"/>
            <w:shd w:val="clear" w:color="auto" w:fill="BDD7EE"/>
            <w:vAlign w:val="center"/>
          </w:tcPr>
          <w:p w14:paraId="464CE932" w14:textId="77777777" w:rsidR="00067A32" w:rsidRPr="00930B4F" w:rsidRDefault="00067A32" w:rsidP="00AA08E6">
            <w:pPr>
              <w:widowControl w:val="0"/>
              <w:spacing w:after="0" w:line="240" w:lineRule="auto"/>
              <w:jc w:val="center"/>
              <w:rPr>
                <w:rFonts w:ascii="Times New Roman" w:eastAsia="Times New Roman" w:hAnsi="Times New Roman" w:cs="Times New Roman"/>
                <w:b/>
                <w:noProof/>
                <w:sz w:val="18"/>
                <w:szCs w:val="20"/>
              </w:rPr>
            </w:pPr>
            <w:r w:rsidRPr="00930B4F">
              <w:rPr>
                <w:rFonts w:ascii="Times New Roman" w:hAnsi="Times New Roman"/>
                <w:b/>
                <w:sz w:val="18"/>
                <w:szCs w:val="20"/>
              </w:rPr>
              <w:t>#</w:t>
            </w:r>
          </w:p>
        </w:tc>
        <w:tc>
          <w:tcPr>
            <w:tcW w:w="0" w:type="auto"/>
            <w:vMerge w:val="restart"/>
            <w:shd w:val="clear" w:color="auto" w:fill="BDD7EE"/>
            <w:vAlign w:val="center"/>
          </w:tcPr>
          <w:p w14:paraId="0F9AEE05" w14:textId="77777777" w:rsidR="00067A32" w:rsidRPr="00930B4F" w:rsidRDefault="00067A32" w:rsidP="00AA08E6">
            <w:pPr>
              <w:widowControl w:val="0"/>
              <w:spacing w:after="0" w:line="240" w:lineRule="auto"/>
              <w:jc w:val="center"/>
              <w:rPr>
                <w:rFonts w:ascii="Times New Roman" w:eastAsia="Times New Roman" w:hAnsi="Times New Roman" w:cs="Times New Roman"/>
                <w:b/>
                <w:noProof/>
                <w:sz w:val="18"/>
                <w:szCs w:val="20"/>
              </w:rPr>
            </w:pPr>
            <w:r w:rsidRPr="00930B4F">
              <w:rPr>
                <w:rFonts w:ascii="Times New Roman" w:hAnsi="Times New Roman"/>
                <w:b/>
                <w:sz w:val="18"/>
                <w:szCs w:val="20"/>
              </w:rPr>
              <w:t>Saistītais pasākums (reforma vai investīcija)</w:t>
            </w:r>
          </w:p>
        </w:tc>
        <w:tc>
          <w:tcPr>
            <w:tcW w:w="0" w:type="auto"/>
            <w:vMerge w:val="restart"/>
            <w:shd w:val="clear" w:color="auto" w:fill="BDD7EE"/>
            <w:vAlign w:val="center"/>
          </w:tcPr>
          <w:p w14:paraId="45A9FAE6" w14:textId="77777777" w:rsidR="00067A32" w:rsidRPr="00930B4F" w:rsidRDefault="00067A32" w:rsidP="00AA08E6">
            <w:pPr>
              <w:widowControl w:val="0"/>
              <w:spacing w:after="0" w:line="240" w:lineRule="auto"/>
              <w:jc w:val="center"/>
              <w:rPr>
                <w:rFonts w:ascii="Times New Roman" w:eastAsia="Times New Roman" w:hAnsi="Times New Roman" w:cs="Times New Roman"/>
                <w:b/>
                <w:noProof/>
                <w:sz w:val="18"/>
                <w:szCs w:val="20"/>
              </w:rPr>
            </w:pPr>
            <w:r w:rsidRPr="00930B4F">
              <w:rPr>
                <w:rFonts w:ascii="Times New Roman" w:hAnsi="Times New Roman"/>
                <w:b/>
                <w:sz w:val="18"/>
                <w:szCs w:val="20"/>
              </w:rPr>
              <w:t>Atskaites punkts / mērķis</w:t>
            </w:r>
          </w:p>
        </w:tc>
        <w:tc>
          <w:tcPr>
            <w:tcW w:w="0" w:type="auto"/>
            <w:vMerge w:val="restart"/>
            <w:shd w:val="clear" w:color="auto" w:fill="BDD7EE"/>
            <w:vAlign w:val="center"/>
          </w:tcPr>
          <w:p w14:paraId="250B3587" w14:textId="77777777" w:rsidR="00067A32" w:rsidRPr="00930B4F" w:rsidRDefault="00067A32" w:rsidP="00AA08E6">
            <w:pPr>
              <w:widowControl w:val="0"/>
              <w:spacing w:after="0" w:line="240" w:lineRule="auto"/>
              <w:jc w:val="center"/>
              <w:rPr>
                <w:rFonts w:ascii="Times New Roman" w:eastAsia="Times New Roman" w:hAnsi="Times New Roman" w:cs="Times New Roman"/>
                <w:b/>
                <w:noProof/>
                <w:sz w:val="18"/>
                <w:szCs w:val="20"/>
              </w:rPr>
            </w:pPr>
            <w:r w:rsidRPr="00930B4F">
              <w:rPr>
                <w:rFonts w:ascii="Times New Roman" w:hAnsi="Times New Roman"/>
                <w:b/>
                <w:sz w:val="18"/>
                <w:szCs w:val="20"/>
              </w:rPr>
              <w:t>Nosaukums</w:t>
            </w:r>
          </w:p>
        </w:tc>
        <w:tc>
          <w:tcPr>
            <w:tcW w:w="0" w:type="auto"/>
            <w:vMerge w:val="restart"/>
            <w:shd w:val="clear" w:color="auto" w:fill="BDD7EE"/>
            <w:vAlign w:val="center"/>
          </w:tcPr>
          <w:p w14:paraId="05B33DFD" w14:textId="77777777" w:rsidR="00481482" w:rsidRPr="00930B4F" w:rsidRDefault="00067A32" w:rsidP="00AA08E6">
            <w:pPr>
              <w:widowControl w:val="0"/>
              <w:spacing w:after="0" w:line="240" w:lineRule="auto"/>
              <w:jc w:val="center"/>
              <w:rPr>
                <w:rFonts w:ascii="Times New Roman" w:eastAsia="Times New Roman" w:hAnsi="Times New Roman" w:cs="Times New Roman"/>
                <w:b/>
                <w:noProof/>
                <w:sz w:val="18"/>
                <w:szCs w:val="20"/>
              </w:rPr>
            </w:pPr>
            <w:r w:rsidRPr="00930B4F">
              <w:rPr>
                <w:rFonts w:ascii="Times New Roman" w:hAnsi="Times New Roman"/>
                <w:b/>
                <w:sz w:val="18"/>
                <w:szCs w:val="20"/>
              </w:rPr>
              <w:t>Kvalitatīvie rādītāji</w:t>
            </w:r>
          </w:p>
          <w:p w14:paraId="3A114C11" w14:textId="037C4CBD" w:rsidR="00067A32" w:rsidRPr="00930B4F" w:rsidRDefault="00067A32" w:rsidP="00AA08E6">
            <w:pPr>
              <w:widowControl w:val="0"/>
              <w:spacing w:after="0" w:line="240" w:lineRule="auto"/>
              <w:jc w:val="center"/>
              <w:rPr>
                <w:rFonts w:ascii="Times New Roman" w:eastAsia="Times New Roman" w:hAnsi="Times New Roman" w:cs="Times New Roman"/>
                <w:b/>
                <w:noProof/>
                <w:sz w:val="18"/>
                <w:szCs w:val="20"/>
              </w:rPr>
            </w:pPr>
            <w:r w:rsidRPr="00930B4F">
              <w:rPr>
                <w:rFonts w:ascii="Times New Roman" w:hAnsi="Times New Roman"/>
                <w:b/>
                <w:sz w:val="18"/>
                <w:szCs w:val="20"/>
              </w:rPr>
              <w:t>(atskaites punktiem)</w:t>
            </w:r>
          </w:p>
        </w:tc>
        <w:tc>
          <w:tcPr>
            <w:tcW w:w="0" w:type="auto"/>
            <w:gridSpan w:val="3"/>
            <w:shd w:val="clear" w:color="auto" w:fill="BDD7EE"/>
            <w:vAlign w:val="center"/>
          </w:tcPr>
          <w:p w14:paraId="410E6D0C" w14:textId="77777777" w:rsidR="00481482" w:rsidRPr="00930B4F" w:rsidRDefault="00067A32" w:rsidP="00AA08E6">
            <w:pPr>
              <w:widowControl w:val="0"/>
              <w:spacing w:after="0" w:line="240" w:lineRule="auto"/>
              <w:jc w:val="center"/>
              <w:rPr>
                <w:rFonts w:ascii="Times New Roman" w:eastAsia="Times New Roman" w:hAnsi="Times New Roman" w:cs="Times New Roman"/>
                <w:b/>
                <w:noProof/>
                <w:sz w:val="18"/>
                <w:szCs w:val="20"/>
              </w:rPr>
            </w:pPr>
            <w:r w:rsidRPr="00930B4F">
              <w:rPr>
                <w:rFonts w:ascii="Times New Roman" w:hAnsi="Times New Roman"/>
                <w:b/>
                <w:sz w:val="18"/>
                <w:szCs w:val="20"/>
              </w:rPr>
              <w:t>Kvantitatīvie rādītāji</w:t>
            </w:r>
          </w:p>
          <w:p w14:paraId="44A001B7" w14:textId="5298A881" w:rsidR="00067A32" w:rsidRPr="00930B4F" w:rsidRDefault="00067A32" w:rsidP="00AA08E6">
            <w:pPr>
              <w:widowControl w:val="0"/>
              <w:spacing w:after="0" w:line="240" w:lineRule="auto"/>
              <w:jc w:val="center"/>
              <w:rPr>
                <w:rFonts w:ascii="Times New Roman" w:eastAsia="Times New Roman" w:hAnsi="Times New Roman" w:cs="Times New Roman"/>
                <w:b/>
                <w:noProof/>
                <w:sz w:val="18"/>
                <w:szCs w:val="20"/>
              </w:rPr>
            </w:pPr>
            <w:r w:rsidRPr="00930B4F">
              <w:rPr>
                <w:rFonts w:ascii="Times New Roman" w:hAnsi="Times New Roman"/>
                <w:b/>
                <w:sz w:val="18"/>
                <w:szCs w:val="20"/>
              </w:rPr>
              <w:t>(mērķiem)</w:t>
            </w:r>
          </w:p>
        </w:tc>
        <w:tc>
          <w:tcPr>
            <w:tcW w:w="0" w:type="auto"/>
            <w:gridSpan w:val="2"/>
            <w:shd w:val="clear" w:color="auto" w:fill="BDD7EE"/>
            <w:vAlign w:val="center"/>
          </w:tcPr>
          <w:p w14:paraId="496EA5A4" w14:textId="77777777" w:rsidR="00067A32" w:rsidRPr="00930B4F" w:rsidRDefault="00067A32" w:rsidP="00AA08E6">
            <w:pPr>
              <w:widowControl w:val="0"/>
              <w:spacing w:after="0" w:line="240" w:lineRule="auto"/>
              <w:jc w:val="center"/>
              <w:rPr>
                <w:rFonts w:ascii="Times New Roman" w:eastAsia="Times New Roman" w:hAnsi="Times New Roman" w:cs="Times New Roman"/>
                <w:b/>
                <w:noProof/>
                <w:sz w:val="18"/>
                <w:szCs w:val="20"/>
              </w:rPr>
            </w:pPr>
            <w:r w:rsidRPr="00930B4F">
              <w:rPr>
                <w:rFonts w:ascii="Times New Roman" w:hAnsi="Times New Roman"/>
                <w:b/>
                <w:sz w:val="18"/>
                <w:szCs w:val="20"/>
              </w:rPr>
              <w:t>Orientējošs pabeigšanas grafiks</w:t>
            </w:r>
          </w:p>
        </w:tc>
        <w:tc>
          <w:tcPr>
            <w:tcW w:w="0" w:type="auto"/>
            <w:vMerge w:val="restart"/>
            <w:shd w:val="clear" w:color="auto" w:fill="BDD7EE"/>
            <w:vAlign w:val="center"/>
          </w:tcPr>
          <w:p w14:paraId="34D56E74" w14:textId="77777777" w:rsidR="00067A32" w:rsidRPr="00930B4F" w:rsidRDefault="00067A32" w:rsidP="00AA08E6">
            <w:pPr>
              <w:widowControl w:val="0"/>
              <w:spacing w:after="0" w:line="240" w:lineRule="auto"/>
              <w:jc w:val="center"/>
              <w:rPr>
                <w:rFonts w:ascii="Times New Roman" w:hAnsi="Times New Roman" w:cs="Calibri"/>
                <w:b/>
                <w:noProof/>
                <w:sz w:val="18"/>
                <w:szCs w:val="20"/>
              </w:rPr>
            </w:pPr>
            <w:r w:rsidRPr="00930B4F">
              <w:rPr>
                <w:rFonts w:ascii="Times New Roman" w:hAnsi="Times New Roman"/>
                <w:b/>
                <w:sz w:val="18"/>
                <w:szCs w:val="20"/>
              </w:rPr>
              <w:t>Atbildība par ziņošanu un īstenošanu</w:t>
            </w:r>
          </w:p>
        </w:tc>
        <w:tc>
          <w:tcPr>
            <w:tcW w:w="0" w:type="auto"/>
            <w:vMerge w:val="restart"/>
            <w:shd w:val="clear" w:color="auto" w:fill="BDD7EE"/>
            <w:vAlign w:val="center"/>
          </w:tcPr>
          <w:p w14:paraId="7AFB24DD" w14:textId="77777777" w:rsidR="00067A32" w:rsidRPr="00930B4F" w:rsidRDefault="00067A32" w:rsidP="00AA08E6">
            <w:pPr>
              <w:widowControl w:val="0"/>
              <w:spacing w:after="0" w:line="240" w:lineRule="auto"/>
              <w:jc w:val="center"/>
              <w:rPr>
                <w:rFonts w:ascii="Times New Roman" w:hAnsi="Times New Roman" w:cs="Calibri"/>
                <w:b/>
                <w:noProof/>
                <w:sz w:val="18"/>
                <w:szCs w:val="20"/>
              </w:rPr>
            </w:pPr>
            <w:r w:rsidRPr="00930B4F">
              <w:rPr>
                <w:rFonts w:ascii="Times New Roman" w:hAnsi="Times New Roman"/>
                <w:b/>
                <w:sz w:val="18"/>
                <w:szCs w:val="20"/>
              </w:rPr>
              <w:t>Precizējums (ja nepieciešams)</w:t>
            </w:r>
          </w:p>
        </w:tc>
        <w:tc>
          <w:tcPr>
            <w:tcW w:w="0" w:type="auto"/>
            <w:vMerge w:val="restart"/>
            <w:shd w:val="clear" w:color="auto" w:fill="BDD7EE"/>
            <w:vAlign w:val="center"/>
          </w:tcPr>
          <w:p w14:paraId="0FC2327E" w14:textId="77777777" w:rsidR="00067A32" w:rsidRPr="00930B4F" w:rsidRDefault="00067A32" w:rsidP="00AA08E6">
            <w:pPr>
              <w:widowControl w:val="0"/>
              <w:spacing w:after="0" w:line="240" w:lineRule="auto"/>
              <w:jc w:val="center"/>
              <w:rPr>
                <w:rFonts w:ascii="Times New Roman" w:hAnsi="Times New Roman" w:cs="Calibri"/>
                <w:b/>
                <w:noProof/>
                <w:sz w:val="18"/>
                <w:szCs w:val="20"/>
              </w:rPr>
            </w:pPr>
            <w:r w:rsidRPr="00930B4F">
              <w:rPr>
                <w:rFonts w:ascii="Times New Roman" w:hAnsi="Times New Roman"/>
                <w:b/>
                <w:sz w:val="18"/>
                <w:szCs w:val="20"/>
              </w:rPr>
              <w:t>Pārbaudes mehānisms</w:t>
            </w:r>
          </w:p>
        </w:tc>
        <w:tc>
          <w:tcPr>
            <w:tcW w:w="0" w:type="auto"/>
            <w:vMerge w:val="restart"/>
            <w:shd w:val="clear" w:color="auto" w:fill="BDD7EE"/>
            <w:vAlign w:val="center"/>
          </w:tcPr>
          <w:p w14:paraId="2817B729" w14:textId="77777777" w:rsidR="00067A32" w:rsidRPr="00930B4F" w:rsidRDefault="00067A32" w:rsidP="00AA08E6">
            <w:pPr>
              <w:widowControl w:val="0"/>
              <w:spacing w:after="0" w:line="240" w:lineRule="auto"/>
              <w:jc w:val="center"/>
              <w:rPr>
                <w:rFonts w:ascii="Times New Roman" w:eastAsia="Times New Roman" w:hAnsi="Times New Roman" w:cs="Times New Roman"/>
                <w:b/>
                <w:noProof/>
                <w:sz w:val="18"/>
                <w:szCs w:val="20"/>
              </w:rPr>
            </w:pPr>
            <w:r w:rsidRPr="00930B4F">
              <w:rPr>
                <w:rFonts w:ascii="Times New Roman" w:hAnsi="Times New Roman"/>
                <w:b/>
                <w:sz w:val="18"/>
                <w:szCs w:val="20"/>
              </w:rPr>
              <w:t>Katra atskaites punkta un mērķa apraksts</w:t>
            </w:r>
          </w:p>
        </w:tc>
      </w:tr>
      <w:tr w:rsidR="00930B4F" w:rsidRPr="00930B4F" w14:paraId="7B99BCD0" w14:textId="77777777" w:rsidTr="000860F9">
        <w:trPr>
          <w:jc w:val="center"/>
        </w:trPr>
        <w:tc>
          <w:tcPr>
            <w:tcW w:w="0" w:type="auto"/>
            <w:vMerge/>
            <w:vAlign w:val="center"/>
          </w:tcPr>
          <w:p w14:paraId="43B749EF" w14:textId="77777777" w:rsidR="00067A32" w:rsidRPr="00930B4F" w:rsidRDefault="00067A32" w:rsidP="00481482">
            <w:pPr>
              <w:widowControl w:val="0"/>
              <w:spacing w:after="0" w:line="240" w:lineRule="auto"/>
              <w:jc w:val="both"/>
              <w:rPr>
                <w:rFonts w:ascii="Times New Roman" w:hAnsi="Times New Roman" w:cs="Times New Roman"/>
                <w:noProof/>
                <w:sz w:val="18"/>
                <w:szCs w:val="20"/>
              </w:rPr>
            </w:pPr>
          </w:p>
        </w:tc>
        <w:tc>
          <w:tcPr>
            <w:tcW w:w="0" w:type="auto"/>
            <w:vMerge/>
            <w:vAlign w:val="center"/>
          </w:tcPr>
          <w:p w14:paraId="699C21F3" w14:textId="77777777" w:rsidR="00067A32" w:rsidRPr="00930B4F" w:rsidRDefault="00067A32" w:rsidP="00481482">
            <w:pPr>
              <w:widowControl w:val="0"/>
              <w:spacing w:after="0" w:line="240" w:lineRule="auto"/>
              <w:jc w:val="both"/>
              <w:rPr>
                <w:rFonts w:ascii="Times New Roman" w:hAnsi="Times New Roman" w:cs="Times New Roman"/>
                <w:noProof/>
                <w:sz w:val="18"/>
                <w:szCs w:val="20"/>
              </w:rPr>
            </w:pPr>
          </w:p>
        </w:tc>
        <w:tc>
          <w:tcPr>
            <w:tcW w:w="0" w:type="auto"/>
            <w:vMerge/>
            <w:vAlign w:val="center"/>
          </w:tcPr>
          <w:p w14:paraId="25CF5619" w14:textId="77777777" w:rsidR="00067A32" w:rsidRPr="00930B4F" w:rsidRDefault="00067A32" w:rsidP="00481482">
            <w:pPr>
              <w:widowControl w:val="0"/>
              <w:spacing w:after="0" w:line="240" w:lineRule="auto"/>
              <w:jc w:val="both"/>
              <w:rPr>
                <w:rFonts w:ascii="Times New Roman" w:hAnsi="Times New Roman" w:cs="Times New Roman"/>
                <w:noProof/>
                <w:sz w:val="18"/>
                <w:szCs w:val="20"/>
              </w:rPr>
            </w:pPr>
          </w:p>
        </w:tc>
        <w:tc>
          <w:tcPr>
            <w:tcW w:w="0" w:type="auto"/>
            <w:vMerge/>
            <w:vAlign w:val="center"/>
          </w:tcPr>
          <w:p w14:paraId="1E26C95D" w14:textId="77777777" w:rsidR="00067A32" w:rsidRPr="00930B4F" w:rsidRDefault="00067A32" w:rsidP="00481482">
            <w:pPr>
              <w:widowControl w:val="0"/>
              <w:spacing w:after="0" w:line="240" w:lineRule="auto"/>
              <w:jc w:val="both"/>
              <w:rPr>
                <w:rFonts w:ascii="Times New Roman" w:hAnsi="Times New Roman" w:cs="Times New Roman"/>
                <w:noProof/>
                <w:sz w:val="18"/>
                <w:szCs w:val="20"/>
              </w:rPr>
            </w:pPr>
          </w:p>
        </w:tc>
        <w:tc>
          <w:tcPr>
            <w:tcW w:w="0" w:type="auto"/>
            <w:vMerge/>
            <w:vAlign w:val="center"/>
          </w:tcPr>
          <w:p w14:paraId="5107A4D0" w14:textId="77777777" w:rsidR="00067A32" w:rsidRPr="00930B4F" w:rsidRDefault="00067A32" w:rsidP="00481482">
            <w:pPr>
              <w:widowControl w:val="0"/>
              <w:spacing w:after="0" w:line="240" w:lineRule="auto"/>
              <w:jc w:val="both"/>
              <w:rPr>
                <w:rFonts w:ascii="Times New Roman" w:hAnsi="Times New Roman" w:cs="Times New Roman"/>
                <w:noProof/>
                <w:sz w:val="18"/>
                <w:szCs w:val="20"/>
              </w:rPr>
            </w:pPr>
          </w:p>
        </w:tc>
        <w:tc>
          <w:tcPr>
            <w:tcW w:w="0" w:type="auto"/>
            <w:shd w:val="clear" w:color="auto" w:fill="BDD7EE"/>
            <w:vAlign w:val="center"/>
          </w:tcPr>
          <w:p w14:paraId="2D4AA9F6" w14:textId="77777777" w:rsidR="00067A32" w:rsidRPr="00930B4F" w:rsidRDefault="00067A32" w:rsidP="00AA08E6">
            <w:pPr>
              <w:widowControl w:val="0"/>
              <w:spacing w:after="0" w:line="240" w:lineRule="auto"/>
              <w:jc w:val="center"/>
              <w:rPr>
                <w:rFonts w:ascii="Times New Roman" w:eastAsia="Times New Roman" w:hAnsi="Times New Roman" w:cs="Times New Roman"/>
                <w:b/>
                <w:bCs/>
                <w:noProof/>
                <w:sz w:val="18"/>
                <w:szCs w:val="20"/>
              </w:rPr>
            </w:pPr>
            <w:r w:rsidRPr="00930B4F">
              <w:rPr>
                <w:rFonts w:ascii="Times New Roman" w:hAnsi="Times New Roman"/>
                <w:b/>
                <w:sz w:val="18"/>
                <w:szCs w:val="20"/>
              </w:rPr>
              <w:t>Mērvienība</w:t>
            </w:r>
          </w:p>
        </w:tc>
        <w:tc>
          <w:tcPr>
            <w:tcW w:w="0" w:type="auto"/>
            <w:shd w:val="clear" w:color="auto" w:fill="BDD7EE"/>
            <w:vAlign w:val="center"/>
          </w:tcPr>
          <w:p w14:paraId="24671983" w14:textId="45853F65" w:rsidR="00067A32" w:rsidRPr="00930B4F" w:rsidRDefault="00067A32" w:rsidP="00AA08E6">
            <w:pPr>
              <w:widowControl w:val="0"/>
              <w:spacing w:after="0" w:line="240" w:lineRule="auto"/>
              <w:jc w:val="center"/>
              <w:rPr>
                <w:rFonts w:ascii="Times New Roman" w:eastAsia="Times New Roman" w:hAnsi="Times New Roman" w:cs="Times New Roman"/>
                <w:b/>
                <w:bCs/>
                <w:noProof/>
                <w:sz w:val="18"/>
                <w:szCs w:val="20"/>
              </w:rPr>
            </w:pPr>
            <w:r w:rsidRPr="00930B4F">
              <w:rPr>
                <w:rFonts w:ascii="Times New Roman" w:hAnsi="Times New Roman"/>
                <w:b/>
                <w:sz w:val="18"/>
                <w:szCs w:val="20"/>
              </w:rPr>
              <w:t>Bāze</w:t>
            </w:r>
          </w:p>
        </w:tc>
        <w:tc>
          <w:tcPr>
            <w:tcW w:w="0" w:type="auto"/>
            <w:shd w:val="clear" w:color="auto" w:fill="BDD7EE"/>
            <w:vAlign w:val="center"/>
          </w:tcPr>
          <w:p w14:paraId="224A7395" w14:textId="23DDDA10" w:rsidR="00067A32" w:rsidRPr="00930B4F" w:rsidRDefault="00067A32" w:rsidP="00AA08E6">
            <w:pPr>
              <w:widowControl w:val="0"/>
              <w:spacing w:after="0" w:line="240" w:lineRule="auto"/>
              <w:jc w:val="center"/>
              <w:rPr>
                <w:rFonts w:ascii="Times New Roman" w:eastAsia="Times New Roman" w:hAnsi="Times New Roman" w:cs="Times New Roman"/>
                <w:b/>
                <w:bCs/>
                <w:noProof/>
                <w:sz w:val="18"/>
                <w:szCs w:val="20"/>
              </w:rPr>
            </w:pPr>
            <w:r w:rsidRPr="00930B4F">
              <w:rPr>
                <w:rFonts w:ascii="Times New Roman" w:hAnsi="Times New Roman"/>
                <w:b/>
                <w:sz w:val="18"/>
                <w:szCs w:val="20"/>
              </w:rPr>
              <w:t>Mērķis</w:t>
            </w:r>
          </w:p>
        </w:tc>
        <w:tc>
          <w:tcPr>
            <w:tcW w:w="0" w:type="auto"/>
            <w:shd w:val="clear" w:color="auto" w:fill="BDD7EE"/>
            <w:vAlign w:val="center"/>
          </w:tcPr>
          <w:p w14:paraId="1D40EF6D" w14:textId="11035F86" w:rsidR="00067A32" w:rsidRPr="00930B4F" w:rsidRDefault="00067A32" w:rsidP="00AA08E6">
            <w:pPr>
              <w:widowControl w:val="0"/>
              <w:spacing w:after="0" w:line="240" w:lineRule="auto"/>
              <w:jc w:val="center"/>
              <w:rPr>
                <w:rFonts w:ascii="Times New Roman" w:eastAsia="Times New Roman" w:hAnsi="Times New Roman" w:cs="Times New Roman"/>
                <w:b/>
                <w:bCs/>
                <w:noProof/>
                <w:sz w:val="18"/>
                <w:szCs w:val="20"/>
              </w:rPr>
            </w:pPr>
            <w:r w:rsidRPr="00930B4F">
              <w:rPr>
                <w:rFonts w:ascii="Times New Roman" w:hAnsi="Times New Roman"/>
                <w:b/>
                <w:sz w:val="18"/>
                <w:szCs w:val="20"/>
              </w:rPr>
              <w:t>Ceturksnis</w:t>
            </w:r>
          </w:p>
        </w:tc>
        <w:tc>
          <w:tcPr>
            <w:tcW w:w="0" w:type="auto"/>
            <w:shd w:val="clear" w:color="auto" w:fill="BDD7EE"/>
            <w:vAlign w:val="center"/>
          </w:tcPr>
          <w:p w14:paraId="5F2DE956" w14:textId="497444A3" w:rsidR="00067A32" w:rsidRPr="00930B4F" w:rsidRDefault="00067A32" w:rsidP="00AA08E6">
            <w:pPr>
              <w:widowControl w:val="0"/>
              <w:spacing w:after="0" w:line="240" w:lineRule="auto"/>
              <w:jc w:val="center"/>
              <w:rPr>
                <w:rFonts w:ascii="Times New Roman" w:eastAsia="Times New Roman" w:hAnsi="Times New Roman" w:cs="Times New Roman"/>
                <w:b/>
                <w:bCs/>
                <w:noProof/>
                <w:sz w:val="18"/>
                <w:szCs w:val="20"/>
              </w:rPr>
            </w:pPr>
            <w:r w:rsidRPr="00930B4F">
              <w:rPr>
                <w:rFonts w:ascii="Times New Roman" w:hAnsi="Times New Roman"/>
                <w:b/>
                <w:sz w:val="18"/>
                <w:szCs w:val="20"/>
              </w:rPr>
              <w:t>Gads</w:t>
            </w:r>
          </w:p>
        </w:tc>
        <w:tc>
          <w:tcPr>
            <w:tcW w:w="0" w:type="auto"/>
            <w:vMerge/>
          </w:tcPr>
          <w:p w14:paraId="7F5D5FAE" w14:textId="77777777" w:rsidR="00067A32" w:rsidRPr="00930B4F" w:rsidRDefault="00067A32" w:rsidP="00481482">
            <w:pPr>
              <w:widowControl w:val="0"/>
              <w:spacing w:after="0" w:line="240" w:lineRule="auto"/>
              <w:jc w:val="both"/>
              <w:rPr>
                <w:rFonts w:ascii="Times New Roman" w:hAnsi="Times New Roman" w:cs="Times New Roman"/>
                <w:noProof/>
                <w:sz w:val="18"/>
                <w:szCs w:val="20"/>
              </w:rPr>
            </w:pPr>
          </w:p>
        </w:tc>
        <w:tc>
          <w:tcPr>
            <w:tcW w:w="0" w:type="auto"/>
            <w:vMerge/>
          </w:tcPr>
          <w:p w14:paraId="3C2C9571" w14:textId="77777777" w:rsidR="00067A32" w:rsidRPr="00930B4F" w:rsidRDefault="00067A32" w:rsidP="00481482">
            <w:pPr>
              <w:widowControl w:val="0"/>
              <w:spacing w:after="0" w:line="240" w:lineRule="auto"/>
              <w:jc w:val="both"/>
              <w:rPr>
                <w:rFonts w:ascii="Times New Roman" w:hAnsi="Times New Roman" w:cs="Times New Roman"/>
                <w:noProof/>
                <w:sz w:val="18"/>
                <w:szCs w:val="20"/>
              </w:rPr>
            </w:pPr>
          </w:p>
        </w:tc>
        <w:tc>
          <w:tcPr>
            <w:tcW w:w="0" w:type="auto"/>
            <w:vMerge/>
          </w:tcPr>
          <w:p w14:paraId="156DD403" w14:textId="77777777" w:rsidR="00067A32" w:rsidRPr="00930B4F" w:rsidRDefault="00067A32" w:rsidP="00481482">
            <w:pPr>
              <w:widowControl w:val="0"/>
              <w:spacing w:after="0" w:line="240" w:lineRule="auto"/>
              <w:jc w:val="both"/>
              <w:rPr>
                <w:rFonts w:ascii="Times New Roman" w:hAnsi="Times New Roman" w:cs="Times New Roman"/>
                <w:noProof/>
                <w:sz w:val="18"/>
                <w:szCs w:val="20"/>
              </w:rPr>
            </w:pPr>
          </w:p>
        </w:tc>
        <w:tc>
          <w:tcPr>
            <w:tcW w:w="0" w:type="auto"/>
            <w:vMerge/>
            <w:vAlign w:val="center"/>
          </w:tcPr>
          <w:p w14:paraId="316B4744" w14:textId="77777777" w:rsidR="00067A32" w:rsidRPr="00930B4F" w:rsidRDefault="00067A32" w:rsidP="00481482">
            <w:pPr>
              <w:widowControl w:val="0"/>
              <w:spacing w:after="0" w:line="240" w:lineRule="auto"/>
              <w:jc w:val="both"/>
              <w:rPr>
                <w:rFonts w:ascii="Times New Roman" w:hAnsi="Times New Roman" w:cs="Times New Roman"/>
                <w:noProof/>
                <w:sz w:val="18"/>
                <w:szCs w:val="20"/>
              </w:rPr>
            </w:pPr>
          </w:p>
        </w:tc>
      </w:tr>
      <w:tr w:rsidR="00930B4F" w:rsidRPr="00930B4F" w14:paraId="46FF5134"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53ED71D8"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84</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7355617" w14:textId="77777777" w:rsidR="00067A32" w:rsidRPr="00930B4F" w:rsidRDefault="00067A32" w:rsidP="00481482">
            <w:pPr>
              <w:widowControl w:val="0"/>
              <w:spacing w:after="0" w:line="240" w:lineRule="auto"/>
              <w:jc w:val="both"/>
              <w:rPr>
                <w:rFonts w:ascii="Times New Roman" w:eastAsia="Calibri" w:hAnsi="Times New Roman" w:cs="Times New Roman"/>
                <w:b/>
                <w:bCs/>
                <w:noProof/>
                <w:sz w:val="18"/>
                <w:szCs w:val="20"/>
              </w:rPr>
            </w:pPr>
            <w:r w:rsidRPr="00930B4F">
              <w:rPr>
                <w:rFonts w:ascii="Times New Roman" w:hAnsi="Times New Roman"/>
                <w:b/>
                <w:sz w:val="18"/>
                <w:szCs w:val="20"/>
              </w:rPr>
              <w:t xml:space="preserve">3.1.1.r. Administratīvi teritoriālā reforma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4349C67"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Atskaites punkts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160F268"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Jauna Pašvaldību likuma stāšanās spēkā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F407B90" w14:textId="19D0FD8D"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Jaunā Pašvaldību likuma stāšanās spēkā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7D11FD9"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CBFAE2F"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08A1F90"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DE98CA9"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4. cet.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3C615D3"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2023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13FFED1" w14:textId="77777777"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Viedās administrācijas un reģionālās attīstības ministrija</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F1F767D"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51155BB" w14:textId="77777777" w:rsidR="00067A3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Pašvaldību likuma kopija un saite uz publikāciju oficiālajā izdevumā, tostarp atsauce uz noteikumu, kurā norādīta stāšanās spēkā, kam pievienots kopsavilkuma dokuments, kurā pienācīgi pamatots, kā tika apmierinoši sasniegts atskaites punkts, kopā ar atbilstošām saitēm uz pamatojošajiem pierādījumiem.</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512A2E0" w14:textId="52D41F24"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t>Pašvaldību likuma stāšanās spēkā, ar ko pārskata pašvaldību funkcijas un uzdevumus, lai tos salāgotu ar administratīvi teritoriālās reformas rezultātiem (ar ko aizstāj 1994. gada 19. maija likumu “Par pašvaldībām”). Tam jānodrošina labāka pārvaldība pēc pašvaldību administratīvi teritoriālās reformas, veicinot demokratizāciju un skaidrāku lēmumu pieņemšanas pilnvaru nošķiršanu no izpildpilnvaras, izveidojot skaidru kompetenču un funkciju dalījumu, samazinot varas koncentrāciju un regulāri palielinot vietējās kopienas līdzdalību.</w:t>
            </w:r>
          </w:p>
        </w:tc>
      </w:tr>
      <w:tr w:rsidR="00930B4F" w:rsidRPr="00930B4F" w14:paraId="00DD3DAE"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4BDB0BF6"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85</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D66AE91" w14:textId="77777777" w:rsidR="00067A32" w:rsidRPr="00930B4F" w:rsidRDefault="00067A32" w:rsidP="00481482">
            <w:pPr>
              <w:widowControl w:val="0"/>
              <w:spacing w:after="0" w:line="240" w:lineRule="auto"/>
              <w:jc w:val="both"/>
              <w:rPr>
                <w:rFonts w:ascii="Times New Roman" w:eastAsia="Calibri" w:hAnsi="Times New Roman" w:cs="Times New Roman"/>
                <w:b/>
                <w:bCs/>
                <w:noProof/>
                <w:sz w:val="18"/>
                <w:szCs w:val="20"/>
              </w:rPr>
            </w:pPr>
            <w:r w:rsidRPr="00930B4F">
              <w:rPr>
                <w:rFonts w:ascii="Times New Roman" w:hAnsi="Times New Roman"/>
                <w:b/>
                <w:sz w:val="18"/>
                <w:szCs w:val="20"/>
              </w:rPr>
              <w:t xml:space="preserve">3.1.1.1.i. Valsts </w:t>
            </w:r>
            <w:r w:rsidRPr="00930B4F">
              <w:rPr>
                <w:rFonts w:ascii="Times New Roman" w:hAnsi="Times New Roman"/>
                <w:b/>
                <w:sz w:val="18"/>
                <w:szCs w:val="20"/>
              </w:rPr>
              <w:lastRenderedPageBreak/>
              <w:t xml:space="preserve">reģionālo un vietējo autoceļu tīkla uzlabošana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743AE1E"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Mērķis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A7B8CA3"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Atjaunoti vai </w:t>
            </w:r>
            <w:r w:rsidRPr="00930B4F">
              <w:rPr>
                <w:rFonts w:ascii="Times New Roman" w:hAnsi="Times New Roman"/>
                <w:sz w:val="18"/>
                <w:szCs w:val="20"/>
              </w:rPr>
              <w:lastRenderedPageBreak/>
              <w:t xml:space="preserve">pārbūvēti valsts reģionālie un vietējie ceļi novadu administratīvo centru, to pakalpojumu un darbavietu drošai pieejamībai un jauno pašvaldību pilnīgai darbībai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0CF3DF4"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9889355"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km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788E79D"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0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A2A53AA"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70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4D89498"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4. cet.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3C98461"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2022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4E84C23" w14:textId="77777777"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 xml:space="preserve">Satiksmes </w:t>
            </w:r>
            <w:r w:rsidRPr="00930B4F">
              <w:rPr>
                <w:rFonts w:ascii="Times New Roman" w:hAnsi="Times New Roman"/>
                <w:sz w:val="18"/>
                <w:szCs w:val="20"/>
              </w:rPr>
              <w:lastRenderedPageBreak/>
              <w:t>ministrija, Valsts sabiedrība ar ierobežotu atbildību “Latvijas Valsts ceļi”, Viedās administrācijas un reģionālās attīstības ministrija, plānošanas reģioni, pašvaldības</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EBDBED1"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04E4B8B" w14:textId="77777777"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 xml:space="preserve">Kopsavilkuma </w:t>
            </w:r>
            <w:r w:rsidRPr="00930B4F">
              <w:rPr>
                <w:rFonts w:ascii="Times New Roman" w:hAnsi="Times New Roman"/>
                <w:sz w:val="18"/>
                <w:szCs w:val="20"/>
              </w:rPr>
              <w:lastRenderedPageBreak/>
              <w:t>dokuments, kurā pienācīgi pamatots, kā apmierinoši tika sasniegts mērķis “atjaunot vai pārbūvēt 70 km valsts reģionālo un vietējo ceļu” (tostarp visi būtiskie elementi), kopā ar atbilstošām saitēm uz pamatojošajiem pierādījumiem.</w:t>
            </w:r>
          </w:p>
          <w:p w14:paraId="51FC053B"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Šā dokumenta pielikumā iekļauj šādus dokumentārus pierādījumus:</w:t>
            </w:r>
          </w:p>
          <w:p w14:paraId="71D47E06" w14:textId="6C459C8E" w:rsidR="00067A3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a) projektu sarakstu un par katru projektu: - īsu aprakstu, tostarp par piekļuvi novadu administratīvajiem centriem, to pakalpojumiem un darbavietām un par attiecīgo pašvaldību pilnīgu darbību;</w:t>
            </w:r>
          </w:p>
          <w:p w14:paraId="6707CA2A" w14:textId="77777777" w:rsidR="0048148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 xml:space="preserve"> - to garumu kilometros un veidu (atjaunošana vai pārbūve), un pierādījumu, ka katrs projekts darbojas;</w:t>
            </w:r>
          </w:p>
          <w:p w14:paraId="7C64A4BA" w14:textId="77777777" w:rsidR="0048148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 xml:space="preserve">b) apliecinājuma par 70 km ceļu atjaunošanas vai pārbūves darbu pabeigšanu kopiju, </w:t>
            </w:r>
            <w:r w:rsidRPr="00930B4F">
              <w:rPr>
                <w:rFonts w:ascii="Times New Roman" w:hAnsi="Times New Roman"/>
                <w:sz w:val="18"/>
                <w:szCs w:val="20"/>
              </w:rPr>
              <w:lastRenderedPageBreak/>
              <w:t>tostarp pieņemšanas un nodošanas aktu vai citu atzinumu par pabeigtajiem darbiem attiecīgajā ceļa posmā, kas izdots saskaņā ar valsts tiesību aktiem;</w:t>
            </w:r>
          </w:p>
          <w:p w14:paraId="31AEBBF9"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c) atsauci uz attiecīgo valsts reģionālo un vietējo ceļu un projekta īstenošanas vietu;</w:t>
            </w:r>
          </w:p>
          <w:p w14:paraId="5A870D1E" w14:textId="14739884"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 xml:space="preserve">d) pierādījumus, ka ceļi ir Vides aizsardzības un reģionālās attīstības ministrijas prioritāri atjaunojamo un pārbūvējamo ceļu sarakstā.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A0F1D21" w14:textId="77777777"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Valsts reģionālie un </w:t>
            </w:r>
            <w:r w:rsidRPr="00930B4F">
              <w:rPr>
                <w:rFonts w:ascii="Times New Roman" w:hAnsi="Times New Roman"/>
                <w:sz w:val="18"/>
                <w:szCs w:val="20"/>
              </w:rPr>
              <w:lastRenderedPageBreak/>
              <w:t>vietējie ceļi ir atjaunoti un pārbūvēti, lai nodrošinātu piekļuvi novadu administratīvajiem centriem, to pakalpojumiem un darbavietām, kā arī lai nodrošinātu jauno pašvaldību pilnīgu darbību. Ceļu būvdarbi ietver investīcijas, kas uzlabo ceļu drošību.</w:t>
            </w:r>
          </w:p>
        </w:tc>
      </w:tr>
      <w:tr w:rsidR="00930B4F" w:rsidRPr="00930B4F" w14:paraId="3A5604F1"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4293E2A6"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86</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E6ADB1D" w14:textId="77777777" w:rsidR="00067A32" w:rsidRPr="00930B4F" w:rsidRDefault="00067A32" w:rsidP="00481482">
            <w:pPr>
              <w:widowControl w:val="0"/>
              <w:spacing w:after="0" w:line="240" w:lineRule="auto"/>
              <w:jc w:val="both"/>
              <w:rPr>
                <w:rFonts w:ascii="Times New Roman" w:eastAsia="Calibri" w:hAnsi="Times New Roman" w:cs="Times New Roman"/>
                <w:b/>
                <w:bCs/>
                <w:noProof/>
                <w:sz w:val="18"/>
                <w:szCs w:val="20"/>
              </w:rPr>
            </w:pPr>
            <w:r w:rsidRPr="00930B4F">
              <w:rPr>
                <w:rFonts w:ascii="Times New Roman" w:hAnsi="Times New Roman"/>
                <w:b/>
                <w:sz w:val="18"/>
                <w:szCs w:val="20"/>
              </w:rPr>
              <w:t xml:space="preserve">3.1.1.1.i. Valsts reģionālo un vietējo autoceļu tīkla uzlabošana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464C08D"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 Mērķis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83BB2F8"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Atjaunoti vai pārbūvēti valsts reģionālie un vietējie ceļi novadu administratīvo centru, to pakalpojumu un darbavietu drošai pieejamībai un jauno pašvaldību pilnīgai darbībai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54DB474"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1109040"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 km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37A8D03"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 70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F809AE9"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 210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3C3B489" w14:textId="5467674F"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4. cet.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5F1C815" w14:textId="13ECDDDE"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2024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7959F13" w14:textId="343B9FDC"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 xml:space="preserve">Satiksmes ministrija, Valsts sabiedrība ar ierobežotu atbildību “Latvijas Valsts ceļi”, Viedās administrācijas un reģionālās attīstības ministrija, plānošanas reģioni, </w:t>
            </w:r>
            <w:r w:rsidRPr="00930B4F">
              <w:rPr>
                <w:rFonts w:ascii="Times New Roman" w:hAnsi="Times New Roman"/>
                <w:sz w:val="18"/>
                <w:szCs w:val="20"/>
              </w:rPr>
              <w:lastRenderedPageBreak/>
              <w:t>pašvaldības</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20486BF"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2B24E57" w14:textId="77777777"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Kopsavilkuma dokuments, kurā pienācīgi pamatots, kā apmierinoši tika sasniegts mērķis “atjaunot vai pārbūvēt 210 km valsts reģionālo un vietējo ceļu” (tostarp visi būtiskie elementi), kopā ar atbilstošām saitēm uz pamatojošajiem pierādījumiem.</w:t>
            </w:r>
          </w:p>
          <w:p w14:paraId="6285F5B7"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 xml:space="preserve">Šā dokumenta pielikumā iekļauj </w:t>
            </w:r>
            <w:r w:rsidRPr="00930B4F">
              <w:rPr>
                <w:rFonts w:ascii="Times New Roman" w:hAnsi="Times New Roman"/>
                <w:sz w:val="18"/>
                <w:szCs w:val="20"/>
              </w:rPr>
              <w:lastRenderedPageBreak/>
              <w:t>šādus dokumentārus pierādījumus:</w:t>
            </w:r>
          </w:p>
          <w:p w14:paraId="2E2C704C"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a) projektu sarakstu un par katru projektu:</w:t>
            </w:r>
          </w:p>
          <w:p w14:paraId="36FD4378" w14:textId="1F377912" w:rsidR="00067A3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 īsu aprakstu, tostarp par piekļuvi novadu administratīvajiem centriem, to pakalpojumiem un darbavietām un par attiecīgo pašvaldību pilnīgu darbību;</w:t>
            </w:r>
          </w:p>
          <w:p w14:paraId="481B05A1" w14:textId="77777777" w:rsidR="0048148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 xml:space="preserve"> - to garumu kilometros un veidu (atjaunošana vai pārbūve), un pierādījumu, ka katrs projekts darbojas;</w:t>
            </w:r>
          </w:p>
          <w:p w14:paraId="2BAD021A" w14:textId="411B1C57" w:rsidR="00067A3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b) apliecinājuma par 210 km ceļu atjaunošanas vai pārbūves darbu pabeigšanu kopiju, tostarp pieņemšanas un nodošanas aktu vai citu atzinumu par pabeigtajiem darbiem attiecīgajā ceļa posmā, kas izdots saskaņā ar valsts tiesību aktiem;</w:t>
            </w:r>
          </w:p>
          <w:p w14:paraId="5494936E"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c) atsauci uz attiecīgo valsts reģionālo un vietējo ceļu un projekta īstenošanas vietu;</w:t>
            </w:r>
          </w:p>
          <w:p w14:paraId="6FFFF561" w14:textId="4BA04282"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 xml:space="preserve">d) pierādījumus, ka ceļi ir Vides </w:t>
            </w:r>
            <w:r w:rsidRPr="00930B4F">
              <w:rPr>
                <w:rFonts w:ascii="Times New Roman" w:hAnsi="Times New Roman"/>
                <w:sz w:val="18"/>
                <w:szCs w:val="20"/>
              </w:rPr>
              <w:lastRenderedPageBreak/>
              <w:t>aizsardzības un reģionālās attīstības ministrijas prioritāri atjaunojamo un pārbūvējamo ceļu sarakstā.</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97576A9" w14:textId="2140BD06"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Valsts reģionālie un vietējie ceļi ir atjaunoti un pārbūvēti, lai nodrošinātu piekļuvi novadu administratīvajiem centriem, to pakalpojumiem un darbavietām, kā arī lai nodrošinātu jauno pašvaldību pilnīgu darbību. Ceļu būvdarbi ietver investīcijas, kas uzlabo ceļu </w:t>
            </w:r>
            <w:r w:rsidRPr="00930B4F">
              <w:rPr>
                <w:rFonts w:ascii="Times New Roman" w:hAnsi="Times New Roman"/>
                <w:sz w:val="18"/>
                <w:szCs w:val="20"/>
              </w:rPr>
              <w:lastRenderedPageBreak/>
              <w:t>drošību.</w:t>
            </w:r>
          </w:p>
        </w:tc>
      </w:tr>
      <w:tr w:rsidR="00930B4F" w:rsidRPr="00930B4F" w14:paraId="6C034F8F"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11085956"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89</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857EC2C" w14:textId="77777777" w:rsidR="00067A32" w:rsidRPr="00930B4F" w:rsidRDefault="00067A32" w:rsidP="00481482">
            <w:pPr>
              <w:widowControl w:val="0"/>
              <w:spacing w:after="0" w:line="240" w:lineRule="auto"/>
              <w:jc w:val="both"/>
              <w:rPr>
                <w:rFonts w:ascii="Times New Roman" w:eastAsia="Calibri" w:hAnsi="Times New Roman" w:cs="Times New Roman"/>
                <w:b/>
                <w:bCs/>
                <w:noProof/>
                <w:sz w:val="18"/>
                <w:szCs w:val="20"/>
              </w:rPr>
            </w:pPr>
            <w:r w:rsidRPr="00930B4F">
              <w:rPr>
                <w:rFonts w:ascii="Times New Roman" w:hAnsi="Times New Roman"/>
                <w:b/>
                <w:sz w:val="18"/>
                <w:szCs w:val="20"/>
              </w:rPr>
              <w:t xml:space="preserve">3.1.1.2.i. Pašvaldību kapacitātes stiprināšana to darbības efektivitātes un kvalitātes uzlabošanai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00C02BE"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Atskaites punkts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7D1F3AF"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Ir pieņemts juridiskais pamats, lai īstenotu atbalstu vietējo pašvaldību kapacitātes celšanai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C7E7769"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Ir pieņemti Ministru kabineta noteikumi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AB7D422"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951DFC9"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5030E24"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142590A"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4. cet.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95EA5EF"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2022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F107860" w14:textId="6DC61401"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Viedās administrācijas un reģionālās attīstības ministrija</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5E6B758"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F1474DA" w14:textId="77777777" w:rsidR="00067A3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Ministru kabineta noteikumu kopija un saite uz publikāciju oficiālajā izdevumā, tostarp atsauce uz noteikumu, kurā norādīta stāšanās spēkā, kam pievienots kopsavilkuma dokuments, kurā pienācīgi pamatots, kā tika apmierinoši sasniegts atskaites punkts, kopā ar atbilstošām saitēm uz pamatojošajiem pierādījumiem.</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ED3866A" w14:textId="77777777"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t>Ir pieņemts Ministru kabineta regulējums, lai ieviestu atbalstu pašvaldību kapacitātes celšanai, t. sk.:</w:t>
            </w:r>
          </w:p>
          <w:p w14:paraId="5130139A" w14:textId="77777777" w:rsidR="0048148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t>a) noteikts pašvaldību kapacitātes celšanas tvērums un kritēriji;</w:t>
            </w:r>
          </w:p>
          <w:p w14:paraId="04CAED3A" w14:textId="77777777" w:rsidR="0048148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t>b) pašvaldību publisko pakalpojumu novērtējumi;</w:t>
            </w:r>
          </w:p>
          <w:p w14:paraId="79E443B8" w14:textId="77777777" w:rsidR="0048148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t>c) metodoloģiskā atbalsta sniegšana un kapacitātes celšana;</w:t>
            </w:r>
          </w:p>
          <w:p w14:paraId="4B7F4192" w14:textId="7E075211"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t xml:space="preserve">d) izmēģināti pašvaldību publisko pakalpojumu plānošanas un sniegšanas veidi. </w:t>
            </w:r>
          </w:p>
        </w:tc>
      </w:tr>
      <w:tr w:rsidR="00930B4F" w:rsidRPr="00930B4F" w14:paraId="219D0161"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561012C4"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90</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1ACBFBF" w14:textId="77777777" w:rsidR="00067A32" w:rsidRPr="00930B4F" w:rsidRDefault="00067A32" w:rsidP="00481482">
            <w:pPr>
              <w:widowControl w:val="0"/>
              <w:spacing w:after="0" w:line="240" w:lineRule="auto"/>
              <w:jc w:val="both"/>
              <w:rPr>
                <w:rFonts w:ascii="Times New Roman" w:eastAsia="Calibri" w:hAnsi="Times New Roman" w:cs="Times New Roman"/>
                <w:b/>
                <w:bCs/>
                <w:noProof/>
                <w:sz w:val="18"/>
                <w:szCs w:val="20"/>
              </w:rPr>
            </w:pPr>
            <w:r w:rsidRPr="00930B4F">
              <w:rPr>
                <w:rFonts w:ascii="Times New Roman" w:hAnsi="Times New Roman"/>
                <w:b/>
                <w:sz w:val="18"/>
                <w:szCs w:val="20"/>
              </w:rPr>
              <w:t xml:space="preserve">3.1.1.2.i. Pašvaldību kapacitātes stiprināšana to darbības efektivitātes un kvalitātes </w:t>
            </w:r>
            <w:r w:rsidRPr="00930B4F">
              <w:rPr>
                <w:rFonts w:ascii="Times New Roman" w:hAnsi="Times New Roman"/>
                <w:b/>
                <w:sz w:val="18"/>
                <w:szCs w:val="20"/>
              </w:rPr>
              <w:lastRenderedPageBreak/>
              <w:t xml:space="preserve">uzlabošanai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B44D45C"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Atskaites punkts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A939C52"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Pašvaldību publisko pakalpojumu novērtējuma pabeigšana, trūkumu konstatēšana un </w:t>
            </w:r>
            <w:r w:rsidRPr="00930B4F">
              <w:rPr>
                <w:rFonts w:ascii="Times New Roman" w:hAnsi="Times New Roman"/>
                <w:sz w:val="18"/>
                <w:szCs w:val="20"/>
              </w:rPr>
              <w:lastRenderedPageBreak/>
              <w:t xml:space="preserve">šo pakalpojumu uzlabošanas pasākumi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BE0D9E5" w14:textId="3BA350C0"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Novērtējuma pabeigšana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C13F372"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46F1A4D"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550FD86"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F1AD9C4"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4. cet.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421171B"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2024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4805E05" w14:textId="3CBE5EAC"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Viedās administrācijas un reģionālās attīstības ministrija</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BA3BF5B"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98D6A4F" w14:textId="77777777" w:rsidR="0048148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 xml:space="preserve">Kopsavilkuma dokuments, kurā pienācīgi pamatots, kā tika apmierinoši sasniegts atskaites punkts (tostarp visi būtiskie elementi), </w:t>
            </w:r>
            <w:r w:rsidRPr="00930B4F">
              <w:rPr>
                <w:rFonts w:ascii="Times New Roman" w:hAnsi="Times New Roman"/>
                <w:sz w:val="18"/>
                <w:szCs w:val="20"/>
              </w:rPr>
              <w:lastRenderedPageBreak/>
              <w:t>kopā ar atbilstošām saitēm uz pamatojošajiem pierādījumiem.</w:t>
            </w:r>
          </w:p>
          <w:p w14:paraId="1B236838" w14:textId="006764A9" w:rsidR="00067A3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Šā dokumenta pielikumā iekļauj tāda pabeigta ziņojuma kopiju, kurā ir novērtēta pašvaldību sniegto publisko pakalpojumu efektivitāte, identificētas nepilnības un sniegti pakalpojumu uzlabošanas pasākumi.</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861F912" w14:textId="77777777"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Pašvaldību publisko pakalpojumu sniegšanas efektivitātes novērtējuma pabeigšana saskaņā </w:t>
            </w:r>
            <w:r w:rsidRPr="00930B4F">
              <w:rPr>
                <w:rFonts w:ascii="Times New Roman" w:hAnsi="Times New Roman"/>
                <w:sz w:val="18"/>
                <w:szCs w:val="20"/>
              </w:rPr>
              <w:lastRenderedPageBreak/>
              <w:t xml:space="preserve">ar Ministru kabineta regulējumu par pašvaldību kapacitātes celšanas atbalsta īstenošanu. </w:t>
            </w:r>
          </w:p>
        </w:tc>
      </w:tr>
      <w:tr w:rsidR="00930B4F" w:rsidRPr="00930B4F" w14:paraId="3FD0B5C9"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1F4AB7EA"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91</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07E3F0A" w14:textId="77777777" w:rsidR="00067A32" w:rsidRPr="00930B4F" w:rsidRDefault="00067A32" w:rsidP="00481482">
            <w:pPr>
              <w:widowControl w:val="0"/>
              <w:spacing w:after="0" w:line="240" w:lineRule="auto"/>
              <w:jc w:val="both"/>
              <w:rPr>
                <w:rFonts w:ascii="Times New Roman" w:eastAsia="Calibri" w:hAnsi="Times New Roman" w:cs="Times New Roman"/>
                <w:b/>
                <w:bCs/>
                <w:noProof/>
                <w:sz w:val="18"/>
                <w:szCs w:val="20"/>
              </w:rPr>
            </w:pPr>
            <w:r w:rsidRPr="00930B4F">
              <w:rPr>
                <w:rFonts w:ascii="Times New Roman" w:hAnsi="Times New Roman"/>
                <w:b/>
                <w:sz w:val="18"/>
                <w:szCs w:val="20"/>
              </w:rPr>
              <w:t xml:space="preserve">3.1.1.2.i. Pašvaldību kapacitātes stiprināšana to darbības efektivitātes un kvalitātes uzlabošanai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6450A7E"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Mērķis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1B075E4"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Sagatavoto pašvaldību darbinieku skaits</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9A777CE"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8ABFAB9"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Skaits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8BE395D"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0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4AB7A6E"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750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184990B"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4. cet.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6EFEE9F"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2024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DA2295F" w14:textId="14713C4D"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Viedās administrācijas un reģionālās attīstības ministrija</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119FE1F"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D36D895" w14:textId="77777777"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7E570E45"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Šā dokumenta pielikumā iekļauj šādus dokumentārus pierādījumus:</w:t>
            </w:r>
          </w:p>
          <w:p w14:paraId="6912C520" w14:textId="77777777" w:rsidR="0048148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 xml:space="preserve">a) anonimizētu sarakstu ar vietējo pašvaldību darbiniekiem, kas pabeiguši vismaz vienu mācību </w:t>
            </w:r>
            <w:r w:rsidRPr="00930B4F">
              <w:rPr>
                <w:rFonts w:ascii="Times New Roman" w:hAnsi="Times New Roman"/>
                <w:sz w:val="18"/>
                <w:szCs w:val="20"/>
              </w:rPr>
              <w:lastRenderedPageBreak/>
              <w:t>programmu, tostarp ar pašvaldību darbinieku, kas iekļauti mācību pasākumos, identifikācijas numuru un atsaucēm uz izsniegtajiem sertifikātiem vai citiem dokumentiem, kas apliecina mācību pasākuma pabeigšanu, nodrošinot, ka mācību apraksts ļauj pārbaudīt atbilstību mērķa aprakstam;</w:t>
            </w:r>
          </w:p>
          <w:p w14:paraId="6D779846" w14:textId="77777777" w:rsidR="0048148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b) kāda veida mācības ir sniegtas 750 pašvaldību darbiniekiem, sniedzot aprakstu par mācību saturu un to, kā ir uzlabojušās pašvaldību darbinieku zināšanas un celta kvalifikācija, pamatojoties uz pašvaldību speciālistu novērtējumu, ko veikusi attiecīgā ministrija;</w:t>
            </w:r>
          </w:p>
          <w:p w14:paraId="7EF64ABB" w14:textId="2D533DD3" w:rsidR="00067A3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 xml:space="preserve">c) ziņojumu par metodoloģisko atbalstu, kas sniegts darbam pašvaldībās pēc administratīvi teritoriālās reformas.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EB7C812" w14:textId="77777777" w:rsidR="0048148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lastRenderedPageBreak/>
              <w:t>Sagatavoto pašvaldību darbinieku skaits, kam uzlabotas zināšanas un celta kvalifikācija, kā arī sniegts metodoloģiskais atbalsts darbam pašvaldībās pēc administratīvi teritoriālās reformas.</w:t>
            </w:r>
          </w:p>
          <w:p w14:paraId="4932E039" w14:textId="74DB21B5"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t xml:space="preserve">Mācības un citi kapacitātes celšanas pasākumi ir veikti, pamatojoties uz pakalpojumu un pašvaldību kapacitātes </w:t>
            </w:r>
            <w:r w:rsidRPr="00930B4F">
              <w:rPr>
                <w:rFonts w:ascii="Times New Roman" w:hAnsi="Times New Roman"/>
                <w:sz w:val="18"/>
                <w:szCs w:val="20"/>
              </w:rPr>
              <w:lastRenderedPageBreak/>
              <w:t xml:space="preserve">novērtējumu. </w:t>
            </w:r>
          </w:p>
        </w:tc>
      </w:tr>
      <w:tr w:rsidR="00930B4F" w:rsidRPr="00930B4F" w14:paraId="46E04051"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44DABA02"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92</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61EBE57" w14:textId="77777777" w:rsidR="00067A32" w:rsidRPr="00930B4F" w:rsidRDefault="00067A32" w:rsidP="00481482">
            <w:pPr>
              <w:widowControl w:val="0"/>
              <w:spacing w:after="0" w:line="240" w:lineRule="auto"/>
              <w:jc w:val="both"/>
              <w:rPr>
                <w:rFonts w:ascii="Times New Roman" w:eastAsia="Calibri" w:hAnsi="Times New Roman" w:cs="Times New Roman"/>
                <w:b/>
                <w:bCs/>
                <w:noProof/>
                <w:sz w:val="18"/>
                <w:szCs w:val="20"/>
              </w:rPr>
            </w:pPr>
            <w:r w:rsidRPr="00930B4F">
              <w:rPr>
                <w:rFonts w:ascii="Times New Roman" w:hAnsi="Times New Roman"/>
                <w:b/>
                <w:sz w:val="18"/>
                <w:szCs w:val="20"/>
              </w:rPr>
              <w:t xml:space="preserve">3.1.1.2.i. Pašvaldību kapacitātes stiprināšana to darbības efektivitātes un kvalitātes uzlabošanai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478BA64"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Mērķis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6935D4E"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Sagatavoto pašvaldību darbinieku skaits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E6F3E0C"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CAC1B7C"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Skaits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1A76F09"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750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F5BAA60"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1300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AA3F353"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3. cet.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EBA97CF"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2026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75EC62E" w14:textId="11DA4AFF"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Viedās administrācijas un reģionālās attīstības ministrija</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9E58E5B"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6930303" w14:textId="77777777"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63C9FBB0"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Šā dokumenta pielikumā iekļauj šādus dokumentārus pierādījumus:</w:t>
            </w:r>
          </w:p>
          <w:p w14:paraId="398C80A4" w14:textId="64747C1B" w:rsidR="00067A3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a) anonimizētu sarakstu ar vietējo pašvaldību darbiniekiem, kas pabeiguši vismaz vienu mācību programmu (papildus tiem, kas norādīti saskaņā ar 91. mērķi), tostarp ar pašvaldību darbinieku, kas iekļauti mācību pasākumos, identifikācijas numuru un atsaucēm uz izsniegtajiem sertifikātiem vai citiem dokumentiem, kas apliecina mācību pasākuma pabeigšanu, nodrošinot, ka mācību apraksts ļauj pārbaudīt atbilstību mērķa aprakstam;</w:t>
            </w:r>
          </w:p>
          <w:p w14:paraId="5E2FDF1B" w14:textId="7209BB66"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lastRenderedPageBreak/>
              <w:t>b) kāda veida mācības ir sniegtas 1300 pašvaldību darbiniekiem, sniedzot aprakstu par mācību saturu un to, kā ir uzlabojušās pašvaldību darbinieku zināšanas un celta kvalifikācija, pamatojoties uz pašvaldību speciālistu novērtējumu, ko veikusi attiecīgā ministrija;</w:t>
            </w:r>
          </w:p>
          <w:p w14:paraId="6D8EEC3E" w14:textId="33E957F9" w:rsidR="00067A3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c) ziņojumu par metodoloģisko atbalstu, kas sniegts darbam pašvaldībās pēc administratīvi teritoriālās reformas.</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85D1CAA" w14:textId="77777777" w:rsidR="0048148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lastRenderedPageBreak/>
              <w:t>Sagatavoto pašvaldību darbinieku skaits, kam uzlabotas zināšanas un celta kvalifikācija, kā arī sniegts metodoloģiskais atbalsts darbam pašvaldībās pēc administratīvi teritoriālās reformas.</w:t>
            </w:r>
          </w:p>
          <w:p w14:paraId="5BD9A01C" w14:textId="3BAC9F03"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t>Mācības un citi kapacitātes celšanas pasākumi ir veikti, pamatojoties uz pakalpojumu un pašvaldību kapacitātes novērtējumu.</w:t>
            </w:r>
          </w:p>
        </w:tc>
      </w:tr>
      <w:tr w:rsidR="00930B4F" w:rsidRPr="00930B4F" w14:paraId="0CDC4A91"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24103DB7"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93</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E1C6A9A" w14:textId="77777777" w:rsidR="00067A32" w:rsidRPr="00930B4F" w:rsidRDefault="00067A32" w:rsidP="00481482">
            <w:pPr>
              <w:widowControl w:val="0"/>
              <w:spacing w:after="0" w:line="240" w:lineRule="auto"/>
              <w:jc w:val="both"/>
              <w:rPr>
                <w:rFonts w:ascii="Times New Roman" w:eastAsia="Calibri" w:hAnsi="Times New Roman" w:cs="Times New Roman"/>
                <w:b/>
                <w:bCs/>
                <w:noProof/>
                <w:sz w:val="18"/>
                <w:szCs w:val="20"/>
              </w:rPr>
            </w:pPr>
            <w:r w:rsidRPr="00930B4F">
              <w:rPr>
                <w:rFonts w:ascii="Times New Roman" w:hAnsi="Times New Roman"/>
                <w:b/>
                <w:sz w:val="18"/>
                <w:szCs w:val="20"/>
              </w:rPr>
              <w:t xml:space="preserve">3.1.1.3.i. Investīcijas uzņēmējdarbības publiskajā infrastruktūrā industriālo parku un teritoriju attīstīšanai reģionos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332569C"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Atskaites punkts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D316F24" w14:textId="61A4733A"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Atbalsta programmas industriālo parku un teritoriju attīstīšanai reģionos pieņemšana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C81BB6D"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Ir pieņemti Ministru kabineta noteikumi un saskaņota atbalsta programma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8002E79"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A03A4C2"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8D4874A"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C56C912"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4. cet.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86C914F" w14:textId="066153DA"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2022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80F280A" w14:textId="77777777"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Viedās administrācijas un reģionālās attīstības ministrija, Ekonomikas ministrija</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87FE526"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D868A4B" w14:textId="77777777" w:rsidR="00067A3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 xml:space="preserve">Ministru kabineta noteikumu kopija un saite uz publikāciju oficiālajā izdevumā, tostarp atsauce uz noteikumu, kurā norādīta stāšanās spēkā, kā arī atbalsta programmas kopija industriālo parku un teritoriju attīstīšanai reģionos, kam pievienots kopsavilkuma dokuments, kurā pienācīgi pamatots, kā </w:t>
            </w:r>
            <w:r w:rsidRPr="00930B4F">
              <w:rPr>
                <w:rFonts w:ascii="Times New Roman" w:hAnsi="Times New Roman"/>
                <w:sz w:val="18"/>
                <w:szCs w:val="20"/>
              </w:rPr>
              <w:lastRenderedPageBreak/>
              <w:t>tika apmierinoši sasniegts atskaites punkts kopā ar atbilstošām saitēm uz pamatojošajiem pierādījumiem.</w:t>
            </w:r>
          </w:p>
          <w:p w14:paraId="1D742E86" w14:textId="77777777" w:rsidR="00067A3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Kopsavilkuma dokumentā iekļauj pierādījumus par atlases kritērijiem atbalsta sniegšanai industriālajiem rajoniem un paskaidrojumu, kā šie kritēriji nodrošina atlasīto projektu atbilstību Tehniskajiem norādījumiem par principa “nenodarīt būtisku kaitējumu” piemērošanu (2021/C58/01), kā noteikts Padomes Īstenošanas lēmuma pielikumā, un prasībai par atbilstību attiecīgajiem ES un valsts tiesību aktiem vides jomā.</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D2984E7" w14:textId="77777777"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Ir izstrādāti un pieņemti Ministru kabineta noteikumi par nosacījumiem un kritērijiem atbalsta sniegšanai industriālajiem rajoniem. Atlases kritēriji nodrošina, ka atlasītie projekti atbilst Tehniskajiem norādījumiem par principa “nenodarīt būtisku kaitējumu” piemērošanu </w:t>
            </w:r>
            <w:r w:rsidRPr="00930B4F">
              <w:rPr>
                <w:rFonts w:ascii="Times New Roman" w:hAnsi="Times New Roman"/>
                <w:sz w:val="18"/>
                <w:szCs w:val="20"/>
              </w:rPr>
              <w:lastRenderedPageBreak/>
              <w:t>(2021/C58/01), izmantojot izslēgšanas sarakstu un prasību nodrošināt atbilstību attiecīgajiem ES un valsts tiesību aktiem vides jomā.</w:t>
            </w:r>
          </w:p>
        </w:tc>
      </w:tr>
      <w:tr w:rsidR="00930B4F" w:rsidRPr="00930B4F" w14:paraId="0D9756A8"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7A255C70"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94</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65824A2" w14:textId="77777777" w:rsidR="00067A32" w:rsidRPr="00930B4F" w:rsidRDefault="00067A32" w:rsidP="00481482">
            <w:pPr>
              <w:widowControl w:val="0"/>
              <w:spacing w:after="0" w:line="240" w:lineRule="auto"/>
              <w:jc w:val="both"/>
              <w:rPr>
                <w:rFonts w:ascii="Times New Roman" w:eastAsia="Calibri" w:hAnsi="Times New Roman" w:cs="Times New Roman"/>
                <w:b/>
                <w:bCs/>
                <w:noProof/>
                <w:sz w:val="18"/>
                <w:szCs w:val="20"/>
              </w:rPr>
            </w:pPr>
            <w:r w:rsidRPr="00930B4F">
              <w:rPr>
                <w:rFonts w:ascii="Times New Roman" w:hAnsi="Times New Roman"/>
                <w:b/>
                <w:sz w:val="18"/>
                <w:szCs w:val="20"/>
              </w:rPr>
              <w:t xml:space="preserve">3.1.1.3.i. Investīcijas uzņēmējdarbības publiskajā infrastruktūrā industriālo parku un </w:t>
            </w:r>
            <w:r w:rsidRPr="00930B4F">
              <w:rPr>
                <w:rFonts w:ascii="Times New Roman" w:hAnsi="Times New Roman"/>
                <w:b/>
                <w:sz w:val="18"/>
                <w:szCs w:val="20"/>
              </w:rPr>
              <w:lastRenderedPageBreak/>
              <w:t xml:space="preserve">teritoriju attīstīšanai reģionos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E821CB6"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Atskaites punkts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094655B"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Līgumu slēgšanas tiesību piešķiršana industriālo parku attīstīšanai reģionos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8013BFC"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Līgumu slēgšanas tiesību piešķiršana projektu īstenošanai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26709EA"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5F427E7"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2ABB736"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0A07AD7"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4. cet.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7957D58"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2023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CF680E6" w14:textId="77777777"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 xml:space="preserve">Viedās administrācijas un reģionālās attīstības ministrija, Ekonomikas </w:t>
            </w:r>
            <w:r w:rsidRPr="00930B4F">
              <w:rPr>
                <w:rFonts w:ascii="Times New Roman" w:hAnsi="Times New Roman"/>
                <w:sz w:val="18"/>
                <w:szCs w:val="20"/>
              </w:rPr>
              <w:lastRenderedPageBreak/>
              <w:t>ministrija, Centrālā finanšu un līgumu aģentūra</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7BBA88F"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53E47D9" w14:textId="77777777"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 xml:space="preserve">Kopsavilkuma dokuments, kurā pienācīgi pamatots, kā tika apmierinoši sasniegts atskaites punkts (tostarp visi būtiskie elementi), </w:t>
            </w:r>
            <w:r w:rsidRPr="00930B4F">
              <w:rPr>
                <w:rFonts w:ascii="Times New Roman" w:hAnsi="Times New Roman"/>
                <w:sz w:val="18"/>
                <w:szCs w:val="20"/>
              </w:rPr>
              <w:lastRenderedPageBreak/>
              <w:t>kopā ar atbilstošām saitēm uz pamatojošajiem pierādījumiem.</w:t>
            </w:r>
          </w:p>
          <w:p w14:paraId="315717C4" w14:textId="77777777" w:rsidR="00067A3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Šā dokumenta pielikumā iekļauj sarakstu ar publikācijām par līguma piešķiršanas tiesībām industriālo parku attīstīšanai, par katru no piešķirtajām līgumu slēgšanas tiesībām norādot:</w:t>
            </w:r>
          </w:p>
          <w:p w14:paraId="714616BB"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a) atsauci un saiti uz oficiālo izdevumu vai datubāzi (piemēram, Kohēzijas politikas fondu vadības informācijas sistēmu), kur ir publicēta informācija par attiecīgā līguma piešķiršanu;</w:t>
            </w:r>
          </w:p>
          <w:p w14:paraId="1F7132BD"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b) izrakstu no attiecīgajām iepirkuma konkursa specifikācijas daļām, kas apliecina atbilstību Padomes Īstenošanas lēmumā sniegtajam mērķa un investīciju aprakstam;</w:t>
            </w:r>
          </w:p>
          <w:p w14:paraId="39F48BA6" w14:textId="0EE5C2DC" w:rsidR="00067A3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 xml:space="preserve">c) paskaidrojumu, kā šie kritēriji nodrošina, ka atlasītie projekti atbilst Tehniskajiem norādījumiem par </w:t>
            </w:r>
            <w:r w:rsidRPr="00930B4F">
              <w:rPr>
                <w:rFonts w:ascii="Times New Roman" w:hAnsi="Times New Roman"/>
                <w:sz w:val="18"/>
                <w:szCs w:val="20"/>
              </w:rPr>
              <w:lastRenderedPageBreak/>
              <w:t>principa “nenodarīt būtisku kaitējumu” piemērošanu (2021/C58/01), kā noteikts Padomes Īstenošanas lēmuma pielikumā, un prasībai par atbilstību attiecīgajiem ES un valsts tiesību aktiem vides jomā.</w:t>
            </w:r>
          </w:p>
          <w:p w14:paraId="759E36BE" w14:textId="77777777" w:rsidR="00067A32" w:rsidRPr="00930B4F" w:rsidRDefault="00067A32" w:rsidP="00B20686">
            <w:pPr>
              <w:widowControl w:val="0"/>
              <w:spacing w:after="0" w:line="240" w:lineRule="auto"/>
              <w:rPr>
                <w:rFonts w:ascii="Times New Roman" w:eastAsia="Calibri" w:hAnsi="Times New Roman" w:cs="Times New Roman"/>
                <w:noProof/>
                <w:sz w:val="18"/>
                <w:szCs w:val="20"/>
              </w:rPr>
            </w:pPr>
          </w:p>
          <w:p w14:paraId="5D55A0A7" w14:textId="77777777" w:rsidR="00481482" w:rsidRPr="00930B4F" w:rsidRDefault="00067A32" w:rsidP="00B20686">
            <w:pPr>
              <w:widowControl w:val="0"/>
              <w:spacing w:after="0" w:line="240" w:lineRule="auto"/>
              <w:rPr>
                <w:rFonts w:ascii="Times New Roman" w:hAnsi="Times New Roman" w:cs="Calibri"/>
                <w:noProof/>
                <w:sz w:val="18"/>
                <w:szCs w:val="20"/>
              </w:rPr>
            </w:pPr>
            <w:r w:rsidRPr="00930B4F">
              <w:rPr>
                <w:rFonts w:ascii="Times New Roman" w:hAnsi="Times New Roman"/>
                <w:i/>
                <w:iCs/>
                <w:sz w:val="18"/>
                <w:szCs w:val="20"/>
              </w:rPr>
              <w:t>ETS</w:t>
            </w:r>
            <w:r w:rsidRPr="00930B4F">
              <w:rPr>
                <w:rFonts w:ascii="Times New Roman" w:hAnsi="Times New Roman"/>
                <w:sz w:val="18"/>
                <w:szCs w:val="20"/>
              </w:rPr>
              <w:t xml:space="preserve"> iekārtu gadījumā šajā dokumentā iekļauj šādu informāciju:</w:t>
            </w:r>
          </w:p>
          <w:p w14:paraId="76CF21BC" w14:textId="77777777" w:rsidR="00481482" w:rsidRPr="00930B4F" w:rsidRDefault="00067A32" w:rsidP="00B20686">
            <w:pPr>
              <w:widowControl w:val="0"/>
              <w:spacing w:after="0" w:line="240" w:lineRule="auto"/>
              <w:rPr>
                <w:rFonts w:ascii="Times New Roman" w:hAnsi="Times New Roman" w:cs="Calibri"/>
                <w:noProof/>
                <w:sz w:val="18"/>
                <w:szCs w:val="20"/>
              </w:rPr>
            </w:pPr>
            <w:r w:rsidRPr="00930B4F">
              <w:rPr>
                <w:rFonts w:ascii="Times New Roman" w:hAnsi="Times New Roman"/>
                <w:sz w:val="18"/>
                <w:szCs w:val="20"/>
              </w:rPr>
              <w:t>1) iekārtas ID / lidaparātu ekspluatanta ID Eiropas Savienības darījumu žurnālā (</w:t>
            </w:r>
            <w:r w:rsidRPr="00930B4F">
              <w:rPr>
                <w:rFonts w:ascii="Times New Roman" w:hAnsi="Times New Roman"/>
                <w:i/>
                <w:iCs/>
                <w:sz w:val="18"/>
                <w:szCs w:val="20"/>
              </w:rPr>
              <w:t>EUTL</w:t>
            </w:r>
            <w:r w:rsidRPr="00930B4F">
              <w:rPr>
                <w:rFonts w:ascii="Times New Roman" w:hAnsi="Times New Roman"/>
                <w:sz w:val="18"/>
                <w:szCs w:val="20"/>
              </w:rPr>
              <w:t>), kas izveidots ar Komisijas Regulas (ES) Nr. 389/2013 5. pantu;</w:t>
            </w:r>
          </w:p>
          <w:p w14:paraId="4F066B49" w14:textId="77777777" w:rsidR="00481482" w:rsidRPr="00930B4F" w:rsidRDefault="00067A32" w:rsidP="00B20686">
            <w:pPr>
              <w:widowControl w:val="0"/>
              <w:spacing w:after="0" w:line="240" w:lineRule="auto"/>
              <w:rPr>
                <w:rFonts w:ascii="Times New Roman" w:hAnsi="Times New Roman" w:cs="Calibri"/>
                <w:noProof/>
                <w:sz w:val="18"/>
                <w:szCs w:val="20"/>
              </w:rPr>
            </w:pPr>
            <w:r w:rsidRPr="00930B4F">
              <w:rPr>
                <w:rFonts w:ascii="Times New Roman" w:hAnsi="Times New Roman"/>
                <w:sz w:val="18"/>
                <w:szCs w:val="20"/>
              </w:rPr>
              <w:t xml:space="preserve">2) prognozēto siltumnīcefekta gāzu emisiju līmeni uz produkta vienību piešķirtajos projektos, kuros ir pasākumi, kas atbilst ES </w:t>
            </w:r>
            <w:r w:rsidRPr="00930B4F">
              <w:rPr>
                <w:rFonts w:ascii="Times New Roman" w:hAnsi="Times New Roman"/>
                <w:i/>
                <w:iCs/>
                <w:sz w:val="18"/>
                <w:szCs w:val="20"/>
              </w:rPr>
              <w:t>ETS</w:t>
            </w:r>
            <w:r w:rsidRPr="00930B4F">
              <w:rPr>
                <w:rFonts w:ascii="Times New Roman" w:hAnsi="Times New Roman"/>
                <w:sz w:val="18"/>
                <w:szCs w:val="20"/>
              </w:rPr>
              <w:t>;</w:t>
            </w:r>
          </w:p>
          <w:p w14:paraId="0710C0E2" w14:textId="1BDED7B8" w:rsidR="00067A32" w:rsidRPr="00930B4F" w:rsidRDefault="00067A32" w:rsidP="00B20686">
            <w:pPr>
              <w:widowControl w:val="0"/>
              <w:spacing w:after="0" w:line="240" w:lineRule="auto"/>
              <w:rPr>
                <w:rFonts w:ascii="Times New Roman" w:hAnsi="Times New Roman" w:cs="Calibri"/>
                <w:noProof/>
                <w:sz w:val="18"/>
                <w:szCs w:val="20"/>
              </w:rPr>
            </w:pPr>
            <w:r w:rsidRPr="00930B4F">
              <w:rPr>
                <w:rFonts w:ascii="Times New Roman" w:hAnsi="Times New Roman"/>
                <w:sz w:val="18"/>
                <w:szCs w:val="20"/>
              </w:rPr>
              <w:t>3) īsu projekta un izmantoto tehnoloģiju aprakstu.</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8C44BA9" w14:textId="77777777"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Līgumu slēgšanas tiesību piešķiršana industriālo parku attīstīšanai reģionos saņēmējiem no privātā vai publiskā sektora, kuri ir </w:t>
            </w:r>
            <w:r w:rsidRPr="00930B4F">
              <w:rPr>
                <w:rFonts w:ascii="Times New Roman" w:hAnsi="Times New Roman"/>
                <w:sz w:val="18"/>
                <w:szCs w:val="20"/>
              </w:rPr>
              <w:lastRenderedPageBreak/>
              <w:t>izstrādājuši industriālā parka attīstības stratēģiju vai uzņēmējdarbības plānu. Atlases kritēriji nodrošina, ka atlasītie projekti atbilst Tehniskajiem norādījumiem par principa “nenodarīt būtisku kaitējumu” piemērošanu (2021/C58/01), izmantojot izslēgšanas sarakstu un prasību nodrošināt atbilstību attiecīgajiem ES un valsts tiesību aktiem vides jomā.</w:t>
            </w:r>
          </w:p>
        </w:tc>
      </w:tr>
      <w:tr w:rsidR="00930B4F" w:rsidRPr="00930B4F" w14:paraId="78A4C70F"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01E430B8"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95</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A2DB379" w14:textId="77777777" w:rsidR="00067A32" w:rsidRPr="00930B4F" w:rsidRDefault="00067A32" w:rsidP="00481482">
            <w:pPr>
              <w:widowControl w:val="0"/>
              <w:spacing w:after="0" w:line="240" w:lineRule="auto"/>
              <w:jc w:val="both"/>
              <w:rPr>
                <w:rFonts w:ascii="Times New Roman" w:eastAsia="Calibri" w:hAnsi="Times New Roman" w:cs="Times New Roman"/>
                <w:b/>
                <w:bCs/>
                <w:noProof/>
                <w:sz w:val="18"/>
                <w:szCs w:val="20"/>
              </w:rPr>
            </w:pPr>
            <w:r w:rsidRPr="00930B4F">
              <w:rPr>
                <w:rFonts w:ascii="Times New Roman" w:hAnsi="Times New Roman"/>
                <w:b/>
                <w:sz w:val="18"/>
                <w:szCs w:val="20"/>
              </w:rPr>
              <w:t xml:space="preserve">3.1.1.3.i. Investīcijas </w:t>
            </w:r>
            <w:r w:rsidRPr="00930B4F">
              <w:rPr>
                <w:rFonts w:ascii="Times New Roman" w:hAnsi="Times New Roman"/>
                <w:b/>
                <w:sz w:val="18"/>
                <w:szCs w:val="20"/>
              </w:rPr>
              <w:lastRenderedPageBreak/>
              <w:t xml:space="preserve">uzņēmējdarbības publiskajā infrastruktūrā industriālo parku un teritoriju attīstīšanai reģionos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64AFE61"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Mērķis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60D9C69"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Parakstīti nodomu </w:t>
            </w:r>
            <w:r w:rsidRPr="00930B4F">
              <w:rPr>
                <w:rFonts w:ascii="Times New Roman" w:hAnsi="Times New Roman"/>
                <w:sz w:val="18"/>
                <w:szCs w:val="20"/>
              </w:rPr>
              <w:lastRenderedPageBreak/>
              <w:t xml:space="preserve">protokoli / noslēgti līgumi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3366BCC"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9D22A21"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Skaits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EA71698"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0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B1AB790"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4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B00C9FB"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4. cet.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85184A4"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2025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A5A5522" w14:textId="77777777" w:rsidR="00067A32" w:rsidRPr="00930B4F" w:rsidRDefault="00067A32" w:rsidP="00481482">
            <w:pPr>
              <w:widowControl w:val="0"/>
              <w:spacing w:after="0" w:line="240" w:lineRule="auto"/>
              <w:jc w:val="both"/>
              <w:rPr>
                <w:rFonts w:ascii="Times New Roman" w:hAnsi="Times New Roman" w:cs="Calibri"/>
                <w:noProof/>
                <w:sz w:val="18"/>
                <w:szCs w:val="20"/>
              </w:rPr>
            </w:pPr>
            <w:bookmarkStart w:id="26" w:name="_Hlk89434687"/>
            <w:r w:rsidRPr="00930B4F">
              <w:rPr>
                <w:rFonts w:ascii="Times New Roman" w:hAnsi="Times New Roman"/>
                <w:sz w:val="18"/>
                <w:szCs w:val="20"/>
              </w:rPr>
              <w:t>Viedās administrācija</w:t>
            </w:r>
            <w:r w:rsidRPr="00930B4F">
              <w:rPr>
                <w:rFonts w:ascii="Times New Roman" w:hAnsi="Times New Roman"/>
                <w:sz w:val="18"/>
                <w:szCs w:val="20"/>
              </w:rPr>
              <w:lastRenderedPageBreak/>
              <w:t>s un reģionālās attīstības ministrijas pašvaldības</w:t>
            </w:r>
            <w:bookmarkEnd w:id="26"/>
            <w:r w:rsidRPr="00930B4F">
              <w:rPr>
                <w:rFonts w:ascii="Times New Roman" w:hAnsi="Times New Roman"/>
                <w:sz w:val="18"/>
                <w:szCs w:val="20"/>
              </w:rPr>
              <w:t>, Ekonomikas ministrija, Latvijas Investīciju un attīstības aģentūra, Centrālā finanšu un līgumu aģentūra</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680ACC1"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A81A4B9"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 xml:space="preserve">Kopsavilkuma dokuments, kurā </w:t>
            </w:r>
            <w:r w:rsidRPr="00930B4F">
              <w:rPr>
                <w:rFonts w:ascii="Times New Roman" w:hAnsi="Times New Roman"/>
                <w:sz w:val="18"/>
                <w:szCs w:val="20"/>
              </w:rPr>
              <w:lastRenderedPageBreak/>
              <w:t>pienācīgi pamatots, kā tika apmierinoši sasniegts mērķis (tostarp visi būtiskie elementi), kopā ar atbilstošām saitēm uz pamatojošajiem pierādījumiem.</w:t>
            </w:r>
          </w:p>
          <w:p w14:paraId="6EF08C2E"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Šā dokumenta pielikumā iekļauj šādus dokumentārus pierādījumus:</w:t>
            </w:r>
          </w:p>
          <w:p w14:paraId="13325423" w14:textId="77777777" w:rsidR="0048148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a) kopijas četriem nodomu protokoliem / līgumiem, kas parakstīti ar starptautiski atzītiem industriālo parku apsaimniekotājiem un/vai potenciālajiem investoriem par nefinanšu investīcijām vismaz 85 741 349 EUR apmērā;</w:t>
            </w:r>
          </w:p>
          <w:p w14:paraId="52C9DC68" w14:textId="17F7A99B" w:rsidR="00067A3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 xml:space="preserve">b) izrakstu no oficiāliem dokumentiem, kurā ietverti atlases kritēriji, kas nodrošina, ka atlasītie projekti atbilst Tehniskajiem norādījumiem par principa “nenodarīt būtisku kaitējumu” piemērošanu (2021/C58/01), kā </w:t>
            </w:r>
            <w:r w:rsidRPr="00930B4F">
              <w:rPr>
                <w:rFonts w:ascii="Times New Roman" w:hAnsi="Times New Roman"/>
                <w:sz w:val="18"/>
                <w:szCs w:val="20"/>
              </w:rPr>
              <w:lastRenderedPageBreak/>
              <w:t>noteikts Padomes Īstenošanas lēmuma pielikumā, un prasībai par atbilstību attiecīgajiem ES un valsts tiesību aktiem vides jomā.</w:t>
            </w:r>
          </w:p>
          <w:p w14:paraId="2519625E" w14:textId="77777777" w:rsidR="00067A32" w:rsidRPr="00930B4F" w:rsidRDefault="00067A32" w:rsidP="00B20686">
            <w:pPr>
              <w:widowControl w:val="0"/>
              <w:spacing w:after="0" w:line="240" w:lineRule="auto"/>
              <w:rPr>
                <w:rFonts w:ascii="Times New Roman" w:eastAsia="Calibri" w:hAnsi="Times New Roman" w:cs="Times New Roman"/>
                <w:noProof/>
                <w:sz w:val="18"/>
                <w:szCs w:val="20"/>
              </w:rPr>
            </w:pPr>
          </w:p>
          <w:p w14:paraId="18A7E871" w14:textId="77777777" w:rsidR="00481482" w:rsidRPr="00930B4F" w:rsidRDefault="00067A32" w:rsidP="00B20686">
            <w:pPr>
              <w:widowControl w:val="0"/>
              <w:spacing w:after="0" w:line="240" w:lineRule="auto"/>
              <w:rPr>
                <w:rFonts w:ascii="Times New Roman" w:hAnsi="Times New Roman" w:cs="Calibri"/>
                <w:noProof/>
                <w:sz w:val="18"/>
                <w:szCs w:val="20"/>
              </w:rPr>
            </w:pPr>
            <w:r w:rsidRPr="00930B4F">
              <w:rPr>
                <w:rFonts w:ascii="Times New Roman" w:hAnsi="Times New Roman"/>
                <w:i/>
                <w:iCs/>
                <w:sz w:val="18"/>
                <w:szCs w:val="20"/>
              </w:rPr>
              <w:t>ETS</w:t>
            </w:r>
            <w:r w:rsidRPr="00930B4F">
              <w:rPr>
                <w:rFonts w:ascii="Times New Roman" w:hAnsi="Times New Roman"/>
                <w:sz w:val="18"/>
                <w:szCs w:val="20"/>
              </w:rPr>
              <w:t xml:space="preserve"> iekārtu gadījumā šajā dokumentā iekļauj šādu informāciju:</w:t>
            </w:r>
          </w:p>
          <w:p w14:paraId="448F8438" w14:textId="77777777" w:rsidR="00481482" w:rsidRPr="00930B4F" w:rsidRDefault="00067A32" w:rsidP="00B20686">
            <w:pPr>
              <w:widowControl w:val="0"/>
              <w:spacing w:after="0" w:line="240" w:lineRule="auto"/>
              <w:rPr>
                <w:rFonts w:ascii="Times New Roman" w:hAnsi="Times New Roman" w:cs="Calibri"/>
                <w:noProof/>
                <w:sz w:val="18"/>
                <w:szCs w:val="20"/>
              </w:rPr>
            </w:pPr>
            <w:r w:rsidRPr="00930B4F">
              <w:rPr>
                <w:rFonts w:ascii="Times New Roman" w:hAnsi="Times New Roman"/>
                <w:sz w:val="18"/>
                <w:szCs w:val="20"/>
              </w:rPr>
              <w:t>1) iekārtas ID / lidaparātu ekspluatanta ID Eiropas Savienības darījumu žurnālā (</w:t>
            </w:r>
            <w:r w:rsidRPr="00930B4F">
              <w:rPr>
                <w:rFonts w:ascii="Times New Roman" w:hAnsi="Times New Roman"/>
                <w:i/>
                <w:iCs/>
                <w:sz w:val="18"/>
                <w:szCs w:val="20"/>
              </w:rPr>
              <w:t>EUTL</w:t>
            </w:r>
            <w:r w:rsidRPr="00930B4F">
              <w:rPr>
                <w:rFonts w:ascii="Times New Roman" w:hAnsi="Times New Roman"/>
                <w:sz w:val="18"/>
                <w:szCs w:val="20"/>
              </w:rPr>
              <w:t>), kas izveidots ar Komisijas Regulas (ES) Nr. 389/2013 5. pantu;</w:t>
            </w:r>
          </w:p>
          <w:p w14:paraId="66D24ADE" w14:textId="77777777" w:rsidR="00481482" w:rsidRPr="00930B4F" w:rsidRDefault="00067A32" w:rsidP="00B20686">
            <w:pPr>
              <w:widowControl w:val="0"/>
              <w:spacing w:after="0" w:line="240" w:lineRule="auto"/>
              <w:rPr>
                <w:rFonts w:ascii="Times New Roman" w:hAnsi="Times New Roman" w:cs="Calibri"/>
                <w:noProof/>
                <w:sz w:val="18"/>
                <w:szCs w:val="20"/>
              </w:rPr>
            </w:pPr>
            <w:r w:rsidRPr="00930B4F">
              <w:rPr>
                <w:rFonts w:ascii="Times New Roman" w:hAnsi="Times New Roman"/>
                <w:sz w:val="18"/>
                <w:szCs w:val="20"/>
              </w:rPr>
              <w:t xml:space="preserve">2) prognozēto siltumnīcefekta gāzu emisiju līmeni uz produkta vienību piešķirtajos projektos, kuros ir pasākumi, kas atbilst ES </w:t>
            </w:r>
            <w:r w:rsidRPr="00930B4F">
              <w:rPr>
                <w:rFonts w:ascii="Times New Roman" w:hAnsi="Times New Roman"/>
                <w:i/>
                <w:iCs/>
                <w:sz w:val="18"/>
                <w:szCs w:val="20"/>
              </w:rPr>
              <w:t>ETS</w:t>
            </w:r>
            <w:r w:rsidRPr="00930B4F">
              <w:rPr>
                <w:rFonts w:ascii="Times New Roman" w:hAnsi="Times New Roman"/>
                <w:sz w:val="18"/>
                <w:szCs w:val="20"/>
              </w:rPr>
              <w:t>;</w:t>
            </w:r>
          </w:p>
          <w:p w14:paraId="1DD0CBB8" w14:textId="197634BF" w:rsidR="00067A32" w:rsidRPr="00930B4F" w:rsidRDefault="00067A32" w:rsidP="00B20686">
            <w:pPr>
              <w:widowControl w:val="0"/>
              <w:spacing w:after="0" w:line="240" w:lineRule="auto"/>
              <w:rPr>
                <w:rFonts w:ascii="Times New Roman" w:hAnsi="Times New Roman" w:cs="Calibri"/>
                <w:noProof/>
                <w:sz w:val="18"/>
                <w:szCs w:val="20"/>
              </w:rPr>
            </w:pPr>
            <w:r w:rsidRPr="00930B4F">
              <w:rPr>
                <w:rFonts w:ascii="Times New Roman" w:hAnsi="Times New Roman"/>
                <w:sz w:val="18"/>
                <w:szCs w:val="20"/>
              </w:rPr>
              <w:t>3) īsu projekta un izmantoto tehnoloģiju aprakstu.</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E2410C8" w14:textId="012CDED0"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Parakstīti vismaz četri nodomu </w:t>
            </w:r>
            <w:r w:rsidRPr="00930B4F">
              <w:rPr>
                <w:rFonts w:ascii="Times New Roman" w:hAnsi="Times New Roman"/>
                <w:sz w:val="18"/>
                <w:szCs w:val="20"/>
              </w:rPr>
              <w:lastRenderedPageBreak/>
              <w:t>protokoli / līgumi ar starptautiski atzītiem industriālo parku apsaimniekotājiem un/vai potenciālajiem investoriem, piesaistot/veicot nefinanšu investīcijas vismaz 85 741 349 EUR apmērā. Atlases kritēriji nodrošina, ka atlasītie projekti atbilst Tehniskajiem norādījumiem par principa “nenodarīt būtisku kaitējumu” piemērošanu (2021/C58/01), izmantojot izslēgšanas sarakstu un prasību nodrošināt atbilstību attiecīgajiem ES un valsts tiesību aktiem vides jomā.</w:t>
            </w:r>
          </w:p>
        </w:tc>
      </w:tr>
      <w:tr w:rsidR="00930B4F" w:rsidRPr="00930B4F" w14:paraId="201A4E7D"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647574C5"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96</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90DA02E" w14:textId="77777777" w:rsidR="00067A32" w:rsidRPr="00930B4F" w:rsidRDefault="00067A32" w:rsidP="00481482">
            <w:pPr>
              <w:widowControl w:val="0"/>
              <w:spacing w:after="0" w:line="240" w:lineRule="auto"/>
              <w:jc w:val="both"/>
              <w:rPr>
                <w:rFonts w:ascii="Times New Roman" w:eastAsia="Calibri" w:hAnsi="Times New Roman" w:cs="Times New Roman"/>
                <w:b/>
                <w:bCs/>
                <w:noProof/>
                <w:sz w:val="18"/>
                <w:szCs w:val="20"/>
              </w:rPr>
            </w:pPr>
            <w:r w:rsidRPr="00930B4F">
              <w:rPr>
                <w:rFonts w:ascii="Times New Roman" w:hAnsi="Times New Roman"/>
                <w:b/>
                <w:sz w:val="18"/>
                <w:szCs w:val="20"/>
              </w:rPr>
              <w:t xml:space="preserve">3.1.1.3.i. Investīcijas uzņēmējdarbības publiskajā infrastruktūrā industriālo </w:t>
            </w:r>
            <w:r w:rsidRPr="00930B4F">
              <w:rPr>
                <w:rFonts w:ascii="Times New Roman" w:hAnsi="Times New Roman"/>
                <w:b/>
                <w:sz w:val="18"/>
                <w:szCs w:val="20"/>
              </w:rPr>
              <w:lastRenderedPageBreak/>
              <w:t xml:space="preserve">parku un teritoriju attīstīšanai reģionos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AC6CCCA"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Mērķis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7AB578B"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Pabeigta industriālo parku/teritoriju būvniecība reģionos, kur tiek attīstīta publiskā </w:t>
            </w:r>
            <w:r w:rsidRPr="00930B4F">
              <w:rPr>
                <w:rFonts w:ascii="Times New Roman" w:hAnsi="Times New Roman"/>
                <w:sz w:val="18"/>
                <w:szCs w:val="20"/>
              </w:rPr>
              <w:lastRenderedPageBreak/>
              <w:t xml:space="preserve">infrastruktūra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34A5A92"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6815C2B"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Skaits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BB9C23F"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0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05DE8EA"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4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DBD46EE"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4. cet.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156DDD9"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2025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C8988F4" w14:textId="77777777"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 xml:space="preserve">Viedās administrācijas un reģionālās attīstības ministrija, </w:t>
            </w:r>
            <w:r w:rsidRPr="00930B4F">
              <w:rPr>
                <w:rFonts w:ascii="Times New Roman" w:hAnsi="Times New Roman"/>
                <w:sz w:val="18"/>
                <w:szCs w:val="20"/>
              </w:rPr>
              <w:lastRenderedPageBreak/>
              <w:t>Ekonomikas ministrija, Centrālā finanšu un līgumu aģentūra, pašvaldības</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357B82E"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1E6A3A6"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 xml:space="preserve">Kopsavilkuma dokuments, kurā pienācīgi pamatots, kā tika apmierinoši sasniegts mērķis (tostarp visi būtiskie </w:t>
            </w:r>
            <w:r w:rsidRPr="00930B4F">
              <w:rPr>
                <w:rFonts w:ascii="Times New Roman" w:hAnsi="Times New Roman"/>
                <w:sz w:val="18"/>
                <w:szCs w:val="20"/>
              </w:rPr>
              <w:lastRenderedPageBreak/>
              <w:t>elementi), kopā ar atbilstošām saitēm uz pamatojošajiem pierādījumiem.</w:t>
            </w:r>
          </w:p>
          <w:p w14:paraId="35426982"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Šā dokumenta pielikumā iekļauj šādus dokumentārus pierādījumus:</w:t>
            </w:r>
          </w:p>
          <w:p w14:paraId="1D1378D5" w14:textId="2D7D482F" w:rsidR="00067A3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a) apliecinājumu par inženierbūves vai ēkas gatavību ekspluatācijai kopijas (latviešu valodā Latvijā Būvniecības informācijas sistēmā (BIS)): “Apliecinājums par inženierbūves gatavību ekspluatācijai” vai “Apliecinājums par ēkas vai tās daļas gatavību ekspluatācijai”</w:t>
            </w:r>
            <w:bookmarkStart w:id="27" w:name="_Hlk87515215"/>
            <w:r w:rsidRPr="00930B4F">
              <w:rPr>
                <w:rFonts w:ascii="Times New Roman" w:hAnsi="Times New Roman"/>
                <w:sz w:val="18"/>
                <w:szCs w:val="20"/>
              </w:rPr>
              <w:t xml:space="preserve">, kuru parakstījusi līgumslēdzēja iestāde (projekta virzītājs, būvniecības ierosinātājs), būvuzņēmējs, atbildīgais būvdarbu vadītājs, būvuzraugs (ja tika veikta būvuzraudzība) un autoruzraugs (ja tika veikta autoruzraudzība) un kurā uzrādīti paveiktie </w:t>
            </w:r>
            <w:r w:rsidRPr="00930B4F">
              <w:rPr>
                <w:rFonts w:ascii="Times New Roman" w:hAnsi="Times New Roman"/>
                <w:sz w:val="18"/>
                <w:szCs w:val="20"/>
              </w:rPr>
              <w:lastRenderedPageBreak/>
              <w:t>darbi un vismaz četru valsts industriālo parku/teritoriju faktiskās pabeigšanas datums;</w:t>
            </w:r>
          </w:p>
          <w:bookmarkEnd w:id="27"/>
          <w:p w14:paraId="3F0F141C"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b) intervences pasākuma nosaukumu, atrašanās vietu, īsu aprakstu saskaņā ar Padomes Īstenošanas lēmuma pielikumu;</w:t>
            </w:r>
          </w:p>
          <w:p w14:paraId="5AA068B7" w14:textId="506A29E7" w:rsidR="00067A3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 xml:space="preserve">c) to uzņēmumu/struktūru (industriālo parku operatoru vai privāto investoru) sarakstu, kuri jau ir piesaistīti vismaz četros valsts industriālajos parkos/teritorijās; d) izrakstu no pabeigtā projekta specifikāciju attiecīgajām daļām, kas apliecina atbilstību Padomes Īstenošanas lēmumā sniegtajam mērķa un investīciju aprakstam (piemēram, nepieciešamo rūpniecisko savienojumu izveide un ar tiem saistītās jaudas palielināšana (t. sk. apkure, ūdensapgāde un kanalizācija, </w:t>
            </w:r>
            <w:r w:rsidRPr="00930B4F">
              <w:rPr>
                <w:rFonts w:ascii="Times New Roman" w:hAnsi="Times New Roman"/>
                <w:sz w:val="18"/>
                <w:szCs w:val="20"/>
              </w:rPr>
              <w:lastRenderedPageBreak/>
              <w:t>elektrība), piekļuves ceļu atjaunošana vai ierīkošana netālu no industriālajiem rajoniem, kā arī komerciāliem nolūkiem paredzēto ēku un ar tām saistītās infrastruktūras attīstīšana).</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6DE100B" w14:textId="77777777"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Pabeigta vismaz četru nacionālo industriālo parku/teritoriju būvniecība, tostarp nepieciešamo </w:t>
            </w:r>
            <w:r w:rsidRPr="00930B4F">
              <w:rPr>
                <w:rFonts w:ascii="Times New Roman" w:hAnsi="Times New Roman"/>
                <w:sz w:val="18"/>
                <w:szCs w:val="20"/>
              </w:rPr>
              <w:lastRenderedPageBreak/>
              <w:t xml:space="preserve">rūpniecisko savienojumu izveide un ar tiem saistītās jaudas palielināšana (t. sk. apkure, ūdensapgāde un kanalizācija, elektrība), piekļuves ceļu atjaunošana vai ierīkošana netālu no industriālajiem rajoniem, kā arī komerciāliem nolūkiem paredzēto ēku un ar tām saistītās infrastruktūras attīstīšana. </w:t>
            </w:r>
          </w:p>
        </w:tc>
      </w:tr>
      <w:tr w:rsidR="00930B4F" w:rsidRPr="00930B4F" w14:paraId="7B883995"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2C41D8BE"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97</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524C7DD" w14:textId="77777777" w:rsidR="00067A32" w:rsidRPr="00930B4F" w:rsidRDefault="00067A32" w:rsidP="00481482">
            <w:pPr>
              <w:widowControl w:val="0"/>
              <w:spacing w:after="0" w:line="240" w:lineRule="auto"/>
              <w:jc w:val="both"/>
              <w:rPr>
                <w:rFonts w:ascii="Times New Roman" w:eastAsia="Calibri" w:hAnsi="Times New Roman" w:cs="Times New Roman"/>
                <w:b/>
                <w:noProof/>
                <w:sz w:val="18"/>
                <w:szCs w:val="20"/>
              </w:rPr>
            </w:pPr>
            <w:r w:rsidRPr="00930B4F">
              <w:rPr>
                <w:rFonts w:ascii="Times New Roman" w:hAnsi="Times New Roman"/>
                <w:b/>
                <w:sz w:val="18"/>
                <w:szCs w:val="20"/>
              </w:rPr>
              <w:t>3.1.1.3.i. Investīcijas uzņēmējdarbības publiskajā infrastruktūrā industriālo parku un teritoriju attīstīšanai reģionos</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F145722"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Mērķis</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A5F71EA"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Jaunu darba vietu radīšana industriālajos parkos ar vidējo algu, kas pārsniedz vidējo algu attiecīgajā tautsaimniecības nozarē</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AA2118C"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6880525"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Skaits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B3A3BC1"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0</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4131063"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328</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A68856C"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3. cet.</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6D369D0"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2026</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78F017E" w14:textId="77777777"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Viedās administrācijas un reģionālās attīstības ministrija, Ekonomikas ministrija, Centrālā finanšu un līgumu aģentūra, pašvaldības</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43909B3"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B360A72" w14:textId="77777777"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34265B7E"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Šā dokumenta pielikumā iekļauj vienotu sarakstu, kurā norāda:</w:t>
            </w:r>
          </w:p>
          <w:p w14:paraId="6EF08EF3" w14:textId="77777777" w:rsidR="0048148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 xml:space="preserve">a) industriālo parku operatora vai privātā investora publicētos paziņojumus par vakancēm potenciālajiem pretendentiem (tostarp amata aprakstus un algu vai algu diapazonu, kas pārsniedz vidējās algas līmeni attiecīgajā </w:t>
            </w:r>
            <w:r w:rsidRPr="00930B4F">
              <w:rPr>
                <w:rFonts w:ascii="Times New Roman" w:hAnsi="Times New Roman"/>
                <w:sz w:val="18"/>
                <w:szCs w:val="20"/>
              </w:rPr>
              <w:lastRenderedPageBreak/>
              <w:t>tautsaimniecības nozarē);</w:t>
            </w:r>
          </w:p>
          <w:p w14:paraId="148307F9" w14:textId="3F03C22B" w:rsidR="00067A3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b) atsauces uz parakstītajiem līgumiem ar unikālu identifikatoru, kā arī amata nosaukumu, algu, datumu, kad noslēgts līgums ar darba ņēmēju.</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1D5A0D8" w14:textId="77777777"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lastRenderedPageBreak/>
              <w:t>Iesniegts to darbavietu saraksts, ko radījuši parku apsaimniekotāji vai privātie investori, un algas, kas apliecina tādu jaunu darbavietu izveidi, kuru algas pārsniedz vidējās algas attiecīgajā tautsaimniecības nozarē.</w:t>
            </w:r>
          </w:p>
        </w:tc>
      </w:tr>
      <w:tr w:rsidR="00930B4F" w:rsidRPr="00930B4F" w14:paraId="7F3955AA"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34161566"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98</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E3FB5CF" w14:textId="77777777" w:rsidR="00067A32" w:rsidRPr="00930B4F" w:rsidRDefault="00067A32" w:rsidP="00481482">
            <w:pPr>
              <w:widowControl w:val="0"/>
              <w:spacing w:after="0" w:line="240" w:lineRule="auto"/>
              <w:jc w:val="both"/>
              <w:rPr>
                <w:rFonts w:ascii="Times New Roman" w:eastAsia="Calibri" w:hAnsi="Times New Roman" w:cs="Times New Roman"/>
                <w:b/>
                <w:bCs/>
                <w:noProof/>
                <w:sz w:val="18"/>
                <w:szCs w:val="20"/>
              </w:rPr>
            </w:pPr>
            <w:r w:rsidRPr="00930B4F">
              <w:rPr>
                <w:rFonts w:ascii="Times New Roman" w:hAnsi="Times New Roman"/>
                <w:b/>
                <w:sz w:val="18"/>
                <w:szCs w:val="20"/>
              </w:rPr>
              <w:t xml:space="preserve">3.1.1.4.i. Finansēšanas fonda izveide zemas īres mājokļu būvniecībai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D2E922C"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Atskaites punkts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EAAA93A"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Likuma, ar ko līdzsvaro īrnieku un izīrētāju tiesības, stāšanās spēkā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42B1106"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Dzīvojamo telpu īres likuma stāšanās spēkā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339163B"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016A36F"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F88B688"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ACF7E1C"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 cet.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525D802"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2021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7DC847F" w14:textId="77777777"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Ekonomikas ministrija</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1D39F5B"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E9527C6" w14:textId="77777777" w:rsidR="00067A32" w:rsidRPr="00930B4F" w:rsidRDefault="00067A32" w:rsidP="00B20686">
            <w:pPr>
              <w:widowControl w:val="0"/>
              <w:spacing w:after="0" w:line="240" w:lineRule="auto"/>
              <w:rPr>
                <w:rFonts w:ascii="Times New Roman" w:hAnsi="Times New Roman" w:cs="Calibri"/>
                <w:noProof/>
                <w:sz w:val="18"/>
                <w:szCs w:val="20"/>
              </w:rPr>
            </w:pPr>
            <w:r w:rsidRPr="00930B4F">
              <w:rPr>
                <w:rFonts w:ascii="Times New Roman" w:hAnsi="Times New Roman"/>
                <w:sz w:val="18"/>
                <w:szCs w:val="20"/>
              </w:rPr>
              <w:t>Likuma kopija un saite uz publikāciju oficiālajā izdevumā, tostarp atsauce uz noteikumu, kurā norādīta stāšanās spēkā, kam pievienots kopsavilkuma dokuments un atsauce uz attiecīgajiem noteikumiem, kuros norādīta stāšanās spēkā, un šajā dokumentā pienācīgi pamatots, kā tika apmierinoši sasniegts atskaites punkts (tostarp visi būtiskie elementi), kopā ar atbilstošām saitēm uz pamatojošajiem pierādījumiem.</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B2395DE" w14:textId="2243E98E"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t xml:space="preserve">Stājies spēkā jauns īres tiesiskais regulējums, kas nodrošina taisnīgu līdzsvaru starp īrnieka un izīrētāja interesēm un paātrinātu strīdu izšķiršanu par īres termiņu un īres maksas noteikšanu, kas ir īpaši svarīgi, lai veicinātu īres mājokļu būvniecību un tādējādi veicinātu mājokļu pieejamību. </w:t>
            </w:r>
          </w:p>
        </w:tc>
      </w:tr>
      <w:tr w:rsidR="00930B4F" w:rsidRPr="00930B4F" w14:paraId="5E0EEB4B"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559849CD"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99</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E541ECE" w14:textId="77777777" w:rsidR="00067A32" w:rsidRPr="00930B4F" w:rsidRDefault="00067A32" w:rsidP="00481482">
            <w:pPr>
              <w:widowControl w:val="0"/>
              <w:spacing w:after="0" w:line="240" w:lineRule="auto"/>
              <w:jc w:val="both"/>
              <w:rPr>
                <w:rFonts w:ascii="Times New Roman" w:eastAsia="Calibri" w:hAnsi="Times New Roman" w:cs="Times New Roman"/>
                <w:b/>
                <w:bCs/>
                <w:noProof/>
                <w:sz w:val="18"/>
                <w:szCs w:val="20"/>
              </w:rPr>
            </w:pPr>
            <w:r w:rsidRPr="00930B4F">
              <w:rPr>
                <w:rFonts w:ascii="Times New Roman" w:hAnsi="Times New Roman"/>
                <w:b/>
                <w:sz w:val="18"/>
                <w:szCs w:val="20"/>
              </w:rPr>
              <w:t xml:space="preserve">3.1.1.4.i. Finansēšanas fonda izveide zemas īres mājokļu </w:t>
            </w:r>
            <w:r w:rsidRPr="00930B4F">
              <w:rPr>
                <w:rFonts w:ascii="Times New Roman" w:hAnsi="Times New Roman"/>
                <w:b/>
                <w:sz w:val="18"/>
                <w:szCs w:val="20"/>
              </w:rPr>
              <w:lastRenderedPageBreak/>
              <w:t xml:space="preserve">būvniecībai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C2E9CCE"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Atskaites punkts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34247C0" w14:textId="65EE95BA"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Mājokļu pieejamības pamatnostādņu pieņemšana</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0C78470"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Valdība ir pieņēmusi mājokļu pieejamības pamatnostādnes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130A7EA"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2A66CB7"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5A55E82"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4275348"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 cet.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3B2B184"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2022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9511648" w14:textId="77777777"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Ekonomikas ministrija</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6D08F6A"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A1AA562" w14:textId="77777777" w:rsidR="00067A3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 xml:space="preserve">Mājokļu pieejamības pamatnostādņu kopija un saite uz publikāciju oficiālajā izdevumā, tostarp atsauce uz </w:t>
            </w:r>
            <w:r w:rsidRPr="00930B4F">
              <w:rPr>
                <w:rFonts w:ascii="Times New Roman" w:hAnsi="Times New Roman"/>
                <w:sz w:val="18"/>
                <w:szCs w:val="20"/>
              </w:rPr>
              <w:lastRenderedPageBreak/>
              <w:t>noteikumu, kurā norādīta stāšanās spēkā, kam pievienots kopsavilkuma dokuments, kurā pienācīgi pamatots, kā tika apmierinoši sasniegts atskaites punkts (tostarp visi būtiskie elementi), kopā ar atbilstošām saitēm uz pamatojošajiem pierādījumiem.</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B476C34" w14:textId="77777777"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Mājokļu pieejamības pamatnostādnēs ietver darbības virzienus, politikas </w:t>
            </w:r>
            <w:r w:rsidRPr="00930B4F">
              <w:rPr>
                <w:rFonts w:ascii="Times New Roman" w:hAnsi="Times New Roman"/>
                <w:sz w:val="18"/>
                <w:szCs w:val="20"/>
              </w:rPr>
              <w:lastRenderedPageBreak/>
              <w:t xml:space="preserve">rādītājus un uzdevumu kopumu, lai veicinātu mājokļu pieejamību, piedāvājot risinājumus, kā nodrošināt mājokļu pieejamības atbalstu dažādu veidu un ienākumu līmeņu mājsaimniecībām, tostarp mājsaimniecībām ar viszemākajiem ienākumiem, un lai atbalsta mehānismi un noteikumi veicinātu gan esošā dzīvojamā fonda remontdarbus, gan jauna dzīvojamā fonda attīstību. </w:t>
            </w:r>
          </w:p>
        </w:tc>
      </w:tr>
      <w:tr w:rsidR="00930B4F" w:rsidRPr="00930B4F" w14:paraId="033C66FC"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7D65855E"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100</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ABA6148" w14:textId="77777777" w:rsidR="00067A32" w:rsidRPr="00930B4F" w:rsidRDefault="00067A32" w:rsidP="00481482">
            <w:pPr>
              <w:widowControl w:val="0"/>
              <w:spacing w:after="0" w:line="240" w:lineRule="auto"/>
              <w:jc w:val="both"/>
              <w:rPr>
                <w:rFonts w:ascii="Times New Roman" w:eastAsia="Calibri" w:hAnsi="Times New Roman" w:cs="Times New Roman"/>
                <w:b/>
                <w:bCs/>
                <w:noProof/>
                <w:sz w:val="18"/>
                <w:szCs w:val="20"/>
              </w:rPr>
            </w:pPr>
            <w:r w:rsidRPr="00930B4F">
              <w:rPr>
                <w:rFonts w:ascii="Times New Roman" w:hAnsi="Times New Roman"/>
                <w:b/>
                <w:sz w:val="18"/>
                <w:szCs w:val="20"/>
              </w:rPr>
              <w:t xml:space="preserve">3.1.1.4.i. Finansēšanas fonda izveide zemas īres mājokļu būvniecībai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B32E3FF"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Atskaites punkts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A616324"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Ministru kabineta noteikumi par zemas īres mājokļu būvniecību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52503B7"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Ministru kabineta noteikumu par zemas īres mājokļu būvniecību stāšanās spēkā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80C60B2"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DE63EA4"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4FDF956"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E533753"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3. cet.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97E583F"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2022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F0C54B5" w14:textId="77777777"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Ekonomikas ministrija, “Altum”</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71A8C33"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08188AC" w14:textId="6129A0D5" w:rsidR="00067A32" w:rsidRPr="00930B4F" w:rsidRDefault="00067A32" w:rsidP="00B20686">
            <w:pPr>
              <w:widowControl w:val="0"/>
              <w:spacing w:after="0" w:line="240" w:lineRule="auto"/>
              <w:rPr>
                <w:rFonts w:ascii="Times New Roman" w:hAnsi="Times New Roman" w:cs="Calibri"/>
                <w:noProof/>
                <w:sz w:val="18"/>
                <w:szCs w:val="20"/>
              </w:rPr>
            </w:pPr>
            <w:r w:rsidRPr="00930B4F">
              <w:rPr>
                <w:rFonts w:ascii="Times New Roman" w:hAnsi="Times New Roman"/>
                <w:sz w:val="18"/>
                <w:szCs w:val="20"/>
              </w:rPr>
              <w:t xml:space="preserve">Ministru kabineta noteikumu kopija un saite uz publikāciju oficiālajā vēstnesī, tostarp atsauce uz noteikumu, kurā norādīta stāšanās spēkā, kam pievienots kopsavilkuma dokuments un atsauce uz attiecīgajiem noteikumiem, kuros norādīta stāšanās </w:t>
            </w:r>
            <w:r w:rsidRPr="00930B4F">
              <w:rPr>
                <w:rFonts w:ascii="Times New Roman" w:hAnsi="Times New Roman"/>
                <w:sz w:val="18"/>
                <w:szCs w:val="20"/>
              </w:rPr>
              <w:lastRenderedPageBreak/>
              <w:t xml:space="preserve">spēkā un kurā pienācīgi pamatots, kā tika apmierinoši sasniegts atskaites punkts (tostarp visi būtiskie elementi), kopā ar atbilstošām saitēm uz pamatojošajiem pierādījumiem.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46509FA" w14:textId="77777777"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lastRenderedPageBreak/>
              <w:t>Ir stājušies spēkā Ministru kabineta noteikumi par zemas īres mājokļu būvniecību, lai noteiktu atbalsta apjomu, tvērumu un veidu, kā arī kritērijus atbalsta saņēmējiem.</w:t>
            </w:r>
          </w:p>
        </w:tc>
      </w:tr>
      <w:tr w:rsidR="00930B4F" w:rsidRPr="00930B4F" w14:paraId="21ED792E"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3F4776A3"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101</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39F21AF" w14:textId="77777777" w:rsidR="00067A32" w:rsidRPr="00930B4F" w:rsidRDefault="00067A32" w:rsidP="00481482">
            <w:pPr>
              <w:widowControl w:val="0"/>
              <w:spacing w:after="0" w:line="240" w:lineRule="auto"/>
              <w:jc w:val="both"/>
              <w:rPr>
                <w:rFonts w:ascii="Times New Roman" w:eastAsia="Calibri" w:hAnsi="Times New Roman" w:cs="Times New Roman"/>
                <w:b/>
                <w:bCs/>
                <w:noProof/>
                <w:sz w:val="18"/>
                <w:szCs w:val="20"/>
              </w:rPr>
            </w:pPr>
            <w:r w:rsidRPr="00930B4F">
              <w:rPr>
                <w:rFonts w:ascii="Times New Roman" w:hAnsi="Times New Roman"/>
                <w:b/>
                <w:sz w:val="18"/>
                <w:szCs w:val="20"/>
              </w:rPr>
              <w:t xml:space="preserve">3.1.1.4.i. Finansēšanas fonda izveide zemas īres mājokļu būvniecībai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ADC1894"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Mērķis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8A7D615"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Dzīvokļu skaits apstiprinātajos projektos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9CCC843"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02B63A5"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Skaits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B9A7859"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0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007CC25"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300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62F6ACD"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4. cet.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4211FA0"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2024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5C71F35" w14:textId="77777777"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Ekonomikas ministrija, “Altum”</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305052E"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E2CA7B2"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45E32C77"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Šā dokumenta pielikumā iekļauj apstiprināto projektu sarakstu 300 dzīvokļiem un katram no projektiem:</w:t>
            </w:r>
          </w:p>
          <w:p w14:paraId="0D981105" w14:textId="58C2D7F1"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a) īsu darbības aprakstu, kas apliecina atbilstību Padomes Īstenošanas lēmumā sniegtajam mērķa un investīciju aprakstam;</w:t>
            </w:r>
          </w:p>
          <w:p w14:paraId="1DD1B38D" w14:textId="77777777"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 xml:space="preserve">b) informāciju par energoefektivitātes prasībām un īres maksas līmeni, kas </w:t>
            </w:r>
            <w:r w:rsidRPr="00930B4F">
              <w:rPr>
                <w:rFonts w:ascii="Times New Roman" w:hAnsi="Times New Roman"/>
                <w:sz w:val="18"/>
                <w:szCs w:val="20"/>
              </w:rPr>
              <w:lastRenderedPageBreak/>
              <w:t>apstiprina, ka ir sasniegti visi attiecīgie atskaites punkta elementi.</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0E1EDAF" w14:textId="77777777"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lastRenderedPageBreak/>
              <w:t>Valsts attīstības iestāde “Altum” ir apstiprinājusi finansējumu vismaz 300 dzīvokļu projektiem.</w:t>
            </w:r>
          </w:p>
          <w:p w14:paraId="466814A9" w14:textId="77777777"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t xml:space="preserve">Apstiprināto projektu ietvaros nodrošina mājokli par zemu īres maksu (orientējoši 4,40 EUR/m²). Apstiprinātie projekti atbilst augstām kvalitātes prasībām: 1) ēkām ir gandrīz nulles enerģijas patēriņš, 2) ekspluatācijas uzsākšanas brīdī tiek veiktas atbilstīgas kvalitātes pārbaudes (akustiskie mērījumi, ēku gaisa caurlaidības tests). </w:t>
            </w:r>
          </w:p>
        </w:tc>
      </w:tr>
      <w:tr w:rsidR="00930B4F" w:rsidRPr="00930B4F" w14:paraId="7CE8CE89"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2E4E8EC3"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102</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6C79965" w14:textId="77777777" w:rsidR="00067A32" w:rsidRPr="00930B4F" w:rsidRDefault="00067A32" w:rsidP="00481482">
            <w:pPr>
              <w:widowControl w:val="0"/>
              <w:spacing w:after="0" w:line="240" w:lineRule="auto"/>
              <w:jc w:val="both"/>
              <w:rPr>
                <w:rFonts w:ascii="Times New Roman" w:eastAsia="Calibri" w:hAnsi="Times New Roman" w:cs="Times New Roman"/>
                <w:b/>
                <w:bCs/>
                <w:noProof/>
                <w:sz w:val="18"/>
                <w:szCs w:val="20"/>
              </w:rPr>
            </w:pPr>
            <w:r w:rsidRPr="00930B4F">
              <w:rPr>
                <w:rFonts w:ascii="Times New Roman" w:hAnsi="Times New Roman"/>
                <w:b/>
                <w:sz w:val="18"/>
                <w:szCs w:val="20"/>
              </w:rPr>
              <w:t xml:space="preserve">3.1.1.4.i. Finansēšanas fonda izveide zemas īres mājokļu būvniecībai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2548745"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Mērķis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FD611CB"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Dzīvokļu skaits apstiprinātajos projektos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2758DA3"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2C77E8F"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Skaits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A4EED58"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300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0F4280F"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467</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1B17ED3"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3. cet.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15B210D"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2026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00F97C6" w14:textId="77777777"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Ekonomikas ministrija, “Altum”</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13E50ED"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C4152BF"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 xml:space="preserve"> Kopsavilkuma dokuments, kurā pienācīgi pamatots, kā tika apmierinoši sasniegts mērķis (tostarp visi būtiskie elementi), kopā ar atbilstošām saitēm uz pamatojošajiem pierādījumiem.</w:t>
            </w:r>
          </w:p>
          <w:p w14:paraId="09FCD10E"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Šā dokumenta pielikumā iekļauj apstiprināto projektu sarakstu papildus tiem, kas norādīti 101. mērķī, un katram no projektiem:</w:t>
            </w:r>
          </w:p>
          <w:p w14:paraId="09E09EB7"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a) īsu darbības aprakstu, kas apliecina atbilstību Padomes Īstenošanas lēmumā sniegtajam mērķa un investīciju aprakstam,</w:t>
            </w:r>
          </w:p>
          <w:p w14:paraId="00B0BB1E" w14:textId="64B83546"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 xml:space="preserve">b) informāciju par energoefektivitātes prasībām un īres maksas līmeni, kas apstiprina, ka ir sasniegti visi attiecīgie atskaites punkta elementi.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70713D1" w14:textId="77777777"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t>Valsts attīstības iestāde “Altum” ir apstiprinājusi finansējumu vismaz 467 dzīvokļu projektiem.</w:t>
            </w:r>
          </w:p>
          <w:p w14:paraId="058FE8F6" w14:textId="77777777"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t>Apstiprināto projektu ietvaros nodrošina mājokli par zemu īres maksu (orientējoši 4,40 EUR/m²). Apstiprinātie projekti atbilst augstām kvalitātes prasībām: 1) ēkām ir gandrīz nulles enerģijas patēriņš, 2) ekspluatācijas uzsākšanas brīdī tiek veiktas atbilstīgas kvalitātes pārbaudes (akustiskie mērījumi, ēku gaisa caurlaidības tests).</w:t>
            </w:r>
          </w:p>
        </w:tc>
      </w:tr>
      <w:tr w:rsidR="00930B4F" w:rsidRPr="00930B4F" w14:paraId="43F15B6F"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0A4869ED"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103</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714669E" w14:textId="77777777" w:rsidR="00067A32" w:rsidRPr="00930B4F" w:rsidRDefault="00067A32" w:rsidP="00481482">
            <w:pPr>
              <w:widowControl w:val="0"/>
              <w:spacing w:after="0" w:line="240" w:lineRule="auto"/>
              <w:jc w:val="both"/>
              <w:rPr>
                <w:rFonts w:ascii="Times New Roman" w:eastAsia="Calibri" w:hAnsi="Times New Roman" w:cs="Times New Roman"/>
                <w:b/>
                <w:bCs/>
                <w:noProof/>
                <w:sz w:val="18"/>
                <w:szCs w:val="20"/>
              </w:rPr>
            </w:pPr>
            <w:r w:rsidRPr="00930B4F">
              <w:rPr>
                <w:rFonts w:ascii="Times New Roman" w:hAnsi="Times New Roman"/>
                <w:b/>
                <w:sz w:val="18"/>
                <w:szCs w:val="20"/>
              </w:rPr>
              <w:t xml:space="preserve">3.1.1.4.i. </w:t>
            </w:r>
            <w:r w:rsidRPr="00930B4F">
              <w:rPr>
                <w:rFonts w:ascii="Times New Roman" w:hAnsi="Times New Roman"/>
                <w:b/>
                <w:sz w:val="18"/>
                <w:szCs w:val="20"/>
              </w:rPr>
              <w:lastRenderedPageBreak/>
              <w:t xml:space="preserve">Finansēšanas fonda izveide zemas īres mājokļu būvniecībai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4B173C0"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Mērķis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6B230A4"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Uzcelto dzīvokļu </w:t>
            </w:r>
            <w:r w:rsidRPr="00930B4F">
              <w:rPr>
                <w:rFonts w:ascii="Times New Roman" w:hAnsi="Times New Roman"/>
                <w:sz w:val="18"/>
                <w:szCs w:val="20"/>
              </w:rPr>
              <w:lastRenderedPageBreak/>
              <w:t xml:space="preserve">skaits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D00DDA5"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543C328"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Skaits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3A2A28F"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0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143174D"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300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5E1A62A"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3. cet.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CB04DC8"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2026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2A4D828" w14:textId="77777777"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 xml:space="preserve">Ekonomikas </w:t>
            </w:r>
            <w:r w:rsidRPr="00930B4F">
              <w:rPr>
                <w:rFonts w:ascii="Times New Roman" w:hAnsi="Times New Roman"/>
                <w:sz w:val="18"/>
                <w:szCs w:val="20"/>
              </w:rPr>
              <w:lastRenderedPageBreak/>
              <w:t>ministrija, “Altum”</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90562F4"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EB1FE30" w14:textId="77777777"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 xml:space="preserve">Kopsavilkuma </w:t>
            </w:r>
            <w:r w:rsidRPr="00930B4F">
              <w:rPr>
                <w:rFonts w:ascii="Times New Roman" w:hAnsi="Times New Roman"/>
                <w:sz w:val="18"/>
                <w:szCs w:val="20"/>
              </w:rPr>
              <w:lastRenderedPageBreak/>
              <w:t>dokuments, kurā pienācīgi pamatots, kā tika apmierinoši sasniegts mērķis (tostarp visi būtiskie elementi), kopā ar atbilstošām saitēm uz pamatojošajiem pierādījumiem.</w:t>
            </w:r>
          </w:p>
          <w:p w14:paraId="6B1CBBC3"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Šā dokumenta pielikumā iekļauj uzbūvēto dzīvokļu sarakstu, tostarp:</w:t>
            </w:r>
          </w:p>
          <w:p w14:paraId="1EF6F26F"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 atsauces uz apliecinājumiem par katras ēkas nodošanu ekspluatācijā;</w:t>
            </w:r>
          </w:p>
          <w:p w14:paraId="0806C912"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 oficiālas atsauces uz individuāliem energoefektivitātes sertifikātiem katrai ēkai, kas apliecina atbilstību Padomes Īstenošanas lēmuma pielikumā norādītajiem nosacījumiem;</w:t>
            </w:r>
          </w:p>
          <w:p w14:paraId="7790C91E" w14:textId="1F22759D"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 xml:space="preserve">- oficiālas atsauces uz kvalitātes testiem.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8807ABD" w14:textId="08451A67"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Pabeigti projekti ar </w:t>
            </w:r>
            <w:r w:rsidRPr="00930B4F">
              <w:rPr>
                <w:rFonts w:ascii="Times New Roman" w:hAnsi="Times New Roman"/>
                <w:sz w:val="18"/>
                <w:szCs w:val="20"/>
              </w:rPr>
              <w:lastRenderedPageBreak/>
              <w:t>300 dzīvokļiem, kas uzbūvēti un nodoti atbilstīgi šādām specifikācijām: 1) ēkām ir gandrīz nulles enerģijas patēriņš, 2) ekspluatācijas uzsākšanas brīdī tiek veiktas atbilstīgas kvalitātes pārbaudes (akustiskie mērījumi, ēku gaisa caurlaidības tests).</w:t>
            </w:r>
          </w:p>
        </w:tc>
      </w:tr>
      <w:tr w:rsidR="00930B4F" w:rsidRPr="00930B4F" w14:paraId="668717B8"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1D4D82B3"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104</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19BCA8B" w14:textId="77777777" w:rsidR="00067A32" w:rsidRPr="00930B4F" w:rsidRDefault="00067A32" w:rsidP="00481482">
            <w:pPr>
              <w:widowControl w:val="0"/>
              <w:spacing w:after="0" w:line="240" w:lineRule="auto"/>
              <w:jc w:val="both"/>
              <w:rPr>
                <w:rFonts w:ascii="Times New Roman" w:eastAsia="Calibri" w:hAnsi="Times New Roman" w:cs="Times New Roman"/>
                <w:b/>
                <w:bCs/>
                <w:noProof/>
                <w:sz w:val="18"/>
                <w:szCs w:val="20"/>
              </w:rPr>
            </w:pPr>
            <w:r w:rsidRPr="00930B4F">
              <w:rPr>
                <w:rFonts w:ascii="Times New Roman" w:hAnsi="Times New Roman"/>
                <w:b/>
                <w:sz w:val="18"/>
                <w:szCs w:val="20"/>
              </w:rPr>
              <w:t xml:space="preserve">3.1.1.5.i. Izglītības iestāžu infrastruktūras pilnveide un aprīkošana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0B61535"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Atskaites punkts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4585C82"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Pieņemto kvalitatīvo un kvantitatīvo kritēriju noteikšana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CE1C14A"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Tiesiskais regulējums ir stājies spēkā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BC11A76"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A20EDE4"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C53398A"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FD34AC1"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4. cet.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7E7D655"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2021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4165D69" w14:textId="77777777"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Izglītības un zinātnes ministrija</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90A5984"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D18E4AA" w14:textId="77777777" w:rsidR="00067A3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 xml:space="preserve">Tiesību aktu kopija un saite uz publikāciju oficiālajā izdevumā, tostarp atsauce uz noteikumu, kurā norādīta stāšanās spēkā, kam pievienots kopsavilkuma </w:t>
            </w:r>
            <w:r w:rsidRPr="00930B4F">
              <w:rPr>
                <w:rFonts w:ascii="Times New Roman" w:hAnsi="Times New Roman"/>
                <w:sz w:val="18"/>
                <w:szCs w:val="20"/>
              </w:rPr>
              <w:lastRenderedPageBreak/>
              <w:t xml:space="preserve">dokuments, kurā pienācīgi pamatots, kā tika apmierinoši sasniegts atskaites punkts (tostarp visi būtiskie elementi), kopā ar atbilstošām saitēm uz pamatojošajiem pierādījumiem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F08FAB8" w14:textId="77777777"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Tāda valdības pieņemtā tiesiskā regulējuma stāšanās spēkā, ar ko veicina augstas kvalitātes izglītības nodrošināšanu, sekmējot vispusīgu </w:t>
            </w:r>
            <w:r w:rsidRPr="00930B4F">
              <w:rPr>
                <w:rFonts w:ascii="Times New Roman" w:hAnsi="Times New Roman"/>
                <w:sz w:val="18"/>
                <w:szCs w:val="20"/>
              </w:rPr>
              <w:lastRenderedPageBreak/>
              <w:t>izglītības programmu piedāvājumu reģionālā līmenī, kā arī izveidojot vispārējās vidējās izglītības iestāžu tīklu atbilstoši demogrāfiskajai situācijai. Tiesiskajā regulējumā nosaka minimālos kvantitatīvos un kvalitātes kritērijus (piemēram, minimālais izglītības guvēju skaits, infrastruktūras pieejamība utt.) vispārējās vidējās izglītības iestādēm.</w:t>
            </w:r>
          </w:p>
        </w:tc>
      </w:tr>
      <w:tr w:rsidR="00930B4F" w:rsidRPr="00930B4F" w14:paraId="6D5D1515"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67A5D47E"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105</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FD5E021" w14:textId="77777777" w:rsidR="00067A32" w:rsidRPr="00930B4F" w:rsidRDefault="00067A32" w:rsidP="00481482">
            <w:pPr>
              <w:widowControl w:val="0"/>
              <w:spacing w:after="0" w:line="240" w:lineRule="auto"/>
              <w:jc w:val="both"/>
              <w:rPr>
                <w:rFonts w:ascii="Times New Roman" w:eastAsia="Calibri" w:hAnsi="Times New Roman" w:cs="Times New Roman"/>
                <w:b/>
                <w:bCs/>
                <w:noProof/>
                <w:sz w:val="18"/>
                <w:szCs w:val="20"/>
              </w:rPr>
            </w:pPr>
            <w:r w:rsidRPr="00930B4F">
              <w:rPr>
                <w:rFonts w:ascii="Times New Roman" w:hAnsi="Times New Roman"/>
                <w:b/>
                <w:sz w:val="18"/>
                <w:szCs w:val="20"/>
              </w:rPr>
              <w:t xml:space="preserve">3.1.1.5.i. Izglītības iestāžu infrastruktūras pilnveide un aprīkošana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B044395"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Atskaites punkts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DA16CB1"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Vietējās domes pieņem lēmumus par vismaz 20 vispārējās vidējās izglītības iestāžu reorganizāciju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4D399AC"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Vietējās domes pieņem lēmumus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4BB0705"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60912BF"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521119E"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0AD80E9"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 cet.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B37526B"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2022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461C2AB" w14:textId="77777777"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Izglītības un zinātnes ministrija</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575CDE7"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368B7BD" w14:textId="77777777"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Kopsavilkuma dokuments, kurā pienācīgi pamatots, kā tika apmierinoši sasniegts atskaites punkts (tostarp visi būtiskie elementi), kopā ar atbilstošām saitēm uz pamatojošajiem pierādījumiem.</w:t>
            </w:r>
          </w:p>
          <w:p w14:paraId="335D9691" w14:textId="77777777" w:rsidR="00067A3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 xml:space="preserve">Šā dokumenta pielikumā iekļauj lēmumu par vismaz </w:t>
            </w:r>
            <w:r w:rsidRPr="00930B4F">
              <w:rPr>
                <w:rFonts w:ascii="Times New Roman" w:hAnsi="Times New Roman"/>
                <w:sz w:val="18"/>
                <w:szCs w:val="20"/>
              </w:rPr>
              <w:lastRenderedPageBreak/>
              <w:t>20 vispārējās vidējās izglītības iestāžu reorganizāciju sarakstu un to kopijas.</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8660867" w14:textId="77777777"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lastRenderedPageBreak/>
              <w:t>Vietējo pašvaldību lēmumi par vismaz 20 vispārējās izglītības iestāžu reorganizāciju (apvienošana, izglītības līmeņa maiņa).</w:t>
            </w:r>
          </w:p>
        </w:tc>
      </w:tr>
      <w:tr w:rsidR="00930B4F" w:rsidRPr="00930B4F" w14:paraId="7E244FAE"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26FEB347"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106</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4306CF5" w14:textId="77777777" w:rsidR="00067A32" w:rsidRPr="00930B4F" w:rsidRDefault="00067A32" w:rsidP="00481482">
            <w:pPr>
              <w:widowControl w:val="0"/>
              <w:spacing w:after="0" w:line="240" w:lineRule="auto"/>
              <w:jc w:val="both"/>
              <w:rPr>
                <w:rFonts w:ascii="Times New Roman" w:eastAsia="Calibri" w:hAnsi="Times New Roman" w:cs="Times New Roman"/>
                <w:b/>
                <w:bCs/>
                <w:noProof/>
                <w:sz w:val="18"/>
                <w:szCs w:val="20"/>
              </w:rPr>
            </w:pPr>
            <w:r w:rsidRPr="00930B4F">
              <w:rPr>
                <w:rFonts w:ascii="Times New Roman" w:hAnsi="Times New Roman"/>
                <w:b/>
                <w:sz w:val="18"/>
                <w:szCs w:val="20"/>
              </w:rPr>
              <w:t xml:space="preserve">3.1.1.5.i. Izglītības iestāžu infrastruktūras pilnveide un aprīkošana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0D0B565"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Mērķis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1CB94A0"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Izglītības iestāžu infrastruktūras pilnveide un aprīkošana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A1162B0"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803EC5C"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Skaits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98F378D"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0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652E38E"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21</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4F0956D"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3. cet.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CA16472"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2026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69727D4" w14:textId="77777777"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Izglītības un zinātnes ministrija</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FDFD59F"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992EBD0"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2724A9A9" w14:textId="2AA07AC7" w:rsidR="00067A32" w:rsidRPr="00930B4F" w:rsidRDefault="00067A32" w:rsidP="00B20686">
            <w:pPr>
              <w:widowControl w:val="0"/>
              <w:spacing w:after="0" w:line="240" w:lineRule="auto"/>
              <w:rPr>
                <w:rFonts w:ascii="Times New Roman" w:eastAsia="Arial Narrow" w:hAnsi="Times New Roman" w:cs="Arial Narrow"/>
                <w:noProof/>
                <w:sz w:val="18"/>
                <w:szCs w:val="20"/>
              </w:rPr>
            </w:pPr>
          </w:p>
          <w:p w14:paraId="448D74B6" w14:textId="77777777"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Šā dokumenta pielikumā iekļauj šādus dokumentārus pierādījumus:</w:t>
            </w:r>
          </w:p>
          <w:p w14:paraId="6079DBDC" w14:textId="0736D1A3"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a) uzlaboto izglītības iestāžu sarakstu;</w:t>
            </w:r>
          </w:p>
          <w:p w14:paraId="3C57B110" w14:textId="0372A6E9"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b) katras infrastruktūras īsu aprakstu saskaņā ar Padomes Īstenošanas lēmuma pielikumu;</w:t>
            </w:r>
          </w:p>
          <w:p w14:paraId="0B3086E3" w14:textId="77777777"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c) izrakstu no attiecīgajām projekta daļām, tostarp par infrastruktūras pilnveidi un iekārtu iepirkumiem, kas apliecina atbilstību Padomes Īstenošanas lēmumā sniegtajam mērķa un investīciju aprakstam;</w:t>
            </w:r>
          </w:p>
          <w:p w14:paraId="5FB3754D" w14:textId="3441C0FB"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lastRenderedPageBreak/>
              <w:t>d) uzlabotās infrastruktūras pabeigšanas apstiprinājumu, kas satur vismaz vienu no šādiem dokumentiem (kopijas): 1) būvlaukuma nodošanas un pieņemšanas akts; 2) iesniegums būvvaldei vai būvniecības informācijas sistēmā par ēkas gatavību nodošanai ekspluatācijā saskaņā ar būvniecības normatīvajiem aktiem; 3) akts par ēkas pieņemšanu ekspluatācijā.</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2A7E5B7" w14:textId="77777777"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Infrastruktūras uzlabošana 21 vispārējās izglītības iestādē, ko vietējās pašvaldības izveidojušas saskaņā ar specifikācijām: var paredzēt investīcijas izglītības iestāžu fiziskās vides uzlabošanai – klašu telpām, kas atbilst higiēnas prasībām, inženiertīklu (tostarp ventilācijas sistēmu) rekonstrukcijai, pietiekama un energoefektīva apgaismojuma nodrošināšanai, kā arī citiem ergonomiskiem un mūsdienīgiem izglītības vides risinājumiem. Šīs investīcijas skolu infrastruktūrā saskaņā ar ANM var izmantot arī </w:t>
            </w:r>
            <w:r w:rsidRPr="00930B4F">
              <w:rPr>
                <w:rFonts w:ascii="Times New Roman" w:hAnsi="Times New Roman"/>
                <w:sz w:val="18"/>
                <w:szCs w:val="20"/>
              </w:rPr>
              <w:lastRenderedPageBreak/>
              <w:t xml:space="preserve">informācijas tehnoloģiju un zinātnes, tehnoloģiju, inženierzinātņu un matemātikas iekārtu iegādei, jaunu, uzlabotu mācību programmu īstenošanai un attālinātu un tiešsaistes mācību īstenošanai. </w:t>
            </w:r>
          </w:p>
        </w:tc>
      </w:tr>
      <w:tr w:rsidR="00930B4F" w:rsidRPr="00930B4F" w14:paraId="372104D6"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5211BAE0"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107</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D3B0D1A" w14:textId="77777777" w:rsidR="00067A32" w:rsidRPr="00930B4F" w:rsidRDefault="00067A32" w:rsidP="00481482">
            <w:pPr>
              <w:widowControl w:val="0"/>
              <w:spacing w:after="0" w:line="240" w:lineRule="auto"/>
              <w:jc w:val="both"/>
              <w:rPr>
                <w:rFonts w:ascii="Times New Roman" w:eastAsia="Calibri" w:hAnsi="Times New Roman" w:cs="Times New Roman"/>
                <w:b/>
                <w:bCs/>
                <w:noProof/>
                <w:sz w:val="18"/>
                <w:szCs w:val="20"/>
              </w:rPr>
            </w:pPr>
            <w:r w:rsidRPr="00930B4F">
              <w:rPr>
                <w:rFonts w:ascii="Times New Roman" w:hAnsi="Times New Roman"/>
                <w:b/>
                <w:sz w:val="18"/>
                <w:szCs w:val="20"/>
              </w:rPr>
              <w:t xml:space="preserve">3.1.1.6.i. Pašvaldību funkciju īstenošanai un saistīto pakalpojumu sniegšanai nepieciešamo bezizmešu transportlīdzekļu iegāde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D725D3D"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Atskaites punkts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76FA8E1"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Ir pieņemta atbalsta programma vietējām pašvaldībām elektroautobusu iegādei pašvaldību funkciju veikšanai un saistīto pakalpojumu sniegšanai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1AE90A9"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Ministru kabineta noteikumu spēkā stāšanās</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0F083D5"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5FE2D16"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314935D"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7661FB1"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4. cet.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3DA9906"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2022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42D5F35" w14:textId="77777777"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Viedās administrācijas un reģionālās attīstības ministrija</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BAA60E6"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2543FEF" w14:textId="77777777" w:rsidR="00067A3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 xml:space="preserve">Ministru kabineta noteikumu kopija un saite uz publikāciju oficiālajā izdevumā, tostarp atsauce uz noteikumu, kurā norādīta stāšanās spēkā, kam pievienots kopsavilkuma dokuments, kurā pienācīgi pamatots, kā tika apmierinoši sasniegts atskaites punkts (tostarp visi būtiskie elementi), kopā ar atbilstošām </w:t>
            </w:r>
            <w:r w:rsidRPr="00930B4F">
              <w:rPr>
                <w:rFonts w:ascii="Times New Roman" w:hAnsi="Times New Roman"/>
                <w:sz w:val="18"/>
                <w:szCs w:val="20"/>
              </w:rPr>
              <w:lastRenderedPageBreak/>
              <w:t>saitēm uz pamatojošajiem pierādījumiem.</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5256859" w14:textId="2B947492"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Stājas spēkā Ministru kabineta noteikumi, kas nosaka īstenošanas nosacījumus atbalsta sniegšanai vietējām pašvaldībām elektroautobusu iegādei pašvaldības funkciju veikšanai un saistīto pakalpojumu sniegšanai. </w:t>
            </w:r>
          </w:p>
        </w:tc>
      </w:tr>
      <w:tr w:rsidR="00930B4F" w:rsidRPr="00930B4F" w14:paraId="0C4DACF4"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08C362E2"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108</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AB5231C" w14:textId="77777777" w:rsidR="00067A32" w:rsidRPr="00930B4F" w:rsidRDefault="00067A32" w:rsidP="00481482">
            <w:pPr>
              <w:widowControl w:val="0"/>
              <w:spacing w:after="0" w:line="240" w:lineRule="auto"/>
              <w:jc w:val="both"/>
              <w:rPr>
                <w:rFonts w:ascii="Times New Roman" w:eastAsia="Calibri" w:hAnsi="Times New Roman" w:cs="Times New Roman"/>
                <w:b/>
                <w:bCs/>
                <w:noProof/>
                <w:sz w:val="18"/>
                <w:szCs w:val="20"/>
              </w:rPr>
            </w:pPr>
            <w:r w:rsidRPr="00930B4F">
              <w:rPr>
                <w:rFonts w:ascii="Times New Roman" w:hAnsi="Times New Roman"/>
                <w:b/>
                <w:sz w:val="18"/>
                <w:szCs w:val="20"/>
              </w:rPr>
              <w:t xml:space="preserve">3.1.1.6.i. Pašvaldību funkciju īstenošanai un saistīto pakalpojumu sniegšanai nepieciešamo bezizmešu transportlīdzekļu iegāde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210CD0E"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Mērķis</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9974A6E" w14:textId="7BC64D78"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Tādu skolas elektroautobusu skaits, kas iegādāti, pamatojoties uz līgumiem par elektroautobusu iegādi, pašvaldības funkciju un saistīto pakalpojumu nodrošināšanai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C0F4E94"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2465DE8"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Skaits</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08D5476"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0</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8EE2222" w14:textId="77777777" w:rsidR="00067A32" w:rsidRPr="00930B4F" w:rsidRDefault="00067A32" w:rsidP="00481482">
            <w:pPr>
              <w:widowControl w:val="0"/>
              <w:spacing w:after="0" w:line="240" w:lineRule="auto"/>
              <w:jc w:val="both"/>
              <w:rPr>
                <w:rFonts w:ascii="Times New Roman" w:eastAsia="Times New Roman" w:hAnsi="Times New Roman" w:cs="Times New Roman"/>
                <w:noProof/>
                <w:color w:val="000000" w:themeColor="text1"/>
                <w:sz w:val="18"/>
                <w:szCs w:val="20"/>
              </w:rPr>
            </w:pPr>
            <w:r w:rsidRPr="00930B4F">
              <w:rPr>
                <w:rFonts w:ascii="Times New Roman" w:hAnsi="Times New Roman"/>
                <w:color w:val="000000" w:themeColor="text1"/>
                <w:sz w:val="18"/>
                <w:szCs w:val="20"/>
              </w:rPr>
              <w:t>15</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2A06870"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3. cet.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ED374B8"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2023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1317D21" w14:textId="77777777"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Viedās administrācijas un reģionālās attīstības ministrija, Centrālā finanšu un līgumu aģentūra, pašvaldības</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29A1D00"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31865C2"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4AA81E38"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Šā dokumenta pielikumā iekļauj šādus dokumentārus pierādījumus par katru no piešķīrumiem:</w:t>
            </w:r>
          </w:p>
          <w:p w14:paraId="0D76A547" w14:textId="3064F9AD" w:rsidR="00481482" w:rsidRPr="00930B4F" w:rsidRDefault="000C54BD" w:rsidP="00B20686">
            <w:pPr>
              <w:pStyle w:val="ListParagraph"/>
              <w:widowControl w:val="0"/>
              <w:tabs>
                <w:tab w:val="left" w:pos="325"/>
              </w:tabs>
              <w:spacing w:after="0" w:line="240" w:lineRule="auto"/>
              <w:ind w:left="0"/>
              <w:contextualSpacing w:val="0"/>
              <w:rPr>
                <w:rFonts w:ascii="Times New Roman" w:eastAsia="Arial Narrow" w:hAnsi="Times New Roman" w:cs="Arial Narrow"/>
                <w:noProof/>
                <w:sz w:val="18"/>
                <w:szCs w:val="20"/>
              </w:rPr>
            </w:pPr>
            <w:r w:rsidRPr="00930B4F">
              <w:rPr>
                <w:rFonts w:ascii="Times New Roman" w:hAnsi="Times New Roman"/>
                <w:sz w:val="18"/>
                <w:szCs w:val="20"/>
              </w:rPr>
              <w:t>a) atsauci un saiti uz oficiālo izdevumu vai datu bāzi, kurā ir publicēta informācija par līguma slēgšanas tiesību piešķiršanu;</w:t>
            </w:r>
          </w:p>
          <w:p w14:paraId="496ED77E" w14:textId="0B74EF1D" w:rsidR="00481482" w:rsidRPr="00930B4F" w:rsidRDefault="000C54BD" w:rsidP="00B20686">
            <w:pPr>
              <w:pStyle w:val="ListParagraph"/>
              <w:widowControl w:val="0"/>
              <w:tabs>
                <w:tab w:val="left" w:pos="325"/>
              </w:tabs>
              <w:spacing w:after="0" w:line="240" w:lineRule="auto"/>
              <w:ind w:left="0"/>
              <w:contextualSpacing w:val="0"/>
              <w:rPr>
                <w:rFonts w:ascii="Times New Roman" w:eastAsia="Arial Narrow" w:hAnsi="Times New Roman" w:cs="Arial Narrow"/>
                <w:noProof/>
                <w:sz w:val="18"/>
                <w:szCs w:val="20"/>
              </w:rPr>
            </w:pPr>
            <w:r w:rsidRPr="00930B4F">
              <w:rPr>
                <w:rFonts w:ascii="Times New Roman" w:hAnsi="Times New Roman"/>
                <w:sz w:val="18"/>
                <w:szCs w:val="20"/>
              </w:rPr>
              <w:t>b) izrakstu no attiecīgiem oficiāliem dokumentiem, kurā ir apliecinājums, ka ir noslēgti līgumi par vismaz 15 elektroautobusu iegādi un ka tie ir saskaņā ar Padomes Īstenošanas lēmumā sniegto mērķa un investīciju aprakstu;</w:t>
            </w:r>
          </w:p>
          <w:p w14:paraId="0978100A" w14:textId="07DA0C23" w:rsidR="00067A32" w:rsidRPr="00930B4F" w:rsidRDefault="002711CC" w:rsidP="00B20686">
            <w:pPr>
              <w:pStyle w:val="ListParagraph"/>
              <w:widowControl w:val="0"/>
              <w:tabs>
                <w:tab w:val="left" w:pos="325"/>
              </w:tabs>
              <w:spacing w:after="0" w:line="240" w:lineRule="auto"/>
              <w:ind w:left="0"/>
              <w:contextualSpacing w:val="0"/>
              <w:rPr>
                <w:rFonts w:ascii="Times New Roman" w:eastAsia="Arial Narrow" w:hAnsi="Times New Roman" w:cs="Arial Narrow"/>
                <w:noProof/>
                <w:sz w:val="18"/>
                <w:szCs w:val="20"/>
              </w:rPr>
            </w:pPr>
            <w:r w:rsidRPr="00930B4F">
              <w:rPr>
                <w:rFonts w:ascii="Times New Roman" w:hAnsi="Times New Roman"/>
                <w:sz w:val="18"/>
                <w:szCs w:val="20"/>
              </w:rPr>
              <w:t xml:space="preserve">c) piešķirtās summas </w:t>
            </w:r>
            <w:r w:rsidRPr="00930B4F">
              <w:rPr>
                <w:rFonts w:ascii="Times New Roman" w:hAnsi="Times New Roman"/>
                <w:sz w:val="18"/>
                <w:szCs w:val="20"/>
              </w:rPr>
              <w:lastRenderedPageBreak/>
              <w:t>apmēru (bez PVN).</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E0BF89E" w14:textId="77777777"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Līguma slēgšanas tiesību piešķiršana par 15 elektroautobusu iegādi pašvaldības funkciju un saistīto pakalpojumu nodrošināšanai. </w:t>
            </w:r>
          </w:p>
        </w:tc>
      </w:tr>
      <w:tr w:rsidR="00930B4F" w:rsidRPr="00930B4F" w14:paraId="0BD9F4E7"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1AF0C12B"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109</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38D21FB" w14:textId="545D320D" w:rsidR="00067A32" w:rsidRPr="00930B4F" w:rsidRDefault="00067A32" w:rsidP="00481482">
            <w:pPr>
              <w:widowControl w:val="0"/>
              <w:spacing w:after="0" w:line="240" w:lineRule="auto"/>
              <w:jc w:val="both"/>
              <w:rPr>
                <w:rFonts w:ascii="Times New Roman" w:eastAsia="Calibri" w:hAnsi="Times New Roman" w:cs="Times New Roman"/>
                <w:b/>
                <w:bCs/>
                <w:noProof/>
                <w:sz w:val="18"/>
                <w:szCs w:val="20"/>
              </w:rPr>
            </w:pPr>
            <w:r w:rsidRPr="00930B4F">
              <w:rPr>
                <w:rFonts w:ascii="Times New Roman" w:hAnsi="Times New Roman"/>
                <w:b/>
                <w:sz w:val="18"/>
                <w:szCs w:val="20"/>
              </w:rPr>
              <w:t>3.1.1.6.i. Pašvaldību funkciju īstenošanai un saistīto pakalpojumu sniegšanai nepieciešamo bezizmešu transportlīdzekļu iegāde</w:t>
            </w:r>
          </w:p>
          <w:p w14:paraId="185D6F3B"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380E421"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Mērķis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2BC9A96"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Iegādāto skolas elektroautobusu skaits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88322BD"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9D899FC"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Skaits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5980C8C"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0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52632F2"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15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57D50D1"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4. cet.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3925924"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2025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0726D2D" w14:textId="77777777"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Viedās administrācijas un reģionālās attīstības ministrija, Centrālā finanšu un līgumu aģentūra, pašvaldības</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0D352E7"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8A498D3"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518F9E4E" w14:textId="7BDAD8BB" w:rsidR="00067A3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Šā dokumenta pielikumā iekļauj izrakstu no attiecīgiem oficiāliem dokumentiem, kas apliecina, ka elektroautobusi ir piegādāti pašvaldībām kā atbalsta saņēmējām izglītības guvēju pašvaldības transportam (piemēram, pieņemšanas un nodošanas akts vai cits pirkumu un piegādi apliecinošs dokuments).</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DB8F69F" w14:textId="1655FD15"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t>15 skolas elektroautobusu piegāde pašvaldībām kā atbalsta saņēmējām izglītības guvēju pašvaldības transportam</w:t>
            </w:r>
          </w:p>
        </w:tc>
      </w:tr>
      <w:tr w:rsidR="00930B4F" w:rsidRPr="00930B4F" w14:paraId="786B62DD"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4394EBCE"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109a</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32705EB" w14:textId="77777777" w:rsidR="00067A32" w:rsidRPr="00930B4F" w:rsidRDefault="00067A32" w:rsidP="00481482">
            <w:pPr>
              <w:widowControl w:val="0"/>
              <w:spacing w:after="0" w:line="240" w:lineRule="auto"/>
              <w:jc w:val="both"/>
              <w:rPr>
                <w:rFonts w:ascii="Times New Roman" w:eastAsia="Arial Narrow" w:hAnsi="Times New Roman" w:cs="Arial Narrow"/>
                <w:noProof/>
                <w:sz w:val="18"/>
                <w:szCs w:val="20"/>
              </w:rPr>
            </w:pPr>
            <w:r w:rsidRPr="00930B4F">
              <w:rPr>
                <w:rFonts w:ascii="Times New Roman" w:hAnsi="Times New Roman"/>
                <w:sz w:val="18"/>
                <w:szCs w:val="20"/>
              </w:rPr>
              <w:t>3.1.1.7.i. Aizdevumi nekustamā īpašuma attīstītājiem zemas īres maksas mājokļu būvniecībai</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B1AD82B"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Atskaites punkts</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FE3D49E"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Īstenošanas līgums un investīciju veikšana</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26099EC"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Īstenošanas līguma un nodošanas akta stāšanās spēkā</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EFDDB7D"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BD9FB57"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48C0389"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A706AD2"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2. cet.</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5BEE224"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2025</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6F64FA0" w14:textId="77777777"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Ekonomikas ministrija, “Altum”</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2599114"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11F91F1" w14:textId="77777777"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 xml:space="preserve">Kopsavilkuma dokuments, kurā pienācīgi pamatots, kā tika apmierinoši sasniegts atskaites punkts (tostarp būtiskie elementi). Šā dokumenta pielikumā </w:t>
            </w:r>
            <w:r w:rsidRPr="00930B4F">
              <w:rPr>
                <w:rFonts w:ascii="Times New Roman" w:hAnsi="Times New Roman"/>
                <w:sz w:val="18"/>
                <w:szCs w:val="20"/>
              </w:rPr>
              <w:lastRenderedPageBreak/>
              <w:t>iekļauj:</w:t>
            </w:r>
          </w:p>
          <w:p w14:paraId="4917D033"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a) parakstītā īstenošanas līguma kopiju ar atsauci uz noteikumiem, kurā norādīta stāšanās spēkā, un</w:t>
            </w:r>
          </w:p>
          <w:p w14:paraId="7033BBEC" w14:textId="4D5FBB5D"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b) konta izraksta kopiju par summu (29 020 919 EUR), ko Valsts kase pārskaitījusi ALTUM par mehānismu.</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BBD4E24" w14:textId="77777777"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lastRenderedPageBreak/>
              <w:t>Īstenošanas līgums stājas spēkā, un Latvija pārskaita ALTUM 29 020 919 EUR par mehānismu.</w:t>
            </w:r>
          </w:p>
        </w:tc>
      </w:tr>
      <w:tr w:rsidR="00930B4F" w:rsidRPr="00930B4F" w14:paraId="406BA96C"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4ABCA36F"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109b</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1D6A993" w14:textId="77777777" w:rsidR="00067A32" w:rsidRPr="00930B4F" w:rsidRDefault="00067A32" w:rsidP="00481482">
            <w:pPr>
              <w:widowControl w:val="0"/>
              <w:spacing w:after="0" w:line="240" w:lineRule="auto"/>
              <w:jc w:val="both"/>
              <w:rPr>
                <w:rFonts w:ascii="Times New Roman" w:eastAsia="Arial Narrow" w:hAnsi="Times New Roman" w:cs="Arial Narrow"/>
                <w:noProof/>
                <w:sz w:val="18"/>
                <w:szCs w:val="20"/>
              </w:rPr>
            </w:pPr>
            <w:r w:rsidRPr="00930B4F">
              <w:rPr>
                <w:rFonts w:ascii="Times New Roman" w:hAnsi="Times New Roman"/>
                <w:sz w:val="18"/>
                <w:szCs w:val="20"/>
              </w:rPr>
              <w:t>3.1.1.7.i. Aizdevumi nekustamā īpašuma attīstītājiem zemas īres maksas mājokļu būvniecībai</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334347B"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Mērķis</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4CE48D8"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Juridiski līgumi, kas parakstīti ar galasaņēmējiem</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8CD7177"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C86CAC1"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Procenti</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A1D36DD"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0 %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DCE9394"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100 %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9005FB2"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2. cet.</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E63FBB8"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2026</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CBC8355" w14:textId="77777777"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Ekonomikas ministrija, “Altum”</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7072446"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8078DCF" w14:textId="77777777"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Kopsavilkuma dokuments, kurā pienācīgi pamatots, kā tika apmierinoši sasniegts mērķis (tostarp būtiskie elementi).</w:t>
            </w:r>
          </w:p>
          <w:p w14:paraId="04D82C1F" w14:textId="77777777"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Šā dokumenta pielikumā iekļauj ar galasaņēmējiem noslēgto juridisko finansēšanas līgumu sarakstu, norādot arī to unikālos atsauces numurus un līguma summu.</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42166A4" w14:textId="77777777"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t>ALTUM ir noslēdzis juridiskus finansēšanas līgumus ar galasaņēmējiem par summu, kas nepieciešama, lai izmantotu 100 % no ANM investīcijām mehānismā (ņemot vērā kontu pārvaldības maksas).</w:t>
            </w:r>
          </w:p>
        </w:tc>
      </w:tr>
      <w:tr w:rsidR="00930B4F" w:rsidRPr="00930B4F" w14:paraId="031F25E8"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7D4F7A35"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110</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D104B9F" w14:textId="77777777" w:rsidR="00067A32" w:rsidRPr="00930B4F" w:rsidRDefault="00067A32" w:rsidP="00481482">
            <w:pPr>
              <w:widowControl w:val="0"/>
              <w:spacing w:after="0" w:line="240" w:lineRule="auto"/>
              <w:jc w:val="both"/>
              <w:rPr>
                <w:rFonts w:ascii="Times New Roman" w:eastAsia="Calibri" w:hAnsi="Times New Roman" w:cs="Times New Roman"/>
                <w:b/>
                <w:bCs/>
                <w:noProof/>
                <w:sz w:val="18"/>
                <w:szCs w:val="20"/>
              </w:rPr>
            </w:pPr>
            <w:r w:rsidRPr="00930B4F">
              <w:rPr>
                <w:rFonts w:ascii="Times New Roman" w:hAnsi="Times New Roman"/>
                <w:b/>
                <w:sz w:val="18"/>
                <w:szCs w:val="20"/>
              </w:rPr>
              <w:t xml:space="preserve">3.1.2.r. Sociālo un nodarbinātības pakalpojumu pieejamība minimālo ienākumu reformas </w:t>
            </w:r>
            <w:r w:rsidRPr="00930B4F">
              <w:rPr>
                <w:rFonts w:ascii="Times New Roman" w:hAnsi="Times New Roman"/>
                <w:b/>
                <w:sz w:val="18"/>
                <w:szCs w:val="20"/>
              </w:rPr>
              <w:lastRenderedPageBreak/>
              <w:t xml:space="preserve">atbalstam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5320315"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Atskaites punkts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AACFAE6" w14:textId="76FE387E"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Stratēģiskā satvara pieņemšana minimālā ienākuma atbalsta sistēmas turpmākai attīstībai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921FADC"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Ministru kabinets ir apstiprinājis stratēģisko satvaru minimālā ienākuma atbalsta sistēmas </w:t>
            </w:r>
            <w:r w:rsidRPr="00930B4F">
              <w:rPr>
                <w:rFonts w:ascii="Times New Roman" w:hAnsi="Times New Roman"/>
                <w:sz w:val="18"/>
                <w:szCs w:val="20"/>
              </w:rPr>
              <w:lastRenderedPageBreak/>
              <w:t xml:space="preserve">turpmākai attīstībai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7A19155"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C512154"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F7856E0"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6A9B488"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4. cet.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77F8120"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2021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189798C" w14:textId="77777777"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Labklājības ministrija</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208D04C"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72B9E52" w14:textId="175C9F3E" w:rsidR="00067A3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 xml:space="preserve">Stratēģiskais satvars minimālā ienākuma atbalsta sistēmas turpmākai attīstībai (kopija) un saite uz publikāciju oficiālajā izdevumā, tostarp atsauce uz noteikumu, </w:t>
            </w:r>
            <w:r w:rsidRPr="00930B4F">
              <w:rPr>
                <w:rFonts w:ascii="Times New Roman" w:hAnsi="Times New Roman"/>
                <w:sz w:val="18"/>
                <w:szCs w:val="20"/>
              </w:rPr>
              <w:lastRenderedPageBreak/>
              <w:t xml:space="preserve">kurā norādīta stāšanās spēkā, kam pievienots kopsavilkuma dokuments, kurā pienācīgi pamatots, kā tika apmierinoši sasniegts atskaites punkts (tostarp visi būtiskie elementi), kopā ar atbilstošām saitēm uz pamatojošajiem pierādījumiem. Dokumenta pielikumā iekļauj visus attiecīgos izrakstus, kas apliecina, ka stratēģiskajā satvarā ir ietverti visi atskaites punkta aprakstā sniegtie punkti.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B052745" w14:textId="77777777" w:rsidR="0048148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lastRenderedPageBreak/>
              <w:t>Ministru kabinets ir izstrādājis un apstiprinājis stratēģisko satvaru minimālā ienākuma atbalsta sistēmas turpmākai attīstībai, kas ietver vismaz:</w:t>
            </w:r>
          </w:p>
          <w:p w14:paraId="02B1ACF2" w14:textId="77CF693C"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lastRenderedPageBreak/>
              <w:t>— Plānu minimālo ienākumu atbalsta sistēmas pilnveidošanai 2022.–2024. gadam, lai stiprinātu minimālā ienākuma aprēķināšanas metodiku;</w:t>
            </w:r>
          </w:p>
          <w:p w14:paraId="58B13F9F" w14:textId="77777777" w:rsidR="0048148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t>— Sociālās aizsardzības un darba tirgus pamatnostādnes 2021.–2027. gadam, lai veicinātu iedzīvotāju sociālo iekļaušanu, mazinātu ienākumu nevienlīdzību un nabadzību, attīstītu pieejamus un individuālajām vajadzībām atbilstošus pakalpojumus, kā arī veicinātu augstu nodarbinātības līmeni kvalitatīvā darba vidē;</w:t>
            </w:r>
          </w:p>
          <w:p w14:paraId="2491B20F" w14:textId="77777777" w:rsidR="0048148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t xml:space="preserve">— Sociālo pakalpojumu attīstības plānu 2021.–2023. gadam, kura mērķis ir uzlabot kopienā balstītu </w:t>
            </w:r>
            <w:r w:rsidRPr="00930B4F">
              <w:rPr>
                <w:rFonts w:ascii="Times New Roman" w:hAnsi="Times New Roman"/>
                <w:sz w:val="18"/>
                <w:szCs w:val="20"/>
              </w:rPr>
              <w:lastRenderedPageBreak/>
              <w:t>pakalpojumu sniegšanu;</w:t>
            </w:r>
          </w:p>
          <w:p w14:paraId="34357D92" w14:textId="360CCFEE"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t xml:space="preserve">— Plānu personu ar invaliditāti vienlīdzīgu iespēju veicināšanai 2021.–2023. gadam, kura mērķis ir izstrādāt integrētu atbalsta sistēmu, kas atbilst personu ar invaliditāti vajadzībām. </w:t>
            </w:r>
          </w:p>
        </w:tc>
      </w:tr>
      <w:tr w:rsidR="00930B4F" w:rsidRPr="00930B4F" w14:paraId="4556123A"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5CFDDCEB"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111</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2110096" w14:textId="77777777" w:rsidR="00067A32" w:rsidRPr="00930B4F" w:rsidRDefault="00067A32" w:rsidP="00481482">
            <w:pPr>
              <w:widowControl w:val="0"/>
              <w:spacing w:after="0" w:line="240" w:lineRule="auto"/>
              <w:jc w:val="both"/>
              <w:rPr>
                <w:rFonts w:ascii="Times New Roman" w:eastAsia="Calibri" w:hAnsi="Times New Roman" w:cs="Times New Roman"/>
                <w:b/>
                <w:bCs/>
                <w:noProof/>
                <w:sz w:val="18"/>
                <w:szCs w:val="20"/>
              </w:rPr>
            </w:pPr>
            <w:r w:rsidRPr="00930B4F">
              <w:rPr>
                <w:rFonts w:ascii="Times New Roman" w:hAnsi="Times New Roman"/>
                <w:b/>
                <w:sz w:val="18"/>
                <w:szCs w:val="20"/>
              </w:rPr>
              <w:t xml:space="preserve">3.1.2.r. Sociālo un nodarbinātības pakalpojumu pieejamība minimālo ienākumu reformas atbalstam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1504379"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Atskaites punkts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F394FA6"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Stājas spēkā tiesību aktu grozījumi, lai uzlabotu minimālo ienākumu atbalsta sistēmu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4B17338" w14:textId="110D80D6"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Stājas spēkā tiesību aktu grozījumi, lai uzlabotu minimālo ienākumu atbalsta sistēmu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69DCBA4"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E9A1112"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78DA5BF"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01C71CC"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1. cet.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E4657AD"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2023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B9E8D5E" w14:textId="77777777"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Labklājības ministrija</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CA2435D"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4300BBC" w14:textId="77777777" w:rsidR="0048148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Tādu tiesību aktu kopija, ar kuriem tiek uzlabota minimālo ienākumu atbalsta sistēma, un saite uz publikāciju oficiālajā izdevumā, tostarp atsauce uz noteikumu, kurā norādīta stāšanās spēkā, kam pievienots kopsavilkuma dokuments, kurā pienācīgi pamatots, kā tika apmierinoši sasniegts atskaites punkts (tostarp visi būtiskie elementi), kopā ar atbilstošām saitēm uz pamatojošajiem pierādījumiem.</w:t>
            </w:r>
          </w:p>
          <w:p w14:paraId="5000FDE7" w14:textId="2DD309E9"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 xml:space="preserve">Dokumenta pielikumā iekļauj izrakstus no attiecīgajiem </w:t>
            </w:r>
            <w:r w:rsidRPr="00930B4F">
              <w:rPr>
                <w:rFonts w:ascii="Times New Roman" w:hAnsi="Times New Roman"/>
                <w:sz w:val="18"/>
                <w:szCs w:val="20"/>
              </w:rPr>
              <w:lastRenderedPageBreak/>
              <w:t>noteikumiem, kas atbilst atskaites punkta aprakstā sniegtajām prasībām.</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3B62E01" w14:textId="77777777" w:rsidR="0048148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lastRenderedPageBreak/>
              <w:t>Stājas spēkā tiesību aktu grozījumi, lai uzlabotu minimālo ienākumu atbalsta sistēmu, kas ietver:</w:t>
            </w:r>
          </w:p>
          <w:p w14:paraId="53404958" w14:textId="77777777" w:rsidR="0048148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t>— minimālo ienākumu sliekšņa zemāko iespējamo robežu, kas nav mazāka par 20 % no ienākumu mediānas;</w:t>
            </w:r>
          </w:p>
          <w:p w14:paraId="41C889AA" w14:textId="3AA47C45"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t xml:space="preserve">— procedūru minimālo ienākumu sliekšņu pārskatīšanai, kas jāveic katru gadu (no 2023. gada), pamatojoties uz ienākumu mediānas izmaiņām un nodrošinot, ka ienākumu mediānas samazināšanās </w:t>
            </w:r>
            <w:r w:rsidRPr="00930B4F">
              <w:rPr>
                <w:rFonts w:ascii="Times New Roman" w:hAnsi="Times New Roman"/>
                <w:sz w:val="18"/>
                <w:szCs w:val="20"/>
              </w:rPr>
              <w:lastRenderedPageBreak/>
              <w:t xml:space="preserve">gadījumā minimālo ienākumu sliekšņi netiek mainīti. </w:t>
            </w:r>
          </w:p>
        </w:tc>
      </w:tr>
      <w:tr w:rsidR="00930B4F" w:rsidRPr="00930B4F" w14:paraId="06303B5A"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12062240"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112</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05CA94D" w14:textId="77777777" w:rsidR="00067A32" w:rsidRPr="00930B4F" w:rsidRDefault="00067A32" w:rsidP="00481482">
            <w:pPr>
              <w:widowControl w:val="0"/>
              <w:spacing w:after="0" w:line="240" w:lineRule="auto"/>
              <w:jc w:val="both"/>
              <w:rPr>
                <w:rFonts w:ascii="Times New Roman" w:hAnsi="Times New Roman" w:cs="Times New Roman"/>
                <w:noProof/>
                <w:sz w:val="18"/>
                <w:szCs w:val="20"/>
              </w:rPr>
            </w:pPr>
            <w:r w:rsidRPr="00930B4F">
              <w:rPr>
                <w:rFonts w:ascii="Times New Roman" w:hAnsi="Times New Roman"/>
                <w:b/>
                <w:sz w:val="18"/>
                <w:szCs w:val="20"/>
              </w:rPr>
              <w:t xml:space="preserve">3.1.2.1.i. </w:t>
            </w:r>
            <w:r w:rsidRPr="00930B4F">
              <w:rPr>
                <w:rFonts w:ascii="Times New Roman" w:hAnsi="Times New Roman"/>
                <w:b/>
                <w:bCs/>
                <w:sz w:val="18"/>
                <w:szCs w:val="20"/>
              </w:rPr>
              <w:t xml:space="preserve">Publisko pakalpojumu un nodarbinātības pieejamības veicināšanas pasākumi personām ar invaliditāti </w:t>
            </w:r>
            <w:r w:rsidRPr="00930B4F">
              <w:rPr>
                <w:rFonts w:ascii="Times New Roman" w:hAnsi="Times New Roman"/>
                <w:sz w:val="18"/>
                <w:szCs w:val="20"/>
              </w:rPr>
              <w:t>un personām ar funkcionāliem traucējumiem</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DD79D5A"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Atskaites punkts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3BC703E"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To valsts un pašvaldību ēku izvēle, kurās jāveic vides pielāgojumi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F2ADF9A"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Saraksta pieņemšana ar 63 izvēlētām valsts un pašvaldību ēkām, kurās veic investīcijas vides pielāgošanā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AD0F20F"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CE2FE7D"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B4A07D5"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21B4B1F"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1. cet.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C1DCECE"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2022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E93C048" w14:textId="77777777"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Labklājības ministrija</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5443EFC"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D93075C"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0DB9D4C6"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Šā dokumenta pielikumā iekļauj šādus dokumentārus pierādījumus:</w:t>
            </w:r>
          </w:p>
          <w:p w14:paraId="65074B6E" w14:textId="77777777" w:rsidR="0048148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a) sarakstu ar 63 izvēlētajām valsts un pašvaldību ēkām, kurās īstenos vides pielāgošanas pasākumus;</w:t>
            </w:r>
          </w:p>
          <w:p w14:paraId="2E65F299" w14:textId="4976938C"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b) informāciju par to, kādi minimālie piekļūstamības standarti ēkās ir jānodrošina, kopā ar apliecinājumu par atskaites punkta attiecīgo elementu sasniegšanu.</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818B04D" w14:textId="6CA3B52D" w:rsidR="00067A32" w:rsidRPr="00930B4F" w:rsidRDefault="00067A32" w:rsidP="00B20686">
            <w:pPr>
              <w:widowControl w:val="0"/>
              <w:spacing w:after="0" w:line="240" w:lineRule="auto"/>
              <w:rPr>
                <w:rFonts w:ascii="Times New Roman" w:eastAsia="Times New Roman" w:hAnsi="Times New Roman" w:cs="Times New Roman"/>
                <w:noProof/>
                <w:color w:val="000000" w:themeColor="text1"/>
                <w:sz w:val="18"/>
                <w:szCs w:val="20"/>
              </w:rPr>
            </w:pPr>
            <w:r w:rsidRPr="00930B4F">
              <w:rPr>
                <w:rFonts w:ascii="Times New Roman" w:hAnsi="Times New Roman"/>
                <w:sz w:val="18"/>
                <w:szCs w:val="20"/>
              </w:rPr>
              <w:t xml:space="preserve">Ēkas vides piekļūstamības pasākumu īstenošanai izvēlas 63 valsts un pašvaldību ēkas, kurās sniedz labklājības nozares publiskos pakalpojumus vai pašvaldības sociālos pakalpojumus (šīm ēkām jau ir jābūt iekļautām Ministru kabineta noteikumos). </w:t>
            </w:r>
            <w:r w:rsidRPr="00930B4F">
              <w:rPr>
                <w:rFonts w:ascii="Times New Roman" w:hAnsi="Times New Roman"/>
                <w:color w:val="000000" w:themeColor="text1"/>
                <w:sz w:val="18"/>
                <w:szCs w:val="20"/>
              </w:rPr>
              <w:t>Investīcija ietver pasākumus, lai īstenotu minimālo piekļūstamības standartu: nodrošina piekļuvi telpām un informācijai personām ar funkcionāliem traucējumiem un personām ar invaliditāti.</w:t>
            </w:r>
          </w:p>
        </w:tc>
      </w:tr>
      <w:tr w:rsidR="00930B4F" w:rsidRPr="00930B4F" w14:paraId="310A3ECD"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03619E77"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113</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308DDE2" w14:textId="77777777" w:rsidR="00067A32" w:rsidRPr="00930B4F" w:rsidRDefault="00067A32" w:rsidP="00481482">
            <w:pPr>
              <w:widowControl w:val="0"/>
              <w:spacing w:after="0" w:line="240" w:lineRule="auto"/>
              <w:jc w:val="both"/>
              <w:rPr>
                <w:rFonts w:ascii="Times New Roman" w:hAnsi="Times New Roman" w:cs="Times New Roman"/>
                <w:noProof/>
                <w:sz w:val="18"/>
                <w:szCs w:val="20"/>
              </w:rPr>
            </w:pPr>
            <w:r w:rsidRPr="00930B4F">
              <w:rPr>
                <w:rFonts w:ascii="Times New Roman" w:hAnsi="Times New Roman"/>
                <w:b/>
                <w:sz w:val="18"/>
                <w:szCs w:val="20"/>
              </w:rPr>
              <w:t xml:space="preserve">3.1.2.1.i. </w:t>
            </w:r>
            <w:r w:rsidRPr="00930B4F">
              <w:rPr>
                <w:rFonts w:ascii="Times New Roman" w:hAnsi="Times New Roman"/>
                <w:b/>
                <w:bCs/>
                <w:sz w:val="18"/>
                <w:szCs w:val="20"/>
              </w:rPr>
              <w:t xml:space="preserve">Publisko pakalpojumu </w:t>
            </w:r>
            <w:r w:rsidRPr="00930B4F">
              <w:rPr>
                <w:rFonts w:ascii="Times New Roman" w:hAnsi="Times New Roman"/>
                <w:b/>
                <w:bCs/>
                <w:sz w:val="18"/>
                <w:szCs w:val="20"/>
              </w:rPr>
              <w:lastRenderedPageBreak/>
              <w:t xml:space="preserve">un nodarbinātības pieejamības veicināšanas pasākumi personām ar invaliditāti </w:t>
            </w:r>
            <w:r w:rsidRPr="00930B4F">
              <w:rPr>
                <w:rFonts w:ascii="Times New Roman" w:hAnsi="Times New Roman"/>
                <w:sz w:val="18"/>
                <w:szCs w:val="20"/>
              </w:rPr>
              <w:t>un personām ar funkcionāliem traucējumiem</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6351476"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Atskaites punkts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D5EBD80"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Līgumu parakstīšana, lai nodrošinātu </w:t>
            </w:r>
            <w:r w:rsidRPr="00930B4F">
              <w:rPr>
                <w:rFonts w:ascii="Times New Roman" w:hAnsi="Times New Roman"/>
                <w:sz w:val="18"/>
                <w:szCs w:val="20"/>
              </w:rPr>
              <w:lastRenderedPageBreak/>
              <w:t xml:space="preserve">piekļuvi publiskām telpām valsts un pašvaldību ēkās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69887AF" w14:textId="7D87864B"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Parakstīti līgumi par būvdarbiem saistībā ar </w:t>
            </w:r>
            <w:r w:rsidRPr="00930B4F">
              <w:rPr>
                <w:rFonts w:ascii="Times New Roman" w:hAnsi="Times New Roman"/>
                <w:sz w:val="18"/>
                <w:szCs w:val="20"/>
              </w:rPr>
              <w:lastRenderedPageBreak/>
              <w:t xml:space="preserve">piekļuvi publiskām telpām iepriekš izvēlētajās 63 valsts un pašvaldību ēkās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499F02F"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0A009F9"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6AB798F"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B635691"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 cet.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CFCB690"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2024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5F4B3DE" w14:textId="77777777"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 xml:space="preserve">Labklājības ministrija / Centrālā </w:t>
            </w:r>
            <w:r w:rsidRPr="00930B4F">
              <w:rPr>
                <w:rFonts w:ascii="Times New Roman" w:hAnsi="Times New Roman"/>
                <w:sz w:val="18"/>
                <w:szCs w:val="20"/>
              </w:rPr>
              <w:lastRenderedPageBreak/>
              <w:t>finanšu un līgumu aģentūra / valsts un pašvaldību iestādes</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7A50160"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0327C6B" w14:textId="77777777"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 xml:space="preserve">Kopsavilkuma dokuments, kurā pienācīgi pamatots, kā </w:t>
            </w:r>
            <w:r w:rsidRPr="00930B4F">
              <w:rPr>
                <w:rFonts w:ascii="Times New Roman" w:hAnsi="Times New Roman"/>
                <w:sz w:val="18"/>
                <w:szCs w:val="20"/>
              </w:rPr>
              <w:lastRenderedPageBreak/>
              <w:t>tika apmierinoši sasniegts atskaites punkts (tostarp visi būtiskie elementi), kopā ar atbilstošām saitēm uz pamatojošajiem pierādījumiem.</w:t>
            </w:r>
          </w:p>
          <w:p w14:paraId="0C11BC7A"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Šā dokumenta pielikumā iekļauj šādus dokumentārus pierādījumus:</w:t>
            </w:r>
          </w:p>
          <w:p w14:paraId="09A78849" w14:textId="77777777" w:rsidR="0048148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a) sarakstu ar noslēgtajiem līgumiem par piekļuves nodrošināšanu telpām valsts un pašvaldību ēkās;</w:t>
            </w:r>
          </w:p>
          <w:p w14:paraId="0B87B4E5" w14:textId="7CE8CA58"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b) izrakstu no attiecīgajām iepirkuma konkursa dokumentācijas daļām, kas apliecina atbilstību Padomes Īstenošanas lēmuma pielikumā sniegtajam atskaites punkta un investīciju aprakstam.</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1D55BDC" w14:textId="77777777" w:rsidR="0048148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Attiecīgās valsts un pašvaldību iestādes paraksta līgumus, </w:t>
            </w:r>
            <w:r w:rsidRPr="00930B4F">
              <w:rPr>
                <w:rFonts w:ascii="Times New Roman" w:hAnsi="Times New Roman"/>
                <w:sz w:val="18"/>
                <w:szCs w:val="20"/>
              </w:rPr>
              <w:lastRenderedPageBreak/>
              <w:t>lai nodrošinātu piekļuvi telpām 63 valsts un pašvaldību ēkās, kurās sniedz labklājības nozares publiskos pakalpojumus vai pašvaldības sociālos pakalpojumus.</w:t>
            </w:r>
          </w:p>
          <w:p w14:paraId="02487702" w14:textId="35D685BC"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t xml:space="preserve">Līgumu slēgšanas tiesības piešķir, lai nodrošinātu minimālo piekļūstamības standartu: piekļūstamības elementi, kas nepieciešami katrai ēkai, tostarp pasākumi, lai nodrošinātu piekļuvi telpām un informācijai personām ar funkcionāliem traucējumiem un personām ar invaliditāti (tie var ietvert dažādu pielāgojumu izveidi vai ierīkošanu, piemēram, vizuālās informācijas uzlabojumus, evakuācijas sistēmu pielāgošanu un </w:t>
            </w:r>
            <w:r w:rsidRPr="00930B4F">
              <w:rPr>
                <w:rFonts w:ascii="Times New Roman" w:hAnsi="Times New Roman"/>
                <w:sz w:val="18"/>
                <w:szCs w:val="20"/>
              </w:rPr>
              <w:lastRenderedPageBreak/>
              <w:t>nodrošināšanu personām ar invaliditāti, ierīkojot uzbrauktuves, pandusus, pacēlājus un viegli atveramas vai automātiskas durvis).</w:t>
            </w:r>
          </w:p>
        </w:tc>
      </w:tr>
      <w:tr w:rsidR="00930B4F" w:rsidRPr="00930B4F" w14:paraId="4DC523F1"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7118055B"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114</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1925E75" w14:textId="77777777" w:rsidR="00067A32" w:rsidRPr="00930B4F" w:rsidRDefault="00067A32" w:rsidP="00481482">
            <w:pPr>
              <w:widowControl w:val="0"/>
              <w:spacing w:after="0" w:line="240" w:lineRule="auto"/>
              <w:jc w:val="both"/>
              <w:rPr>
                <w:rFonts w:ascii="Times New Roman" w:hAnsi="Times New Roman" w:cs="Times New Roman"/>
                <w:noProof/>
                <w:sz w:val="18"/>
                <w:szCs w:val="20"/>
              </w:rPr>
            </w:pPr>
            <w:r w:rsidRPr="00930B4F">
              <w:rPr>
                <w:rFonts w:ascii="Times New Roman" w:hAnsi="Times New Roman"/>
                <w:b/>
                <w:sz w:val="18"/>
                <w:szCs w:val="20"/>
              </w:rPr>
              <w:t xml:space="preserve">3.1.2.1.i. </w:t>
            </w:r>
            <w:r w:rsidRPr="00930B4F">
              <w:rPr>
                <w:rFonts w:ascii="Times New Roman" w:hAnsi="Times New Roman"/>
                <w:b/>
                <w:bCs/>
                <w:sz w:val="18"/>
                <w:szCs w:val="20"/>
              </w:rPr>
              <w:t xml:space="preserve">Publisko pakalpojumu un nodarbinātības pieejamības veicināšanas pasākumi personām ar invaliditāti </w:t>
            </w:r>
            <w:r w:rsidRPr="00930B4F">
              <w:rPr>
                <w:rFonts w:ascii="Times New Roman" w:hAnsi="Times New Roman"/>
                <w:sz w:val="18"/>
                <w:szCs w:val="20"/>
              </w:rPr>
              <w:t>un personām ar funkcionāliem traucējumiem</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73E85A6"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Mērķis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499EE4C"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Būvniecības pabeigšana, lai nodrošinātu piekļuvi publiskām telpām valsts un pašvaldību ēkās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057ADE7"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EB75E04"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Ēkas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B9EBD42"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0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3CF65EA"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63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685B326"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 cet.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2369D70"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2026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4428312" w14:textId="77777777"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Labklājības ministrija / Centrālā finanšu un līgumu aģentūra / valsts un pašvaldību iestādes</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6AAF18F"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879DFAF"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38CC25E2"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Šā dokumenta pielikumā iekļauj šādus dokumentārus pierādījumus:</w:t>
            </w:r>
          </w:p>
          <w:p w14:paraId="28F1945D" w14:textId="77777777" w:rsidR="0048148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a) apliecinājumus par darbu pabeigšanu un pabeigto ēku nodošanu ekspluatācijā (kopijas);</w:t>
            </w:r>
          </w:p>
          <w:p w14:paraId="0E33C3B8" w14:textId="5283E4E9"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 xml:space="preserve">b) pabeigto ēku sarakstu, norādot ar minimālo piekļūstamības standartu īstenošanu saistītā intervences pasākuma nosaukumu, vietu un </w:t>
            </w:r>
            <w:r w:rsidRPr="00930B4F">
              <w:rPr>
                <w:rFonts w:ascii="Times New Roman" w:hAnsi="Times New Roman"/>
                <w:sz w:val="18"/>
                <w:szCs w:val="20"/>
              </w:rPr>
              <w:lastRenderedPageBreak/>
              <w:t>īsu aprakstu saskaņā ar Padomes Īstenošanas lēmuma pielikumā sniegto atskaites punkta un investīciju aprakstu.</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2E81D9E" w14:textId="77777777"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Pabeigti būvdarbi 63 valsts un pašvaldību ēkās, kurās sniedz labklājības nozares publiskos pakalpojumus vai pašvaldības sociālos pakalpojumus sociālās atstumtības riskam pakļautām grupām, tostarp personām ar invaliditāti, un parakstīts nodošanas akts. Pasākumi ietver minimālā piekļūstamības standarta ieviešanu: piekļuvi telpām un informācijai personām ar funkcionāliem traucējumiem un personām ar invaliditāti (tas var </w:t>
            </w:r>
            <w:r w:rsidRPr="00930B4F">
              <w:rPr>
                <w:rFonts w:ascii="Times New Roman" w:hAnsi="Times New Roman"/>
                <w:sz w:val="18"/>
                <w:szCs w:val="20"/>
              </w:rPr>
              <w:lastRenderedPageBreak/>
              <w:t>ietvert dažādu pielāgojumu izveidi vai ierīkošanu, piemēram, vizuālās informācijas uzlabojumus, evakuācijas sistēmu pielāgošanu un nodrošināšanu personām ar invaliditāti, ierīkojot uzbrauktuves, pandusus, pacēlājus un viegli atveramas vai automātiskas durvis).</w:t>
            </w:r>
          </w:p>
        </w:tc>
      </w:tr>
      <w:tr w:rsidR="00930B4F" w:rsidRPr="00930B4F" w14:paraId="143C1765"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1F00C3F9"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115</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B6ADEC0" w14:textId="77777777" w:rsidR="00067A32" w:rsidRPr="00930B4F" w:rsidRDefault="00067A32" w:rsidP="00481482">
            <w:pPr>
              <w:widowControl w:val="0"/>
              <w:spacing w:after="0" w:line="240" w:lineRule="auto"/>
              <w:jc w:val="both"/>
              <w:rPr>
                <w:rFonts w:ascii="Times New Roman" w:hAnsi="Times New Roman" w:cs="Times New Roman"/>
                <w:noProof/>
                <w:sz w:val="18"/>
                <w:szCs w:val="20"/>
              </w:rPr>
            </w:pPr>
            <w:r w:rsidRPr="00930B4F">
              <w:rPr>
                <w:rFonts w:ascii="Times New Roman" w:hAnsi="Times New Roman"/>
                <w:b/>
                <w:sz w:val="18"/>
                <w:szCs w:val="20"/>
              </w:rPr>
              <w:t xml:space="preserve">3.1.2.1.i. </w:t>
            </w:r>
            <w:r w:rsidRPr="00930B4F">
              <w:rPr>
                <w:rFonts w:ascii="Times New Roman" w:hAnsi="Times New Roman"/>
                <w:b/>
                <w:bCs/>
                <w:sz w:val="18"/>
                <w:szCs w:val="20"/>
              </w:rPr>
              <w:t xml:space="preserve">Publisko pakalpojumu un nodarbinātības pieejamības veicināšanas pasākumi personām ar invaliditāti </w:t>
            </w:r>
            <w:r w:rsidRPr="00930B4F">
              <w:rPr>
                <w:rFonts w:ascii="Times New Roman" w:hAnsi="Times New Roman"/>
                <w:sz w:val="18"/>
                <w:szCs w:val="20"/>
              </w:rPr>
              <w:t>un personām ar funkcionāliem traucējumiem</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DF06DE6"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Atskaites punkts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BB4FE07"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Konkrētas mērķgrupas izvēle mājokļa fiziskās pieejamības uzlabošanai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982147C"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Saraksta pieņemšana ar izvēlētām 259 personām ar invaliditāti, kurām nepieciešama viņu mājokļa pielāgošana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E588687"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52DCCB4"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912B8D5"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E4999FE"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1. cet.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8A5A494"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2024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5A78C9F" w14:textId="77777777"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 xml:space="preserve">Labklājības ministrija / Centrālā finanšu un līgumu aģentūra / pašvaldību iestādes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7CA74D9"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2DD6AA3"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Kopsavilkuma dokuments, kurā pienācīgi pamatots, kā tika apmierinoši sasniegts atskaites punkts (tostarp visi būtiskie elementi), kopā ar atbilstošām saitēm uz pamatojošajiem pierādījumiem.</w:t>
            </w:r>
          </w:p>
          <w:p w14:paraId="51CAEB87"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Šā dokumenta pielikumā iekļauj šādus dokumentārus pierādījumus:</w:t>
            </w:r>
          </w:p>
          <w:p w14:paraId="0C43E239" w14:textId="77777777" w:rsidR="0048148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 xml:space="preserve">a) attiecīgo publisko iestāžu lēmumus par mērķgrupas attiecināmību atbalsta saņemšanai (kopijas), </w:t>
            </w:r>
            <w:r w:rsidRPr="00930B4F">
              <w:rPr>
                <w:rFonts w:ascii="Times New Roman" w:hAnsi="Times New Roman"/>
                <w:sz w:val="18"/>
                <w:szCs w:val="20"/>
              </w:rPr>
              <w:lastRenderedPageBreak/>
              <w:t>tostarp galasaņēmēju (anonimizētu) sarakstu;</w:t>
            </w:r>
          </w:p>
          <w:p w14:paraId="5E429249" w14:textId="348FA7B4" w:rsidR="00067A3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b) izrakstu no oficiāliem dokumentiem, kas ietver atlases kritērijus, lai nodrošinātu atbilstību Padomes Īstenošanas lēmuma pielikumam.</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AF2EB5D" w14:textId="77777777"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lastRenderedPageBreak/>
              <w:t>Pieņem sarakstu ar 259 personām ar smagu vai ļoti smagu invaliditāti un bērniem ar invaliditāti, kuri saņem atbalstu no attiecīgajām valsts iestādēm, lai pielāgotu viņu mājokli.</w:t>
            </w:r>
          </w:p>
        </w:tc>
      </w:tr>
      <w:tr w:rsidR="00930B4F" w:rsidRPr="00930B4F" w14:paraId="48A8E185"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605A318A"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116</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F2B6FA5" w14:textId="77777777" w:rsidR="00067A32" w:rsidRPr="00930B4F" w:rsidRDefault="00067A32" w:rsidP="00481482">
            <w:pPr>
              <w:widowControl w:val="0"/>
              <w:spacing w:after="0" w:line="240" w:lineRule="auto"/>
              <w:jc w:val="both"/>
              <w:rPr>
                <w:rFonts w:ascii="Times New Roman" w:hAnsi="Times New Roman" w:cs="Times New Roman"/>
                <w:noProof/>
                <w:sz w:val="18"/>
                <w:szCs w:val="20"/>
              </w:rPr>
            </w:pPr>
            <w:r w:rsidRPr="00930B4F">
              <w:rPr>
                <w:rFonts w:ascii="Times New Roman" w:hAnsi="Times New Roman"/>
                <w:b/>
                <w:sz w:val="18"/>
                <w:szCs w:val="20"/>
              </w:rPr>
              <w:t xml:space="preserve">3.1.2.1.i. </w:t>
            </w:r>
            <w:r w:rsidRPr="00930B4F">
              <w:rPr>
                <w:rFonts w:ascii="Times New Roman" w:hAnsi="Times New Roman"/>
                <w:b/>
                <w:bCs/>
                <w:sz w:val="18"/>
                <w:szCs w:val="20"/>
              </w:rPr>
              <w:t xml:space="preserve">Publisko pakalpojumu un nodarbinātības pieejamības veicināšanas pasākumi personām ar invaliditāti </w:t>
            </w:r>
            <w:r w:rsidRPr="00930B4F">
              <w:rPr>
                <w:rFonts w:ascii="Times New Roman" w:hAnsi="Times New Roman"/>
                <w:sz w:val="18"/>
                <w:szCs w:val="20"/>
              </w:rPr>
              <w:t>un personām ar funkcionāliem traucējumiem</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066F817"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Atskaites punkts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9485A9A"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Parakstīti līgumi par personu ar invaliditāti mājokļu pielāgošanu</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7C8B463"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Parakstīti līgumi</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9BD3020"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9EC26B3"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3956A29"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6166528"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1. cet.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433AD91"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2025</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D9634B8" w14:textId="77777777"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Labklājības ministrija / Centrālā finanšu un līgumu aģentūra / pašvaldību iestādes</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67154A8"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CABCB72"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Kopsavilkuma dokuments, kurā pienācīgi pamatots, kā tika apmierinoši sasniegts atskaites punkts (tostarp visi būtiskie elementi), kopā ar atbilstošām saitēm uz pamatojošajiem pierādījumiem.</w:t>
            </w:r>
          </w:p>
          <w:p w14:paraId="0F83057C" w14:textId="2DA3B6E2"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Šā dokumenta pielikumā iekļauj:</w:t>
            </w:r>
          </w:p>
          <w:p w14:paraId="16E8FB94" w14:textId="06217E4F" w:rsidR="0048148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a) sarakstu ar parakstītiem darba līgumiem par mājokļu pielāgošanu 259 personām ar smagu vai ļoti smagu invaliditāti un bērniem ar invaliditāti, un šo līgumu kopijas;</w:t>
            </w:r>
          </w:p>
          <w:p w14:paraId="3EFA2D20" w14:textId="589994A9"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 xml:space="preserve">b) ziņas par vides pielāgošanas pasākumiem, kas </w:t>
            </w:r>
            <w:r w:rsidRPr="00930B4F">
              <w:rPr>
                <w:rFonts w:ascii="Times New Roman" w:hAnsi="Times New Roman"/>
                <w:sz w:val="18"/>
                <w:szCs w:val="20"/>
              </w:rPr>
              <w:lastRenderedPageBreak/>
              <w:t>veikti, kā noteikts Padomes Īstenošanas lēmuma pielikumā sniegtajā atskaites punkta un investīciju aprakstā.</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EA2050F" w14:textId="36A21CF6"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lastRenderedPageBreak/>
              <w:t>Līgumu parakstīšana, lai pielāgotu 259 personu ar smagu vai ļoti smagu invaliditāti un bērnu ar invaliditāti mājokļus. Ir noslēgti līgumi par vides piekļūstamības elementu nodrošināšanu (piemēram, uzbrauktuvju un pacēlāju ierīkošana, aprīkojuma, izmitināšanas elementu nodrošināšana, koplietošanas telpu pielāgošana) mājokļos 259 personām.</w:t>
            </w:r>
          </w:p>
        </w:tc>
      </w:tr>
      <w:tr w:rsidR="00930B4F" w:rsidRPr="00930B4F" w14:paraId="43395314"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11E099B0"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117</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074BDC4" w14:textId="77777777" w:rsidR="00067A32" w:rsidRPr="00930B4F" w:rsidRDefault="00067A32" w:rsidP="00481482">
            <w:pPr>
              <w:widowControl w:val="0"/>
              <w:spacing w:after="0" w:line="240" w:lineRule="auto"/>
              <w:jc w:val="both"/>
              <w:rPr>
                <w:rFonts w:ascii="Times New Roman" w:hAnsi="Times New Roman" w:cs="Times New Roman"/>
                <w:noProof/>
                <w:sz w:val="18"/>
                <w:szCs w:val="20"/>
              </w:rPr>
            </w:pPr>
            <w:r w:rsidRPr="00930B4F">
              <w:rPr>
                <w:rFonts w:ascii="Times New Roman" w:hAnsi="Times New Roman"/>
                <w:b/>
                <w:sz w:val="18"/>
                <w:szCs w:val="20"/>
              </w:rPr>
              <w:t xml:space="preserve">3.1.2.1.i. </w:t>
            </w:r>
            <w:r w:rsidRPr="00930B4F">
              <w:rPr>
                <w:rFonts w:ascii="Times New Roman" w:hAnsi="Times New Roman"/>
                <w:b/>
                <w:bCs/>
                <w:sz w:val="18"/>
                <w:szCs w:val="20"/>
              </w:rPr>
              <w:t>Publisko pakalpojumu un nodarbinātības pieejamības veicināšanas pasākumi personām ar invaliditāti</w:t>
            </w:r>
            <w:r w:rsidRPr="00930B4F">
              <w:rPr>
                <w:rFonts w:ascii="Times New Roman" w:hAnsi="Times New Roman"/>
                <w:sz w:val="18"/>
                <w:szCs w:val="20"/>
              </w:rPr>
              <w:t xml:space="preserve"> un personām ar funkcionāliem traucējumiem</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9A0F752"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Mērķis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F3CED04"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Nodrošināta pieejamība mājokļa videi personām ar invaliditāti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F5D7F55"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0EAA14A"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Cilvēku skaits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43A83AE"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0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3DA5DFC"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259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B547A18"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 cet.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2DCB3C7"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2026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7E99097" w14:textId="77777777"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Labklājības ministrija / Centrālā finanšu un līgumu aģentūra / pašvaldību iestādes</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65CCCA5"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5C4949C"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4E49DDCA" w14:textId="30C80DC2" w:rsidR="00067A3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Šā dokumenta pielikumā iekļauj sarakstu ar apliecinājumiem par darbu pabeigšanu un pabeigto mājokļu nodošanu ekspluatācijā un šo apliecinājumu kopijas, kā arī īsu aprakstu par intervences pasākumiem, kā noteikts Padomes Īstenošanas lēmuma pielikumā sniegtajā atskaites punkta un investīciju aprakstā.</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2CE665B" w14:textId="52B5B748"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t>Pabeigta mājas vides pielāgošana (piemēram, uzbrauktuvju un pacēlāju ierīkošana, aprīkojuma, izmitināšanas elementu nodrošināšana, koplietošanas telpu pielāgošana) 259 personām ar smagu vai ļoti smagu invaliditāti un bērniem ar invaliditāti.</w:t>
            </w:r>
          </w:p>
        </w:tc>
      </w:tr>
      <w:tr w:rsidR="00930B4F" w:rsidRPr="00930B4F" w14:paraId="5D2F8AD0"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0934EB95"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118</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E3E57EB" w14:textId="77777777" w:rsidR="00067A32" w:rsidRPr="00930B4F" w:rsidRDefault="00067A32" w:rsidP="00481482">
            <w:pPr>
              <w:widowControl w:val="0"/>
              <w:spacing w:after="0" w:line="240" w:lineRule="auto"/>
              <w:jc w:val="both"/>
              <w:rPr>
                <w:rFonts w:ascii="Times New Roman" w:eastAsia="Calibri" w:hAnsi="Times New Roman" w:cs="Times New Roman"/>
                <w:b/>
                <w:bCs/>
                <w:noProof/>
                <w:sz w:val="18"/>
                <w:szCs w:val="20"/>
              </w:rPr>
            </w:pPr>
            <w:r w:rsidRPr="00930B4F">
              <w:rPr>
                <w:rFonts w:ascii="Times New Roman" w:hAnsi="Times New Roman"/>
                <w:b/>
                <w:sz w:val="18"/>
                <w:szCs w:val="20"/>
              </w:rPr>
              <w:t xml:space="preserve">3.1.2.2.i. Prognozēšanas rīka izstrāde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8BFB354"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Atskaites punkts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D4F7900"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Līguma noslēgšana par prognozēšanas modeļa algoritmu </w:t>
            </w:r>
            <w:r w:rsidRPr="00930B4F">
              <w:rPr>
                <w:rFonts w:ascii="Times New Roman" w:hAnsi="Times New Roman"/>
                <w:sz w:val="18"/>
                <w:szCs w:val="20"/>
              </w:rPr>
              <w:lastRenderedPageBreak/>
              <w:t xml:space="preserve">izstrādi, informācijas sistēmas tehnisko specifikāciju izstrādi un sistēmas izstrādes uzraudzību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CE1ECE2"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Tehnisko specifikāciju izstrāde un līguma </w:t>
            </w:r>
            <w:r w:rsidRPr="00930B4F">
              <w:rPr>
                <w:rFonts w:ascii="Times New Roman" w:hAnsi="Times New Roman"/>
                <w:sz w:val="18"/>
                <w:szCs w:val="20"/>
              </w:rPr>
              <w:lastRenderedPageBreak/>
              <w:t xml:space="preserve">noslēgšana par konsultāciju pakalpojumiem, iesaistot Latvijas un ārvalstu ekonometriskās un matemātiskās modelēšanas ekspertus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2498BEB"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A898CEA"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9EFBEFB"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D7E7216"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 cet.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6EB73BC"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2022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1C3C08C" w14:textId="18E7F59C"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 xml:space="preserve">Labklājības ministrija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DBE9F1D"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4EAF6BA" w14:textId="77777777" w:rsidR="00067A32" w:rsidRPr="00930B4F" w:rsidRDefault="00067A32" w:rsidP="00B20686">
            <w:pPr>
              <w:widowControl w:val="0"/>
              <w:spacing w:after="0" w:line="240" w:lineRule="auto"/>
              <w:rPr>
                <w:rFonts w:ascii="Times New Roman" w:eastAsia="Arial Narrow" w:hAnsi="Times New Roman" w:cs="Arial Narrow"/>
                <w:noProof/>
                <w:color w:val="000000" w:themeColor="text1"/>
                <w:sz w:val="18"/>
                <w:szCs w:val="20"/>
              </w:rPr>
            </w:pPr>
            <w:r w:rsidRPr="00930B4F">
              <w:rPr>
                <w:rFonts w:ascii="Times New Roman" w:hAnsi="Times New Roman"/>
                <w:color w:val="000000" w:themeColor="text1"/>
                <w:sz w:val="18"/>
                <w:szCs w:val="20"/>
              </w:rPr>
              <w:t xml:space="preserve">Kopsavilkuma dokuments, kurā pienācīgi pamatots, kā tika apmierinoši </w:t>
            </w:r>
            <w:r w:rsidRPr="00930B4F">
              <w:rPr>
                <w:rFonts w:ascii="Times New Roman" w:hAnsi="Times New Roman"/>
                <w:color w:val="000000" w:themeColor="text1"/>
                <w:sz w:val="18"/>
                <w:szCs w:val="20"/>
              </w:rPr>
              <w:lastRenderedPageBreak/>
              <w:t>sasniegts atskaites punkts (tostarp visi būtiskie elementi), kopā ar atbilstošām saitēm uz pamatojošajiem pierādījumiem, tostarp pierādījumus par to, ka līguma slēgšanas tiesības tika piešķirtas konkursa rezultātā.</w:t>
            </w:r>
          </w:p>
          <w:p w14:paraId="18E7418B" w14:textId="77777777" w:rsidR="00481482" w:rsidRPr="00930B4F" w:rsidRDefault="00067A32" w:rsidP="00B20686">
            <w:pPr>
              <w:widowControl w:val="0"/>
              <w:spacing w:after="0" w:line="240" w:lineRule="auto"/>
              <w:rPr>
                <w:rFonts w:ascii="Times New Roman" w:eastAsia="Arial Narrow" w:hAnsi="Times New Roman" w:cs="Arial Narrow"/>
                <w:noProof/>
                <w:color w:val="000000" w:themeColor="text1"/>
                <w:sz w:val="18"/>
                <w:szCs w:val="20"/>
              </w:rPr>
            </w:pPr>
            <w:r w:rsidRPr="00930B4F">
              <w:rPr>
                <w:rFonts w:ascii="Times New Roman" w:hAnsi="Times New Roman"/>
                <w:color w:val="000000" w:themeColor="text1"/>
                <w:sz w:val="18"/>
                <w:szCs w:val="20"/>
              </w:rPr>
              <w:t>Šā dokumenta pielikumā iekļauj šādus dokumentārus pierādījumus un elementus:</w:t>
            </w:r>
          </w:p>
          <w:p w14:paraId="0975A732" w14:textId="77777777" w:rsidR="00481482" w:rsidRPr="00930B4F" w:rsidRDefault="00067A32" w:rsidP="00B20686">
            <w:pPr>
              <w:widowControl w:val="0"/>
              <w:spacing w:after="0" w:line="240" w:lineRule="auto"/>
              <w:rPr>
                <w:rFonts w:ascii="Times New Roman" w:hAnsi="Times New Roman"/>
                <w:noProof/>
                <w:color w:val="000000" w:themeColor="text1"/>
                <w:sz w:val="18"/>
                <w:szCs w:val="20"/>
              </w:rPr>
            </w:pPr>
            <w:r w:rsidRPr="00930B4F">
              <w:rPr>
                <w:rFonts w:ascii="Times New Roman" w:hAnsi="Times New Roman"/>
                <w:color w:val="000000" w:themeColor="text1"/>
                <w:sz w:val="18"/>
                <w:szCs w:val="20"/>
              </w:rPr>
              <w:t>a) tehnisko specifikāciju par konsultāciju pakalpojumiem kopiju un izrakstu no projekta tehnisko specifikāciju attiecīgajām daļām, kas apliecina atbilstību Padomes Īstenošanas lēmuma pielikumā sniegtajam atskaites punkta aprakstam;</w:t>
            </w:r>
          </w:p>
          <w:p w14:paraId="77F4AA1F" w14:textId="40EE1A59" w:rsidR="00067A32" w:rsidRPr="00930B4F" w:rsidRDefault="00067A32" w:rsidP="00B20686">
            <w:pPr>
              <w:widowControl w:val="0"/>
              <w:spacing w:after="0" w:line="240" w:lineRule="auto"/>
              <w:rPr>
                <w:rFonts w:ascii="Times New Roman" w:hAnsi="Times New Roman"/>
                <w:noProof/>
                <w:color w:val="000000" w:themeColor="text1"/>
                <w:sz w:val="18"/>
                <w:szCs w:val="20"/>
              </w:rPr>
            </w:pPr>
            <w:r w:rsidRPr="00930B4F">
              <w:rPr>
                <w:rFonts w:ascii="Times New Roman" w:hAnsi="Times New Roman"/>
                <w:color w:val="000000" w:themeColor="text1"/>
                <w:sz w:val="18"/>
                <w:szCs w:val="20"/>
              </w:rPr>
              <w:t xml:space="preserve">b) parakstītā/piešķirtā līguma par konsultāciju pakalpojumiem kopiju un izrakstu no līguma attiecīgajām daļām, kas apliecina atbilstību Padomes </w:t>
            </w:r>
            <w:r w:rsidRPr="00930B4F">
              <w:rPr>
                <w:rFonts w:ascii="Times New Roman" w:hAnsi="Times New Roman"/>
                <w:color w:val="000000" w:themeColor="text1"/>
                <w:sz w:val="18"/>
                <w:szCs w:val="20"/>
              </w:rPr>
              <w:lastRenderedPageBreak/>
              <w:t>Īstenošanas lēmuma pielikumā sniegtajam atskaites punkta aprakstam, tostarp atskaites punkta aprakstā sniegto galarezultātu grafiku.</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535D1CE" w14:textId="77777777" w:rsidR="0048148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lastRenderedPageBreak/>
              <w:t>Līguma slēgšanas tiesību piešķiršana pēc konkursa nolūkā:</w:t>
            </w:r>
          </w:p>
          <w:p w14:paraId="2D97BE02" w14:textId="77777777" w:rsidR="0048148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 izstrādāt ekonometrisko modeli un metodiku sociālā atbalsta, t. sk. pensiju, ilgtermiņa prognozēšanai; </w:t>
            </w:r>
          </w:p>
          <w:p w14:paraId="307B6146" w14:textId="2D583FE3"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t>- sagatavot informācijas sistēmas izstrādes tehniskās specifikācijas;</w:t>
            </w:r>
          </w:p>
          <w:p w14:paraId="651A7D24" w14:textId="77777777" w:rsidR="0048148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t>- uzraudzīt sistēmas attīstību.</w:t>
            </w:r>
          </w:p>
          <w:p w14:paraId="1BBBA761" w14:textId="77777777" w:rsidR="0048148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Noslēgtajā līgumā iekļauj grafiku šādiem galarezultātiem:</w:t>
            </w:r>
          </w:p>
          <w:p w14:paraId="4A8DC77C" w14:textId="2A586230"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t>— izvērtējuma ziņojums par pašreizējo situāciju;</w:t>
            </w:r>
          </w:p>
          <w:p w14:paraId="71FD5CFE" w14:textId="77777777" w:rsidR="0048148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t>— matemātisks modelis pensiju prognozēšanai;</w:t>
            </w:r>
          </w:p>
          <w:p w14:paraId="47E69432" w14:textId="77777777" w:rsidR="0048148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t>— pašreizējā prognozēšanas rīka un tā potenciāla izvērtējums;</w:t>
            </w:r>
          </w:p>
          <w:p w14:paraId="6ACBF05B" w14:textId="77777777" w:rsidR="0048148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t>— informācijas sistēmas izstrādes tehniskās specifikācijas;</w:t>
            </w:r>
          </w:p>
          <w:p w14:paraId="79B2D8AE" w14:textId="188E3D39"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t>— informācijas sistēmas izstrādes uzraudzība visā projekta gaitā.</w:t>
            </w:r>
          </w:p>
        </w:tc>
      </w:tr>
      <w:tr w:rsidR="00930B4F" w:rsidRPr="00930B4F" w14:paraId="159B7F53"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03ED344B"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119</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DFBD5D9" w14:textId="77777777" w:rsidR="00067A32" w:rsidRPr="00930B4F" w:rsidRDefault="00067A32" w:rsidP="00481482">
            <w:pPr>
              <w:widowControl w:val="0"/>
              <w:spacing w:after="0" w:line="240" w:lineRule="auto"/>
              <w:jc w:val="both"/>
              <w:rPr>
                <w:rFonts w:ascii="Times New Roman" w:eastAsia="Calibri" w:hAnsi="Times New Roman" w:cs="Times New Roman"/>
                <w:b/>
                <w:bCs/>
                <w:noProof/>
                <w:sz w:val="18"/>
                <w:szCs w:val="20"/>
              </w:rPr>
            </w:pPr>
            <w:r w:rsidRPr="00930B4F">
              <w:rPr>
                <w:rFonts w:ascii="Times New Roman" w:hAnsi="Times New Roman"/>
                <w:b/>
                <w:sz w:val="18"/>
                <w:szCs w:val="20"/>
              </w:rPr>
              <w:t xml:space="preserve">3.1.2.2.i. Prognozēšanas rīka izstrāde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147ACF1"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Atskaites punkts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5C25B7D"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Sociālās nodrošināšanas prognozēšanas rīka informācijas sistēmas tehnisko specifikāciju pabeigšana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C3C9E41"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Labklājības ministrija apstiprina tehniskās specifikācijas, kas ir gatavas iesniegšanai informācijas sistēmas izstrādātājam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C9012BC"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E2B7828"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4AD89C5"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08B327D"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3. cet.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71CE324"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2024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A42AE21" w14:textId="77777777"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 xml:space="preserve">Labklājības ministrija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B1ED77F"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93DDCC2" w14:textId="77777777"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Kopsavilkuma dokuments, kurā pienācīgi pamatots, kā tika apmierinoši sasniegts atskaites punkts (tostarp visi būtiskie elementi), kopā ar atbilstošām saitēm uz pamatojošajiem pierādījumiem.</w:t>
            </w:r>
          </w:p>
          <w:p w14:paraId="154ACC1B" w14:textId="77777777"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Šā dokumenta pielikumā iekļauj šādus dokumentārus pierādījumus un elementus:</w:t>
            </w:r>
          </w:p>
          <w:p w14:paraId="1C953FC1" w14:textId="77777777" w:rsidR="0048148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a) jauna sociālās nodrošināšanas prognozēšanas rīka informācijas sistēmas tehnisko specifikāciju kopiju,</w:t>
            </w:r>
          </w:p>
          <w:p w14:paraId="171B3C97" w14:textId="77777777" w:rsidR="0048148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 xml:space="preserve">b) izrakstu no projekta tehnisko specifikāciju attiecīgajām daļām, kas apliecina atbilstību Padomes Īstenošanas lēmuma pielikumā sniegtajam atskaites punkta </w:t>
            </w:r>
            <w:r w:rsidRPr="00930B4F">
              <w:rPr>
                <w:rFonts w:ascii="Times New Roman" w:hAnsi="Times New Roman"/>
                <w:sz w:val="18"/>
                <w:szCs w:val="20"/>
              </w:rPr>
              <w:lastRenderedPageBreak/>
              <w:t>aprakstam;</w:t>
            </w:r>
          </w:p>
          <w:p w14:paraId="36CEAC48" w14:textId="0745AD6F" w:rsidR="00067A3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c) izrakstu no oficiālajiem dokumentiem, tostarp valsts līmeņa darba grupas sanāksmes protokola kopiju, kas apliecina, ka tehniskā specifikācija ir ietverta par informācijas sistēmas izstrādes ārpakalpojumiem organizētā konkursa tehniskajos noteikumos un ir gatava iesniegšanai Labklājības ministrijas iepirkuma komisijai.</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1B41E6C" w14:textId="77777777"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lastRenderedPageBreak/>
              <w:t>Jauna sociālās nodrošināšanas prognozēšanas rīka informācijas sistēmas tehnisko specifikāciju pabeigšana. Tehniskajās specifikācijās ietver:</w:t>
            </w:r>
          </w:p>
          <w:p w14:paraId="2914CAF5" w14:textId="77777777" w:rsidR="0048148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t>— izvērtējuma ziņojumu par pašreizējo prognozēšanas rīku un tā iespējām, kā arī ieteikumus jaunā prognozēšanas rīka izstrādei;</w:t>
            </w:r>
          </w:p>
          <w:p w14:paraId="265B3F63" w14:textId="1415F2EB"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t xml:space="preserve">— sistēmas izstrādes tehniskās specifikācijas (tehniskā specifikācija ietver arī prasību par </w:t>
            </w:r>
            <w:r w:rsidRPr="00930B4F">
              <w:rPr>
                <w:rFonts w:ascii="Times New Roman" w:hAnsi="Times New Roman"/>
                <w:i/>
                <w:iCs/>
                <w:sz w:val="18"/>
                <w:szCs w:val="20"/>
              </w:rPr>
              <w:t>Agile</w:t>
            </w:r>
            <w:r w:rsidRPr="00930B4F">
              <w:rPr>
                <w:rFonts w:ascii="Times New Roman" w:hAnsi="Times New Roman"/>
                <w:sz w:val="18"/>
                <w:szCs w:val="20"/>
              </w:rPr>
              <w:t xml:space="preserve"> metodikas piemērošanu sistēmas izstrādes posmos).</w:t>
            </w:r>
          </w:p>
        </w:tc>
      </w:tr>
      <w:tr w:rsidR="00930B4F" w:rsidRPr="00930B4F" w14:paraId="05583D6A"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09705C23"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120</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68B5B0B" w14:textId="77777777" w:rsidR="00067A32" w:rsidRPr="00930B4F" w:rsidRDefault="00067A32" w:rsidP="00481482">
            <w:pPr>
              <w:widowControl w:val="0"/>
              <w:spacing w:after="0" w:line="240" w:lineRule="auto"/>
              <w:jc w:val="both"/>
              <w:rPr>
                <w:rFonts w:ascii="Times New Roman" w:eastAsia="Calibri" w:hAnsi="Times New Roman" w:cs="Times New Roman"/>
                <w:b/>
                <w:bCs/>
                <w:noProof/>
                <w:sz w:val="18"/>
                <w:szCs w:val="20"/>
              </w:rPr>
            </w:pPr>
            <w:r w:rsidRPr="00930B4F">
              <w:rPr>
                <w:rFonts w:ascii="Times New Roman" w:hAnsi="Times New Roman"/>
                <w:b/>
                <w:sz w:val="18"/>
                <w:szCs w:val="20"/>
              </w:rPr>
              <w:t xml:space="preserve">3.1.2.2.i. Prognozēšanas rīka izstrāde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B3094E8"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Atskaites punkts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1CD4EF1" w14:textId="6DDAE54E"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Prognozēšanas rīka izstrāde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C5A320B"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Izstrādāts prognozēšanas rīks sociālā nodrošinājuma sistēmas ilgtermiņa prognozēm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B3E9635"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B152A4C"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604848C"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65DA7A7"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1. cet.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1F5A5BC"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2026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7E3DEB6" w14:textId="77777777"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 xml:space="preserve">Labklājības ministrija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BE3B58E"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9B8AD00" w14:textId="77777777"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Kopsavilkuma dokuments, kurā pienācīgi pamatots, kā tika apmierinoši sasniegts atskaites punkts (tostarp visi būtiskie elementi), kopā ar atbilstošām saitēm uz pamatojošajiem pierādījumiem.</w:t>
            </w:r>
          </w:p>
          <w:p w14:paraId="00AA5628"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Šā dokumenta pielikumā iekļauj šādus dokumentārus pierādījumus un elementus:</w:t>
            </w:r>
          </w:p>
          <w:p w14:paraId="0FFF77BC" w14:textId="54BAD65C" w:rsidR="0048148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 xml:space="preserve">a) kopiju pieņemšanas </w:t>
            </w:r>
            <w:r w:rsidRPr="00930B4F">
              <w:rPr>
                <w:rFonts w:ascii="Times New Roman" w:hAnsi="Times New Roman"/>
                <w:sz w:val="18"/>
                <w:szCs w:val="20"/>
              </w:rPr>
              <w:lastRenderedPageBreak/>
              <w:t>un nodošanas aktam, kas apstiprina IT prognozēšanas rīku sociālā nodrošinājuma sistēmas ilgtermiņa prognozēm;</w:t>
            </w:r>
          </w:p>
          <w:p w14:paraId="73FA6F27" w14:textId="1FBF7BDC"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b) izrakstu no oficiālajiem dokumentiem, tostarp valsts līmeņa darba grupas sanāksmes protokola kopiju, kas apliecina atbilstību Padomes Īstenošanas lēmuma pielikumā sniegtajam atskaites punkta un investīciju aprakstam, tostarp pierādījumus tam, ka atskaites punkta aprakstā norādītie mērķi patiešām ir sasniegti.</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9872E97" w14:textId="07EB4CE3"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lastRenderedPageBreak/>
              <w:t>Ir parakstīts nodošanas akts starp Labklājības ministriju un programmatūras izstrādātāju par prognozēšanas rīka izstrādi sociālās nodrošināšanas sistēmas ilgtermiņa prognozēm, kas:</w:t>
            </w:r>
          </w:p>
          <w:p w14:paraId="021347C7" w14:textId="77777777"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t xml:space="preserve">— paredz iespēju prognozēs efektīvāk izmantot un atspoguļot demogrāfisko aspektu, tādējādi </w:t>
            </w:r>
            <w:r w:rsidRPr="00930B4F">
              <w:rPr>
                <w:rFonts w:ascii="Times New Roman" w:hAnsi="Times New Roman"/>
                <w:sz w:val="18"/>
                <w:szCs w:val="20"/>
              </w:rPr>
              <w:lastRenderedPageBreak/>
              <w:t>nodrošinot ātrāku un precīzāku prognozēšanas rezultātu;</w:t>
            </w:r>
          </w:p>
          <w:p w14:paraId="1FE6F305" w14:textId="77777777" w:rsidR="0048148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t xml:space="preserve">— stiprina administratīvo kapacitāti sociālā nodrošinājuma jomā; </w:t>
            </w:r>
          </w:p>
          <w:p w14:paraId="2CE7CC7C" w14:textId="77777777" w:rsidR="0048148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t>— nodrošina iespēju ievadīt detalizētāku pieņēmumu klāstu salīdzinājumā ar iepriekš izmantoto modeli;</w:t>
            </w:r>
          </w:p>
          <w:p w14:paraId="23CC8E17" w14:textId="77777777" w:rsidR="0048148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t xml:space="preserve">— ļauj izmantot modelēšanu ar citviet esošiem rezultātiem (piem., </w:t>
            </w:r>
            <w:r w:rsidRPr="00930B4F">
              <w:rPr>
                <w:rFonts w:ascii="Times New Roman" w:hAnsi="Times New Roman"/>
                <w:i/>
                <w:iCs/>
                <w:sz w:val="18"/>
                <w:szCs w:val="20"/>
              </w:rPr>
              <w:t>Eurostat</w:t>
            </w:r>
            <w:r w:rsidRPr="00930B4F">
              <w:rPr>
                <w:rFonts w:ascii="Times New Roman" w:hAnsi="Times New Roman"/>
                <w:sz w:val="18"/>
                <w:szCs w:val="20"/>
              </w:rPr>
              <w:t>), kā arī ar demogrāfiskajiem un darba tirgus rādītājiem;</w:t>
            </w:r>
          </w:p>
          <w:p w14:paraId="26CC43F8" w14:textId="23CF7C3D"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t>— ir izstrādātas divas rokasgrāmatas rīka administratoram un lietotājiem.</w:t>
            </w:r>
          </w:p>
        </w:tc>
      </w:tr>
      <w:tr w:rsidR="00930B4F" w:rsidRPr="00930B4F" w14:paraId="4D4C8D6F"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2538C774"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121</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E486C9C" w14:textId="77777777" w:rsidR="00067A32" w:rsidRPr="00930B4F" w:rsidRDefault="00067A32" w:rsidP="00481482">
            <w:pPr>
              <w:widowControl w:val="0"/>
              <w:spacing w:after="0" w:line="240" w:lineRule="auto"/>
              <w:jc w:val="both"/>
              <w:rPr>
                <w:rFonts w:ascii="Times New Roman" w:eastAsia="Calibri" w:hAnsi="Times New Roman" w:cs="Times New Roman"/>
                <w:b/>
                <w:bCs/>
                <w:noProof/>
                <w:sz w:val="18"/>
                <w:szCs w:val="20"/>
              </w:rPr>
            </w:pPr>
            <w:r w:rsidRPr="00930B4F">
              <w:rPr>
                <w:rFonts w:ascii="Times New Roman" w:hAnsi="Times New Roman"/>
                <w:b/>
                <w:sz w:val="18"/>
                <w:szCs w:val="20"/>
              </w:rPr>
              <w:t xml:space="preserve">3.1.2.3.i. Ilgstošas sociālās aprūpes pakalpojuma noturība un nepārtrauktība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B7B4A62"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Atskaites punkts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3E13D70" w14:textId="0BCF6601"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Tipveida būvprojekta izstrāde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2FEAF21" w14:textId="3AAB06A2"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Izstrādātas prasības projektēšanas uzdevumam un tipveida būvprojekts tādu ilgtermiņa aprūpes </w:t>
            </w:r>
            <w:r w:rsidRPr="00930B4F">
              <w:rPr>
                <w:rFonts w:ascii="Times New Roman" w:hAnsi="Times New Roman"/>
                <w:sz w:val="18"/>
                <w:szCs w:val="20"/>
              </w:rPr>
              <w:lastRenderedPageBreak/>
              <w:t xml:space="preserve">pakalpojumu sniegšanai, kas ir pietuvināti ģimeniskai videi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F915CBB"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69F404F"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672F063"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27CF010"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3. cet.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E127771"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2022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57D1DE4" w14:textId="4670411D"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Labklājības ministrija / VSIA “Šampētera nams”</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BF086C6"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56F36B2" w14:textId="77777777"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 xml:space="preserve">Kopsavilkuma dokuments, kurā pienācīgi pamatots, kā tika apmierinoši sasniegts atskaites punkts (tostarp visi būtiskie elementi), kopā ar atbilstošām </w:t>
            </w:r>
            <w:r w:rsidRPr="00930B4F">
              <w:rPr>
                <w:rFonts w:ascii="Times New Roman" w:hAnsi="Times New Roman"/>
                <w:sz w:val="18"/>
                <w:szCs w:val="20"/>
              </w:rPr>
              <w:lastRenderedPageBreak/>
              <w:t>saitēm uz pamatojošajiem pierādījumiem.</w:t>
            </w:r>
          </w:p>
          <w:p w14:paraId="2E62E14F"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Šā dokumenta pielikumā iekļauj šādus dokumentārus pierādījumus:</w:t>
            </w:r>
          </w:p>
          <w:p w14:paraId="0911C54A" w14:textId="30830BA7" w:rsidR="00067A3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a) kopiju apstiprinātam tipveida būvprojektam tādu ēku būvniecībai, kas paredzētas vietējās kopienas nodrošinātu ilgtermiņa aprūpes pakalpojumu sniegšanai;</w:t>
            </w:r>
          </w:p>
          <w:p w14:paraId="09CA5E5C" w14:textId="69DE0367" w:rsidR="00067A3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 xml:space="preserve">b) izrakstu no oficiālajiem dokumentiem, tostarp nodošanas un pieņemšanas aktu un Labklājības ministrijas izstrādātās vadlīnijas par ģimeniskai videi pietuvinātu pakalpojumu izveidi, kas apliecina, ka ēku būvprojekts ir saskaņā ar Padomes Īstenošanas lēmuma pielikumā sniegto atskaites punkta aprakstu, jo īpaši, ka ēkas ir pielāgotas vietējās kopienas nodrošinātu ilgtermiņa aprūpes </w:t>
            </w:r>
            <w:r w:rsidRPr="00930B4F">
              <w:rPr>
                <w:rFonts w:ascii="Times New Roman" w:hAnsi="Times New Roman"/>
                <w:sz w:val="18"/>
                <w:szCs w:val="20"/>
              </w:rPr>
              <w:lastRenderedPageBreak/>
              <w:t>pakalpojumu sniegšanai.</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74E46B0" w14:textId="77777777" w:rsidR="0048148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Labklājības ministrija ir pieņēmusi tipveida būvprojektu tādu ēku būvniecībai, kuras nepieciešamas ģimeniskai videi </w:t>
            </w:r>
            <w:r w:rsidRPr="00930B4F">
              <w:rPr>
                <w:rFonts w:ascii="Times New Roman" w:hAnsi="Times New Roman"/>
                <w:sz w:val="18"/>
                <w:szCs w:val="20"/>
              </w:rPr>
              <w:lastRenderedPageBreak/>
              <w:t>pietuvinātu ilgtermiņa aprūpes pakalpojumu sniegšanai.</w:t>
            </w:r>
          </w:p>
          <w:p w14:paraId="41B69055" w14:textId="77777777" w:rsidR="0048148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t xml:space="preserve">Būvniecības projekts ir paredzēts energoefektīvu ēku būvniecībai (ēkas ar gandrīz nulles enerģijas patēriņu). </w:t>
            </w:r>
          </w:p>
          <w:p w14:paraId="3F416C82" w14:textId="2A3FAF0D"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t>Pašvaldību rīcībā ir jau sagatavots tipveida būvprojekts, tādējādi samazinot projekta izmaksas.</w:t>
            </w:r>
          </w:p>
          <w:p w14:paraId="4BEC8F91" w14:textId="77777777" w:rsidR="00067A32" w:rsidRPr="00930B4F" w:rsidRDefault="00067A32" w:rsidP="00B20686">
            <w:pPr>
              <w:widowControl w:val="0"/>
              <w:spacing w:after="0" w:line="240" w:lineRule="auto"/>
              <w:rPr>
                <w:rFonts w:ascii="Times New Roman" w:hAnsi="Times New Roman" w:cs="Times New Roman"/>
                <w:noProof/>
                <w:sz w:val="18"/>
                <w:szCs w:val="20"/>
              </w:rPr>
            </w:pPr>
            <w:r w:rsidRPr="00930B4F">
              <w:rPr>
                <w:rFonts w:ascii="Times New Roman" w:hAnsi="Times New Roman"/>
                <w:sz w:val="18"/>
                <w:szCs w:val="20"/>
              </w:rPr>
              <w:t>Vienkāršāka projektu īstenošana pašvaldībām samazina risku, ka projektu īstenošana kavējas.</w:t>
            </w:r>
          </w:p>
        </w:tc>
      </w:tr>
      <w:tr w:rsidR="00930B4F" w:rsidRPr="00930B4F" w14:paraId="20615828"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0CDABA69"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122</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E2E14E1" w14:textId="77777777" w:rsidR="00067A32" w:rsidRPr="00930B4F" w:rsidRDefault="00067A32" w:rsidP="00481482">
            <w:pPr>
              <w:widowControl w:val="0"/>
              <w:spacing w:after="0" w:line="240" w:lineRule="auto"/>
              <w:jc w:val="both"/>
              <w:rPr>
                <w:rFonts w:ascii="Times New Roman" w:eastAsia="Calibri" w:hAnsi="Times New Roman" w:cs="Times New Roman"/>
                <w:b/>
                <w:bCs/>
                <w:noProof/>
                <w:sz w:val="18"/>
                <w:szCs w:val="20"/>
              </w:rPr>
            </w:pPr>
            <w:r w:rsidRPr="00930B4F">
              <w:rPr>
                <w:rFonts w:ascii="Times New Roman" w:hAnsi="Times New Roman"/>
                <w:b/>
                <w:sz w:val="18"/>
                <w:szCs w:val="20"/>
              </w:rPr>
              <w:t xml:space="preserve">3.1.2.3.i. Ilgstošas sociālās aprūpes pakalpojuma noturība un nepārtrauktība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8E3C133"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Mērķis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477839E"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Līgumu noslēgšana par projektu īstenošanu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800FFD2"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962D056"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Līgumu skaits</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EDF6428"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0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B12488B"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6</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775D98F"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 cet.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F280D5B"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2023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E951DB3" w14:textId="77777777"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Labklājības ministrija / Centrālā finanšu un līgumu aģentūra / pašvaldību iestādes</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9A11401"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7E036A6" w14:textId="77777777" w:rsidR="0048148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Kopsavilkuma dokuments, kurā pienācīgi pamatots, kā apmierinoši tika sasniegts mērķis (tostarp visi būtiskie elementi, jo īpaši saistībā ar tādu ilgtermiņa aprūpes pakalpojumu sniegšanu, kas pietuvināti ģimeniskai videi), kopā ar atbilstošām saitēm uz pamatojošajiem pierādījumiem.</w:t>
            </w:r>
          </w:p>
          <w:p w14:paraId="3C7BC799" w14:textId="458D46C1" w:rsidR="00067A3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Šā dokumenta pielikumā iekļauj sarakstu ar tādiem līgumiem par jaunu vietu izveidi vietējās kopienas nodrošinātu ilgtermiņa aprūpes pakalpojumu sniegšanai, kas noslēgti/parakstīti ar pašvaldībām, un šo līgumu kopijas.</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3A51D48" w14:textId="77777777"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t>Centrālā finanšu un līgumu aģentūra ir noslēgusi vismaz 6 līgumus par jaunu vietu izveidi ģimeniskai videi pietuvinātas ilgtermiņa aprūpes pakalpojumu sniegšanai.</w:t>
            </w:r>
          </w:p>
        </w:tc>
      </w:tr>
      <w:tr w:rsidR="00930B4F" w:rsidRPr="00930B4F" w14:paraId="52E8C6EC"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517FB9E4"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123</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C0B44FC" w14:textId="77777777" w:rsidR="00067A32" w:rsidRPr="00930B4F" w:rsidRDefault="00067A32" w:rsidP="00481482">
            <w:pPr>
              <w:widowControl w:val="0"/>
              <w:spacing w:after="0" w:line="240" w:lineRule="auto"/>
              <w:jc w:val="both"/>
              <w:rPr>
                <w:rFonts w:ascii="Times New Roman" w:eastAsia="Calibri" w:hAnsi="Times New Roman" w:cs="Times New Roman"/>
                <w:b/>
                <w:bCs/>
                <w:noProof/>
                <w:sz w:val="18"/>
                <w:szCs w:val="20"/>
              </w:rPr>
            </w:pPr>
            <w:r w:rsidRPr="00930B4F">
              <w:rPr>
                <w:rFonts w:ascii="Times New Roman" w:hAnsi="Times New Roman"/>
                <w:b/>
                <w:sz w:val="18"/>
                <w:szCs w:val="20"/>
              </w:rPr>
              <w:t xml:space="preserve">3.1.2.3.i. Ilgstošas sociālās aprūpes pakalpojuma noturība un nepārtrauktība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7623344"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Mērķis</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D5588A1"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Jaunu vietu nodrošināšana 408 pensijas vecuma personām ģimeniskiem apstākļiem </w:t>
            </w:r>
            <w:r w:rsidRPr="00930B4F">
              <w:rPr>
                <w:rFonts w:ascii="Times New Roman" w:hAnsi="Times New Roman"/>
                <w:sz w:val="18"/>
                <w:szCs w:val="20"/>
              </w:rPr>
              <w:lastRenderedPageBreak/>
              <w:t xml:space="preserve">pietuvinātas ilgtermiņa aprūpes pakalpojumu saņemšanai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567428E"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5713906"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Vietu skaits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3A56356"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0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AE0B102"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408</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8F3809A"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 cet.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0997CEC"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2026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B5A2F91" w14:textId="77777777"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 xml:space="preserve">Labklājības ministrija / Centrālā finanšu un līgumu aģentūra / pašvaldību </w:t>
            </w:r>
            <w:r w:rsidRPr="00930B4F">
              <w:rPr>
                <w:rFonts w:ascii="Times New Roman" w:hAnsi="Times New Roman"/>
                <w:sz w:val="18"/>
                <w:szCs w:val="20"/>
              </w:rPr>
              <w:lastRenderedPageBreak/>
              <w:t>iestādes</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DDFB29B"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A642E2F"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 xml:space="preserve">Kopsavilkuma dokuments, kurā pienācīgi pamatots, kā tika apmierinoši sasniegts mērķis (tostarp visi būtiskie elementi), kopā ar </w:t>
            </w:r>
            <w:r w:rsidRPr="00930B4F">
              <w:rPr>
                <w:rFonts w:ascii="Times New Roman" w:hAnsi="Times New Roman"/>
                <w:sz w:val="18"/>
                <w:szCs w:val="20"/>
              </w:rPr>
              <w:lastRenderedPageBreak/>
              <w:t>atbilstošām saitēm uz pamatojošajiem pierādījumiem.</w:t>
            </w:r>
          </w:p>
          <w:p w14:paraId="2054FF44" w14:textId="71253016"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Šā dokumenta pielikumā iekļauj šādus dokumentārus pierādījumus:</w:t>
            </w:r>
          </w:p>
          <w:p w14:paraId="77D18FF1" w14:textId="5E801CB7"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a) nosaukumu, ēku atrašanās vietu, to platību m</w:t>
            </w:r>
            <w:r w:rsidRPr="00930B4F">
              <w:rPr>
                <w:rFonts w:ascii="Times New Roman" w:hAnsi="Times New Roman"/>
                <w:sz w:val="18"/>
                <w:szCs w:val="20"/>
                <w:vertAlign w:val="superscript"/>
              </w:rPr>
              <w:t>2</w:t>
            </w:r>
            <w:r w:rsidRPr="00930B4F">
              <w:rPr>
                <w:rFonts w:ascii="Times New Roman" w:hAnsi="Times New Roman"/>
                <w:sz w:val="18"/>
                <w:szCs w:val="20"/>
              </w:rPr>
              <w:t>, to, cik personu var izmitināt katrā no ēkām un visās ēkās kopā (tostarp vienvietīgo un divvietīgo istabu skaits) un intervences pasākuma īsu aprakstu saskaņā ar Padomes Īstenošanas lēmuma pielikumu;</w:t>
            </w:r>
          </w:p>
          <w:p w14:paraId="6A11F1CD"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b) apliecinājumu par ēku nodošanu ekspluatācijā;</w:t>
            </w:r>
          </w:p>
          <w:p w14:paraId="41A50B46" w14:textId="49D7778B"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 xml:space="preserve">c) izrakstu no attiecīgajām pabeigto projektu daļām, kas pierāda atbilstību Padomes Īstenošanas lēmuma pielikumā sniegtajam mērķa un investīciju aprakstam, tostarp pensijas vecuma personu izmitināšanai paredzēto vietu skaitu un apstiprinājumu, ka šīs personas būs investīciju </w:t>
            </w:r>
            <w:r w:rsidRPr="00930B4F">
              <w:rPr>
                <w:rFonts w:ascii="Times New Roman" w:hAnsi="Times New Roman"/>
                <w:sz w:val="18"/>
                <w:szCs w:val="20"/>
              </w:rPr>
              <w:lastRenderedPageBreak/>
              <w:t>galasaņēmēji, pieejamo minimālo aprīkojumu un to, ka pabeigtie projekti atbilst ēku piekļūstamības standartiem.</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094789B" w14:textId="77777777" w:rsidR="0048148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Jaunu vietu izveide ģimeniskai videi pietuvinātas ilgtermiņa aprūpes pakalpojumu sniegšanai 408 pensijas </w:t>
            </w:r>
            <w:r w:rsidRPr="00930B4F">
              <w:rPr>
                <w:rFonts w:ascii="Times New Roman" w:hAnsi="Times New Roman"/>
                <w:sz w:val="18"/>
                <w:szCs w:val="20"/>
              </w:rPr>
              <w:lastRenderedPageBreak/>
              <w:t xml:space="preserve">vecuma personām (uzceltas 26 ēkas, kurās izvietotas ne vairāk par 16 personām katrā ēkā). </w:t>
            </w:r>
          </w:p>
          <w:p w14:paraId="02500552" w14:textId="3AB2BF91"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t>Šo ēku būvniecībā nodrošina, ka katra ēka ir aprīkota vismaz ar iepriekš noteiktu minimālo aprīkojumu, piemēram, ierīcēm un mēbelēm.</w:t>
            </w:r>
          </w:p>
        </w:tc>
      </w:tr>
      <w:tr w:rsidR="00930B4F" w:rsidRPr="00930B4F" w14:paraId="417F2582"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4724250D"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124</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0AE41FB" w14:textId="77777777" w:rsidR="00067A32" w:rsidRPr="00930B4F" w:rsidRDefault="00067A32" w:rsidP="00481482">
            <w:pPr>
              <w:widowControl w:val="0"/>
              <w:spacing w:after="0" w:line="240" w:lineRule="auto"/>
              <w:jc w:val="both"/>
              <w:rPr>
                <w:rFonts w:ascii="Times New Roman" w:eastAsia="Calibri" w:hAnsi="Times New Roman" w:cs="Times New Roman"/>
                <w:b/>
                <w:bCs/>
                <w:noProof/>
                <w:sz w:val="18"/>
                <w:szCs w:val="20"/>
              </w:rPr>
            </w:pPr>
            <w:r w:rsidRPr="00930B4F">
              <w:rPr>
                <w:rFonts w:ascii="Times New Roman" w:hAnsi="Times New Roman"/>
                <w:b/>
                <w:sz w:val="18"/>
                <w:szCs w:val="20"/>
              </w:rPr>
              <w:t>3.1.2.4.i. Sociālās un profesionālās rehabilitācijas pakalpojumu sinerģiska attīstība personu ar funkcionāliem traucējumiem drošumspējas veicināšanai</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826275B"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Atskaites punkts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AC09A7B"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Pieņemts profesionālās rehabilitācijas pakalpojumu apraksts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9F36B60"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Apraksta par profesionālās rehabilitācijas pakalpojumiem pieņemšana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A6B241C"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B54FEAC"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6BABE50"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523D4E2"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1. cet.</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AAAC96E"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2023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4FE46F1" w14:textId="77777777"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Labklājības ministrija / Sociālās integrācijas valsts aģentūra</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9F47E6A"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3A293E2" w14:textId="77777777"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Kopsavilkuma dokuments, kurā pienācīgi pamatots, kā tika apmierinoši sasniegts atskaites punkts (tostarp visi būtiskie elementi), kopā ar atbilstošām saitēm uz pamatojošajiem pierādījumiem.</w:t>
            </w:r>
          </w:p>
          <w:p w14:paraId="0A1682AB"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Šā dokumenta pielikumā iekļauj šādus dokumentārus pierādījumus:</w:t>
            </w:r>
          </w:p>
          <w:p w14:paraId="44061CAD" w14:textId="766BF603" w:rsidR="0048148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a) tāda profesionālās rehabilitācijas pakalpojuma apraksta kopiju, ko pieņēmusi Sociālās integrācijas valsts aģentūras Konsultatīvā padome un apstiprinājusi Sociālās integrācijas valsts aģentūra;</w:t>
            </w:r>
          </w:p>
          <w:p w14:paraId="4D4B9EC9" w14:textId="0966B3A3" w:rsidR="00067A3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 xml:space="preserve">b) izrakstu no profesionālās rehabilitācijas pakalpojuma apraksta attiecīgajām daļām, </w:t>
            </w:r>
            <w:r w:rsidRPr="00930B4F">
              <w:rPr>
                <w:rFonts w:ascii="Times New Roman" w:hAnsi="Times New Roman"/>
                <w:sz w:val="18"/>
                <w:szCs w:val="20"/>
              </w:rPr>
              <w:lastRenderedPageBreak/>
              <w:t xml:space="preserve">kas apliecina atbilstību Padomes Īstenošanas lēmuma pielikumā sniegtajam atskaites punkta aprakstam.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91764B3" w14:textId="1E21484F"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Sociālās integrācijas valsts aģentūras konsultatīvā padome ir pieņēmusi un Sociālās integrācijas valsts aģentūra ir apstiprinājusi tādu profesionālās rehabilitācijas pakalpojumu aprakstu, ar kuriem veicina jaunas izglītības vai prasmju uzturēšanu, atjaunošanu un apguvi pēc iespējās ātrākai darba atsākšanai, sekmējot klientu drošību. </w:t>
            </w:r>
          </w:p>
        </w:tc>
      </w:tr>
      <w:tr w:rsidR="00930B4F" w:rsidRPr="00930B4F" w14:paraId="3F118D5E"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45CEB714"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125</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65265B7" w14:textId="77777777" w:rsidR="00067A32" w:rsidRPr="00930B4F" w:rsidRDefault="00067A32" w:rsidP="00481482">
            <w:pPr>
              <w:widowControl w:val="0"/>
              <w:spacing w:after="0" w:line="240" w:lineRule="auto"/>
              <w:jc w:val="both"/>
              <w:rPr>
                <w:rFonts w:ascii="Times New Roman" w:eastAsia="Calibri" w:hAnsi="Times New Roman" w:cs="Times New Roman"/>
                <w:b/>
                <w:noProof/>
                <w:sz w:val="18"/>
                <w:szCs w:val="20"/>
              </w:rPr>
            </w:pPr>
            <w:r w:rsidRPr="00930B4F">
              <w:rPr>
                <w:rFonts w:ascii="Times New Roman" w:hAnsi="Times New Roman"/>
                <w:b/>
                <w:sz w:val="18"/>
                <w:szCs w:val="20"/>
              </w:rPr>
              <w:t xml:space="preserve">3.1.2.4.i. Sociālās un profesionālās rehabilitācijas pakalpojumu sinerģiska attīstība personu ar funkcionāliem traucējumiem drošumspējas veicināšanai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214E317"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Atskaites punkts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658B961"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Ēku infrastruktūras pielāgošana, tostarp vides piekļūstamības un energoefektivitātes veicināšana, kā arī tehniskā un materiālā aprīkojuma uzlabošana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4CC97C8" w14:textId="0BC8A2BF"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 ēku pielāgošana, kurās uzlabo infrastruktūru, t. sk. vides piekļūstamību un energoefektivitāti, kā arī tehniskā un materiālā aprīkojuma uzlabošana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7E78975"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8911104"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046932F"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E89258D"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1. cet.</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E7263E5"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2026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56F2FF7" w14:textId="77777777"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Labklājības ministrija / Sociālās integrācijas valsts aģentūra</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5900685"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1571CD2" w14:textId="77777777"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Kopsavilkuma dokuments, kurā pienācīgi pamatots, kā tika apmierinoši sasniegts atskaites punkts (tostarp visi būtiskie elementi), kopā ar atbilstošām saitēm uz pamatojošajiem pierādījumiem.</w:t>
            </w:r>
          </w:p>
          <w:p w14:paraId="75F96B8B" w14:textId="77777777"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Šā dokumenta pielikumā iekļauj šādus dokumentārus pierādījumus:</w:t>
            </w:r>
          </w:p>
          <w:p w14:paraId="7C9FA9BB" w14:textId="77777777" w:rsidR="00067A3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a) kopiju apliecinājumam par darbu pabeigšanu 2 ēkām ar uzlabotu infrastruktūru un tehnisko un materiālo aprīkojumu, kas izdots saskaņā ar valsts tiesību aktiem;</w:t>
            </w:r>
          </w:p>
          <w:p w14:paraId="004B0E95" w14:textId="3A1C9E13"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 xml:space="preserve">b) intervences pasākuma veidu un īsu pamatojumu, kas pierāda atbilstību Padomes Īstenošanas lēmuma pielikumā sniegtajam atskaites </w:t>
            </w:r>
            <w:r w:rsidRPr="00930B4F">
              <w:rPr>
                <w:rFonts w:ascii="Times New Roman" w:hAnsi="Times New Roman"/>
                <w:sz w:val="18"/>
                <w:szCs w:val="20"/>
              </w:rPr>
              <w:lastRenderedPageBreak/>
              <w:t>punkta aprakstam;</w:t>
            </w:r>
          </w:p>
          <w:p w14:paraId="5DE187C6" w14:textId="487309C8"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c) aptvertos energoefektivitātes sertifikātus pirms un pēc ēku atjaunošanas vai pārbūves/pielāgošanas, kas veikta nolūkā palielināt ēku energoefektivitāti.</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0229EC8" w14:textId="5897CA11"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lastRenderedPageBreak/>
              <w:t>Ēkās, kurās sniedz pakalpojumus, lai veicinātu cilvēku ar funkcionāliem traucējumiem drošumspēju, ir uzlabota infrastruktūra un tehniskais un materiālais aprīkojums, t. sk.:</w:t>
            </w:r>
          </w:p>
          <w:p w14:paraId="3B322F0E" w14:textId="77777777"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t>— vides pielāgošanas pasākumi ēkā Slokas ielā 61, Jūrmalā;</w:t>
            </w:r>
          </w:p>
          <w:p w14:paraId="0F44021B" w14:textId="77777777"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t>— uzlabota energoefektivitāte ēkai Dubultu prospektā 71, Jūrmalā.</w:t>
            </w:r>
          </w:p>
        </w:tc>
      </w:tr>
      <w:tr w:rsidR="00930B4F" w:rsidRPr="00930B4F" w14:paraId="0AA99BF5"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1F691489"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126</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D4586E4" w14:textId="77777777" w:rsidR="00067A32" w:rsidRPr="00930B4F" w:rsidRDefault="00067A32" w:rsidP="00481482">
            <w:pPr>
              <w:widowControl w:val="0"/>
              <w:spacing w:after="0" w:line="240" w:lineRule="auto"/>
              <w:jc w:val="both"/>
              <w:rPr>
                <w:rFonts w:ascii="Times New Roman" w:eastAsia="Calibri" w:hAnsi="Times New Roman" w:cs="Times New Roman"/>
                <w:b/>
                <w:noProof/>
                <w:sz w:val="18"/>
                <w:szCs w:val="20"/>
              </w:rPr>
            </w:pPr>
            <w:r w:rsidRPr="00930B4F">
              <w:rPr>
                <w:rFonts w:ascii="Times New Roman" w:hAnsi="Times New Roman"/>
                <w:b/>
                <w:sz w:val="18"/>
                <w:szCs w:val="20"/>
              </w:rPr>
              <w:t>3.1.2.4.i. Sociālās un profesionālās rehabilitācijas pakalpojumu sinerģiska attīstība personu ar funkcionāliem traucējumiem drošumspējas veicināšanai</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F54985F"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Atskaites punkts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B662930" w14:textId="76E90209"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Ir izveidots un apstiprināts jauns sociālās un profesionālās rehabilitācijas pakalpojumu standarts, lai veicinātu personu ar funkcionāliem traucējumiem drošumspēju</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946E483"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Ir apstiprināts jauns rehabilitācijas pakalpojumu standarts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FB959C6"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4B5AEC9"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8FF3527"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1A6F4BB"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 cet.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D07826D"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2026</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42356ED" w14:textId="77777777"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Labklājības ministrija / Sociālās integrācijas valsts aģentūra</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ACABF4E"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F19DAE5" w14:textId="77777777"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Kopsavilkuma dokuments, kurā pienācīgi pamatots, kā tika apmierinoši sasniegts atskaites punkts (tostarp visi būtiskie elementi), kopā ar atbilstošām saitēm uz pamatojošajiem pierādījumiem.</w:t>
            </w:r>
          </w:p>
          <w:p w14:paraId="3DEF4893" w14:textId="77777777"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Šā dokumenta pielikumā iekļauj šādus dokumentārus pierādījumus:</w:t>
            </w:r>
          </w:p>
          <w:p w14:paraId="18DA60A5" w14:textId="77777777" w:rsidR="0048148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 xml:space="preserve">a) jaunā profesionālās rehabilitācijas pakalpojumu standarta kopiju, kas ietver arī sociālās rehabilitācijas komponentu un ko ir pieņēmusi Sociālās integrācijas valsts aģentūras Konsultatīvā padome un apstiprinājusi </w:t>
            </w:r>
            <w:r w:rsidRPr="00930B4F">
              <w:rPr>
                <w:rFonts w:ascii="Times New Roman" w:hAnsi="Times New Roman"/>
                <w:sz w:val="18"/>
                <w:szCs w:val="20"/>
              </w:rPr>
              <w:lastRenderedPageBreak/>
              <w:t>Sociālās integrācijas aģentūra;</w:t>
            </w:r>
          </w:p>
          <w:p w14:paraId="26549402" w14:textId="4B33AF56" w:rsidR="00067A32" w:rsidRPr="00930B4F" w:rsidRDefault="00067A32" w:rsidP="00B20686">
            <w:pPr>
              <w:widowControl w:val="0"/>
              <w:spacing w:after="0" w:line="240" w:lineRule="auto"/>
              <w:rPr>
                <w:rFonts w:ascii="Times New Roman" w:hAnsi="Times New Roman"/>
                <w:noProof/>
                <w:color w:val="FF0000"/>
                <w:sz w:val="18"/>
                <w:szCs w:val="20"/>
              </w:rPr>
            </w:pPr>
            <w:r w:rsidRPr="00930B4F">
              <w:rPr>
                <w:rFonts w:ascii="Times New Roman" w:hAnsi="Times New Roman"/>
                <w:sz w:val="18"/>
                <w:szCs w:val="20"/>
              </w:rPr>
              <w:t xml:space="preserve">b) </w:t>
            </w:r>
            <w:bookmarkStart w:id="28" w:name="_Hlk157526581"/>
            <w:r w:rsidRPr="00930B4F">
              <w:rPr>
                <w:rFonts w:ascii="Times New Roman" w:hAnsi="Times New Roman"/>
                <w:color w:val="000000" w:themeColor="text1"/>
                <w:sz w:val="18"/>
                <w:szCs w:val="20"/>
              </w:rPr>
              <w:t xml:space="preserve"> to dokumentu kopijas, kas apliecina, ka ir izstrādāta kompetenču pilnveides programma (metodika speciālistu kompetenču pilnveidei darbam ar neformālajiem aprūpētājiem un kompetenču pilnveides mācību programmas (moduļi), kas paredzēti personu ar funkcionāliem traucējumiem neformālajiem aprūpētājiem);</w:t>
            </w:r>
            <w:bookmarkEnd w:id="28"/>
          </w:p>
          <w:p w14:paraId="15BEC567" w14:textId="77777777" w:rsidR="00067A3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c) tā Sociālās integrācijas valsts aģentūras Konsultatīvās padomes lēmuma protokola kopiju, kurā apstiprināti pakalpojumu pieņemšanas izmēģinājuma projektu rezultāti.</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2A7CE7E" w14:textId="117D2C12"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Sociālās integrācijas valsts aģentūras konsultatīvā padome ir pieņēmusi un Sociālās integrācijas valsts aģentūra ir apstiprinājusi jaunu pakalpojumu standartu sociālās un profesionālās rehabilitācijas pakalpojumiem, lai veicinātu to cilvēku drošumspēju, kuriem ir funkcionāli traucējumi (kompetenču pilnveides programma un profesionālās rehabilitācijas pakalpojumi), tostarp pieņemot </w:t>
            </w:r>
            <w:r w:rsidRPr="00930B4F">
              <w:rPr>
                <w:rFonts w:ascii="Times New Roman" w:hAnsi="Times New Roman"/>
                <w:sz w:val="18"/>
                <w:szCs w:val="20"/>
              </w:rPr>
              <w:lastRenderedPageBreak/>
              <w:t>pakalpojumus izmēģinājuma projektos un izmantojot projekta materiālo bāzi.</w:t>
            </w:r>
          </w:p>
        </w:tc>
      </w:tr>
      <w:tr w:rsidR="00930B4F" w:rsidRPr="00930B4F" w14:paraId="4BDAFE38"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27D0B3DD"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127</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C90DF0F" w14:textId="77777777" w:rsidR="00067A32" w:rsidRPr="00930B4F" w:rsidRDefault="00067A32" w:rsidP="00481482">
            <w:pPr>
              <w:widowControl w:val="0"/>
              <w:spacing w:after="0" w:line="240" w:lineRule="auto"/>
              <w:jc w:val="both"/>
              <w:rPr>
                <w:rFonts w:ascii="Times New Roman" w:eastAsia="Calibri" w:hAnsi="Times New Roman" w:cs="Times New Roman"/>
                <w:b/>
                <w:noProof/>
                <w:sz w:val="18"/>
                <w:szCs w:val="20"/>
              </w:rPr>
            </w:pPr>
            <w:r w:rsidRPr="00930B4F">
              <w:rPr>
                <w:rFonts w:ascii="Times New Roman" w:hAnsi="Times New Roman"/>
                <w:b/>
                <w:sz w:val="18"/>
                <w:szCs w:val="20"/>
              </w:rPr>
              <w:t xml:space="preserve">3.1.2.5.i. Bezdarbnieku, darba meklētāju un bezdarba riskam </w:t>
            </w:r>
            <w:r w:rsidRPr="00930B4F">
              <w:rPr>
                <w:rFonts w:ascii="Times New Roman" w:hAnsi="Times New Roman"/>
                <w:b/>
                <w:sz w:val="18"/>
                <w:szCs w:val="20"/>
              </w:rPr>
              <w:lastRenderedPageBreak/>
              <w:t xml:space="preserve">pakļauto personu iesaiste darba tirgū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CC9F7A6"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Atskaites punkts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B2E73CB" w14:textId="34B1E0EA"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Lai veicinātu tādu ekonomikas atveseļošanu, kurā tiktu radīts daudz jaunu darbavietu, </w:t>
            </w:r>
            <w:r w:rsidRPr="00930B4F">
              <w:rPr>
                <w:rFonts w:ascii="Times New Roman" w:hAnsi="Times New Roman"/>
                <w:sz w:val="18"/>
                <w:szCs w:val="20"/>
              </w:rPr>
              <w:lastRenderedPageBreak/>
              <w:t xml:space="preserve">Nodarbinātības valsts aģentūras klientiem (bezdarbniekiem, darba meklētājiem, bezdarba riskam pakļautām personām), īstenojot aktīvas darba tirgus politikas pasākumus, ir izveidots pārkvalificēšanās un prasmju pilnveides piedāvājums, kurā galvenā uzmanība pievērsta digitālajām prasmēm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01D2072"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Jauna pārkvalificēšanās un prasmju (tostarp digitālo prasmju) pilnveides </w:t>
            </w:r>
            <w:r w:rsidRPr="00930B4F">
              <w:rPr>
                <w:rFonts w:ascii="Times New Roman" w:hAnsi="Times New Roman"/>
                <w:sz w:val="18"/>
                <w:szCs w:val="20"/>
              </w:rPr>
              <w:lastRenderedPageBreak/>
              <w:t xml:space="preserve">piedāvājuma pieņemšana Nodarbinātības valsts aģentūras klientiem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87265E5"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7BBC9AC"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A34B042"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25AE004"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 cet.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350E607"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2023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1955596" w14:textId="77777777"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Labklājības ministrija</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9013A6D"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F2B5DC2" w14:textId="77777777"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 xml:space="preserve">Kopsavilkuma dokuments, kurā pienācīgi pamatots, kā tika apmierinoši sasniegts atskaites punkts (tostarp visi </w:t>
            </w:r>
            <w:r w:rsidRPr="00930B4F">
              <w:rPr>
                <w:rFonts w:ascii="Times New Roman" w:hAnsi="Times New Roman"/>
                <w:sz w:val="18"/>
                <w:szCs w:val="20"/>
              </w:rPr>
              <w:lastRenderedPageBreak/>
              <w:t>būtiskie elementi), kopā ar atbilstošām saitēm uz pamatojošajiem pierādījumiem.</w:t>
            </w:r>
          </w:p>
          <w:p w14:paraId="7EC20F63"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Šā dokumenta pielikumā iekļauj šādus dokumentārus pierādījumus:</w:t>
            </w:r>
          </w:p>
          <w:p w14:paraId="1BB184B7" w14:textId="77777777" w:rsidR="0048148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a) jaunu pārkvalificēšanās un prasmju pilnveides piedāvājumu (tostarp digitālo prasmju piedāvājumu) Nodarbinātības valsts aģentūras klientiem, ko pieņēmusi Apmācību komisija saskaņā ar aktīvas darba tirgus politikas pasākumiem ekonomikas atveseļošanai, kas vērsti uz darbam draudzīgu vidi, (kopiju);</w:t>
            </w:r>
          </w:p>
          <w:p w14:paraId="5B236F82" w14:textId="769A6214" w:rsidR="00067A3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i) izrakstu no attiecīgajām piedāvājuma daļām, kas apstiprina atbilstību Padomes Īstenošanas lēmuma pielikumā norādītajam atskaites punktam, jo īpaši koncentrēšanos uz digitālajām prasmēm.</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979AC7C" w14:textId="77777777"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Latvijas Apmācību komisijas sanāksmē tika pieņemts pārkvalificēšanas un prasmju pilnveides </w:t>
            </w:r>
            <w:r w:rsidRPr="00930B4F">
              <w:rPr>
                <w:rFonts w:ascii="Times New Roman" w:hAnsi="Times New Roman"/>
                <w:sz w:val="18"/>
                <w:szCs w:val="20"/>
              </w:rPr>
              <w:lastRenderedPageBreak/>
              <w:t>programmu piedāvājums Latvijas Nodarbinātības valsts aģentūras klientiem (bezdarbniekiem, darba meklētājiem, bezdarba riskam pakļautajām personām) saskaņā ar aktīva darba tirgus politikas pasākumiem nodarbinātībai labvēlīgas ekonomikas atveseļošanai.</w:t>
            </w:r>
          </w:p>
        </w:tc>
      </w:tr>
      <w:tr w:rsidR="00930B4F" w:rsidRPr="00930B4F" w14:paraId="3D390177"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2B5776D9"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128</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57727C4" w14:textId="601EB0CE" w:rsidR="00067A32" w:rsidRPr="00930B4F" w:rsidRDefault="00067A32" w:rsidP="00481482">
            <w:pPr>
              <w:widowControl w:val="0"/>
              <w:spacing w:after="0" w:line="240" w:lineRule="auto"/>
              <w:jc w:val="both"/>
              <w:rPr>
                <w:rFonts w:ascii="Times New Roman" w:eastAsia="Calibri" w:hAnsi="Times New Roman" w:cs="Times New Roman"/>
                <w:b/>
                <w:noProof/>
                <w:sz w:val="18"/>
                <w:szCs w:val="20"/>
              </w:rPr>
            </w:pPr>
            <w:r w:rsidRPr="00930B4F">
              <w:rPr>
                <w:rFonts w:ascii="Times New Roman" w:hAnsi="Times New Roman"/>
                <w:b/>
                <w:sz w:val="18"/>
                <w:szCs w:val="20"/>
              </w:rPr>
              <w:t>3.1.2.5.i. Bezdarbnieku, darba meklētāju un bezdarba riskam pakļauto personu iesaiste darba tirgū</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73D683D"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Atskaites punkts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9D4C46C" w14:textId="69D5FE73"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Digitālā rīka izstrāde prasmju novērtēšanai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2806264"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Izstrādāts un ieviests digitālais rīks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24B532C"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EC28558"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78249F3"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C5BC5F8"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4. cet.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7C69B01"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2023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9353C06" w14:textId="77777777"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Labklājības ministrija / Centrālā finanšu un līgumu aģentūra / Nodarbinātības valsts aģentūra</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A4C70AB"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6A178DC"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Kopsavilkuma dokuments, kurā pienācīgi pamatots, kā tika apmierinoši sasniegts atskaites punkts (tostarp visi būtiskie elementi), kopā ar atbilstošām saitēm uz pamatojošajiem pierādījumiem.</w:t>
            </w:r>
          </w:p>
          <w:p w14:paraId="576085B0" w14:textId="07443E82"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Šā kopsavilkuma dokumenta pielikumā iekļauj šādus dokumentārus pierādījumus un elementus:</w:t>
            </w:r>
          </w:p>
          <w:p w14:paraId="2CF59019" w14:textId="77777777"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a) to dalībnieku sarakstu (anonimizētu), kam tika veikta profilēšana (izdruka no bezdarbnieku reģistrācijas un informācijas sistēmas IS BURVIS) (informācija, kas jāsniedz par personām, kuras atskaites punkta sasniegšanas laikā ir profilētas, izmantojot digitālo rīku);</w:t>
            </w:r>
          </w:p>
          <w:p w14:paraId="63A5DCC8" w14:textId="0912D084" w:rsidR="00067A3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 xml:space="preserve">b) prasmju novērtēšanai izstrādātā digitālā rīka īsu aprakstu, kas pierāda atbilstību </w:t>
            </w:r>
            <w:r w:rsidRPr="00930B4F">
              <w:rPr>
                <w:rFonts w:ascii="Times New Roman" w:hAnsi="Times New Roman"/>
                <w:sz w:val="18"/>
                <w:szCs w:val="20"/>
              </w:rPr>
              <w:lastRenderedPageBreak/>
              <w:t>Padomes Īstenošanas lēmuma pielikumā sniegtajam atskaites punkta aprakstam, tostarp, kā jaunais digitālais rīks uzlabos klientu profilēšanas metodi;</w:t>
            </w:r>
          </w:p>
          <w:p w14:paraId="6D13CC5B" w14:textId="1471B5CA"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c) aprakstu, kā darbojas klientu profilēšanas metode un kā tā papildina digitālo prasmju novērtēšanas rīku, kā arī to, kā testa rezultātus izmanto klientu karjeras konsultāciju procesā un mācību piedāvājuma sagatavošanā. (tostarp pieņemšanas un nodošanas aktu, ja trešā persona izstrādāja digitālo rīku, izmantojot publiskā iepirkuma procedūru).</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E91FC8E" w14:textId="77777777" w:rsidR="0048148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lastRenderedPageBreak/>
              <w:t>Nodarbinātības valsts aģentūra ir izstrādājusi un ieviesusi digitālo novērtēšanas rīku uzlabotai prasmju profilēšanas sistēmai, kas nodrošina aģentūras klientu prasmju un kompetenču novērtēšanu, lai pabeigtu atbilstošu pārkvalificēšanās un prasmju apguves piedāvājumu atkarībā no personas zināšanu un prasmju līmeņa.</w:t>
            </w:r>
          </w:p>
          <w:p w14:paraId="5A9C676F" w14:textId="20113103"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t xml:space="preserve">Aģentūras pašlaik izmantoto klientu profilēšanas metodi papildina ar digitālu prasmju novērtēšanas rīku (testiem), un testu rezultātus izmanto klientu karjeras konsultāciju procesā un individuālā mācību piedāvājuma sagatavošanā. </w:t>
            </w:r>
          </w:p>
        </w:tc>
      </w:tr>
      <w:tr w:rsidR="00930B4F" w:rsidRPr="00930B4F" w14:paraId="100288C0"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4EF9FA89"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129</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70D3E79" w14:textId="77777777" w:rsidR="00067A32" w:rsidRPr="00930B4F" w:rsidRDefault="00067A32" w:rsidP="00481482">
            <w:pPr>
              <w:widowControl w:val="0"/>
              <w:spacing w:after="0" w:line="240" w:lineRule="auto"/>
              <w:jc w:val="both"/>
              <w:rPr>
                <w:rFonts w:ascii="Times New Roman" w:eastAsia="Calibri" w:hAnsi="Times New Roman" w:cs="Times New Roman"/>
                <w:b/>
                <w:noProof/>
                <w:sz w:val="18"/>
                <w:szCs w:val="20"/>
              </w:rPr>
            </w:pPr>
            <w:r w:rsidRPr="00930B4F">
              <w:rPr>
                <w:rFonts w:ascii="Times New Roman" w:hAnsi="Times New Roman"/>
                <w:b/>
                <w:sz w:val="18"/>
                <w:szCs w:val="20"/>
              </w:rPr>
              <w:t xml:space="preserve">3.1.2.5.i. Bezdarbnieku, darba meklētāju un bezdarba riskam pakļauto personu iesaiste darba tirgū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2228698"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Mērķis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1923882"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Bezdarbnieki, darba meklētāji, bezdarba riskam pakļautās personas ar pilnveidotām prasmēm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18E8B0C"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479488F"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Skaits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BE170B0"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0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2ACE882"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10 000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E606B2A"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1. cet.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3FBFCFC"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2025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525080B" w14:textId="77777777"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Labklājības ministrija / Centrālā finanšu un līgumu aģentūra / Nodarbinātības valsts aģentūra</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8B26630"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F071143" w14:textId="77777777" w:rsidR="00067A3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 xml:space="preserve">Kopsavilkuma dokuments, kurā pienācīgi pamatots, kā apmierinoši tika sasniegts mērķis (tostarp visi būtiskie elementi, jo īpaši saistībā ar prasmju pilnveidi </w:t>
            </w:r>
            <w:r w:rsidRPr="00930B4F">
              <w:rPr>
                <w:rFonts w:ascii="Times New Roman" w:hAnsi="Times New Roman"/>
                <w:sz w:val="18"/>
                <w:szCs w:val="20"/>
              </w:rPr>
              <w:lastRenderedPageBreak/>
              <w:t>bezdarbniekiem, darba meklētājiem, bezdarba riskam pakļautām personām, kā to apliecina Nodarbinātības valsts aģentūras klientu uzskaites sistēma), kopā ar atbilstošām saitēm uz pamatojošajiem pierādījumiem.</w:t>
            </w:r>
          </w:p>
          <w:p w14:paraId="6C80735B"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Šā dokumenta pielikumā iekļauj šādus dokumentārus pierādījumus:</w:t>
            </w:r>
          </w:p>
          <w:p w14:paraId="16DEBC74" w14:textId="77777777" w:rsidR="0048148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 xml:space="preserve">a) sarakstu (anonimizētu) ar dalībniekiem, kas piedalījušies Nodarbinātības valsts aģentūras sniegtajos mācību pasākumos (izdruka no bezdarbnieku reģistrācijas un informācijas sistēmas IS BURVIS). Šajā sarakstā </w:t>
            </w:r>
            <w:r w:rsidRPr="00930B4F">
              <w:rPr>
                <w:rFonts w:ascii="Times New Roman" w:hAnsi="Times New Roman"/>
                <w:i/>
                <w:iCs/>
                <w:sz w:val="18"/>
                <w:szCs w:val="20"/>
              </w:rPr>
              <w:t>inter alia</w:t>
            </w:r>
            <w:r w:rsidRPr="00930B4F">
              <w:rPr>
                <w:rFonts w:ascii="Times New Roman" w:hAnsi="Times New Roman"/>
                <w:sz w:val="18"/>
                <w:szCs w:val="20"/>
              </w:rPr>
              <w:t xml:space="preserve"> iekļauj piezīmi par to, vai šīs personas profilēšanā ir izmantots digitālais rīks;</w:t>
            </w:r>
          </w:p>
          <w:p w14:paraId="15AFAC4B" w14:textId="75353FD5"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 xml:space="preserve">b) īsu aprakstu par to, kādas prasmju pilnveides tēmas ir saņēmuši </w:t>
            </w:r>
            <w:r w:rsidRPr="00930B4F">
              <w:rPr>
                <w:rFonts w:ascii="Times New Roman" w:hAnsi="Times New Roman"/>
                <w:sz w:val="18"/>
                <w:szCs w:val="20"/>
              </w:rPr>
              <w:lastRenderedPageBreak/>
              <w:t>bezdarbnieki, darba meklētāji un bezdarba riskam pakļautās personas.</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F717E2F" w14:textId="6957CFE3"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lastRenderedPageBreak/>
              <w:t xml:space="preserve">10 000 bezdarbnieku, darba meklētāju, bezdarba riskam pakļauto personu ar pilnveidotām prasmēm, ko apliecina Nodarbinātības valsts aģentūras </w:t>
            </w:r>
            <w:r w:rsidRPr="00930B4F">
              <w:rPr>
                <w:rFonts w:ascii="Times New Roman" w:hAnsi="Times New Roman"/>
                <w:sz w:val="18"/>
                <w:szCs w:val="20"/>
              </w:rPr>
              <w:lastRenderedPageBreak/>
              <w:t>klientu uzskaites sistēma</w:t>
            </w:r>
          </w:p>
        </w:tc>
      </w:tr>
      <w:tr w:rsidR="00930B4F" w:rsidRPr="00930B4F" w14:paraId="41473A70"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4C44DFA7"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lastRenderedPageBreak/>
              <w:t>130</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944E276" w14:textId="77777777" w:rsidR="00067A32" w:rsidRPr="00930B4F" w:rsidRDefault="00067A32" w:rsidP="00481482">
            <w:pPr>
              <w:widowControl w:val="0"/>
              <w:spacing w:after="0" w:line="240" w:lineRule="auto"/>
              <w:jc w:val="both"/>
              <w:rPr>
                <w:rFonts w:ascii="Times New Roman" w:eastAsia="Calibri" w:hAnsi="Times New Roman" w:cs="Times New Roman"/>
                <w:b/>
                <w:noProof/>
                <w:sz w:val="18"/>
                <w:szCs w:val="20"/>
              </w:rPr>
            </w:pPr>
            <w:r w:rsidRPr="00930B4F">
              <w:rPr>
                <w:rFonts w:ascii="Times New Roman" w:hAnsi="Times New Roman"/>
                <w:b/>
                <w:sz w:val="18"/>
                <w:szCs w:val="20"/>
              </w:rPr>
              <w:t xml:space="preserve">3.1.2.5.i. Bezdarbnieku, darba meklētāju un bezdarba riskam pakļauto personu iesaiste darba tirgū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2B085B6"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Mērķis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9065D7A"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Bezdarbnieki, darba meklētāji, bezdarba riskam pakļautās personas ar pilnveidotām prasmēm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43CDA4D"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Neattiecas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D8F92AA"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Skaits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7FA63AB"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10 000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BCE5DC8"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20 450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6F08025"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3. cet.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370F803"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 xml:space="preserve">2026 </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FE76C7E" w14:textId="77777777" w:rsidR="00067A32" w:rsidRPr="00930B4F" w:rsidRDefault="00067A32" w:rsidP="00481482">
            <w:pPr>
              <w:widowControl w:val="0"/>
              <w:spacing w:after="0" w:line="240" w:lineRule="auto"/>
              <w:jc w:val="both"/>
              <w:rPr>
                <w:rFonts w:ascii="Times New Roman" w:hAnsi="Times New Roman" w:cs="Calibri"/>
                <w:noProof/>
                <w:sz w:val="18"/>
                <w:szCs w:val="20"/>
              </w:rPr>
            </w:pPr>
            <w:r w:rsidRPr="00930B4F">
              <w:rPr>
                <w:rFonts w:ascii="Times New Roman" w:hAnsi="Times New Roman"/>
                <w:sz w:val="18"/>
                <w:szCs w:val="20"/>
              </w:rPr>
              <w:t>Labklājības ministrija / Centrālā finanšu un līgumu aģentūra / Nodarbinātības valsts aģentūra</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C3A2312"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0D6048C7" w14:textId="77777777" w:rsidR="00067A3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Kopsavilkuma dokuments, kurā pienācīgi pamatots, kā apmierinoši tika sasniegts mērķis (tostarp visi būtiskie elementi, jo īpaši saistībā ar prasmju pilnveidi bezdarbniekiem, darba meklētājiem, bezdarba riskam pakļautajām personām, kā to apliecina Nodarbinātības valsts aģentūras klientu uzskaites sistēma), kopā ar atbilstošām saitēm uz pamatojošajiem pierādījumiem.</w:t>
            </w:r>
          </w:p>
          <w:p w14:paraId="45B9A240" w14:textId="77777777" w:rsidR="0048148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Šā dokumenta pielikumā iekļauj šādus dokumentārus pierādījumus:</w:t>
            </w:r>
          </w:p>
          <w:p w14:paraId="75223A33" w14:textId="77777777" w:rsidR="00481482" w:rsidRPr="00930B4F" w:rsidRDefault="00067A32" w:rsidP="00B20686">
            <w:pPr>
              <w:widowControl w:val="0"/>
              <w:spacing w:after="0" w:line="240" w:lineRule="auto"/>
              <w:rPr>
                <w:rFonts w:ascii="Times New Roman" w:hAnsi="Times New Roman"/>
                <w:noProof/>
                <w:sz w:val="18"/>
                <w:szCs w:val="20"/>
              </w:rPr>
            </w:pPr>
            <w:r w:rsidRPr="00930B4F">
              <w:rPr>
                <w:rFonts w:ascii="Times New Roman" w:hAnsi="Times New Roman"/>
                <w:sz w:val="18"/>
                <w:szCs w:val="20"/>
              </w:rPr>
              <w:t xml:space="preserve">a) sarakstu (anonimizētu) ar dalībniekiem, kas piedalījušies Nodarbinātības valsts aģentūras sniegtajos mācību pasākumos </w:t>
            </w:r>
            <w:r w:rsidRPr="00930B4F">
              <w:rPr>
                <w:rFonts w:ascii="Times New Roman" w:hAnsi="Times New Roman"/>
                <w:sz w:val="18"/>
                <w:szCs w:val="20"/>
              </w:rPr>
              <w:lastRenderedPageBreak/>
              <w:t xml:space="preserve">(izdruka no bezdarbnieku reģistrācijas un informācijas sistēmas IS BURVIS). Šajā sarakstā </w:t>
            </w:r>
            <w:r w:rsidRPr="00930B4F">
              <w:rPr>
                <w:rFonts w:ascii="Times New Roman" w:hAnsi="Times New Roman"/>
                <w:i/>
                <w:iCs/>
                <w:sz w:val="18"/>
                <w:szCs w:val="20"/>
              </w:rPr>
              <w:t>inter alia</w:t>
            </w:r>
            <w:r w:rsidRPr="00930B4F">
              <w:rPr>
                <w:rFonts w:ascii="Times New Roman" w:hAnsi="Times New Roman"/>
                <w:sz w:val="18"/>
                <w:szCs w:val="20"/>
              </w:rPr>
              <w:t xml:space="preserve"> iekļauj piezīmi par to, vai šīs personas profilēšanā ir izmantots digitālais rīks;</w:t>
            </w:r>
          </w:p>
          <w:p w14:paraId="3E624CFC" w14:textId="06473754" w:rsidR="00067A32" w:rsidRPr="00930B4F" w:rsidRDefault="00067A32" w:rsidP="00B20686">
            <w:pPr>
              <w:widowControl w:val="0"/>
              <w:spacing w:after="0" w:line="240" w:lineRule="auto"/>
              <w:rPr>
                <w:rFonts w:ascii="Times New Roman" w:eastAsia="Arial Narrow" w:hAnsi="Times New Roman" w:cs="Arial Narrow"/>
                <w:noProof/>
                <w:sz w:val="18"/>
                <w:szCs w:val="20"/>
              </w:rPr>
            </w:pPr>
            <w:r w:rsidRPr="00930B4F">
              <w:rPr>
                <w:rFonts w:ascii="Times New Roman" w:hAnsi="Times New Roman"/>
                <w:sz w:val="18"/>
                <w:szCs w:val="20"/>
              </w:rPr>
              <w:t>b) īsu aprakstu par to, kādas prasmju pilnveides tēmas ir saņēmuši bezdarbnieki, darba meklētāji un bezdarba riskam pakļautās personas.</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C303AA9" w14:textId="77777777"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lastRenderedPageBreak/>
              <w:t>20 450 bezdarbnieku, darba meklētāju, bezdarba riskam pakļauto personu ar pilnveidotām prasmēm, ko apliecina Nodarbinātības valsts aģentūras klientu uzskaites sistēma</w:t>
            </w:r>
          </w:p>
        </w:tc>
      </w:tr>
      <w:tr w:rsidR="00930B4F" w:rsidRPr="00930B4F" w14:paraId="748B12D9" w14:textId="77777777" w:rsidTr="000860F9">
        <w:trPr>
          <w:jc w:val="center"/>
        </w:trPr>
        <w:tc>
          <w:tcPr>
            <w:tcW w:w="0" w:type="auto"/>
            <w:tcBorders>
              <w:top w:val="single" w:sz="4" w:space="0" w:color="auto"/>
              <w:left w:val="single" w:sz="4" w:space="0" w:color="auto"/>
              <w:bottom w:val="single" w:sz="4" w:space="0" w:color="auto"/>
              <w:right w:val="single" w:sz="4" w:space="0" w:color="auto"/>
            </w:tcBorders>
            <w:shd w:val="clear" w:color="auto" w:fill="C6EFCE"/>
          </w:tcPr>
          <w:p w14:paraId="6499BABE"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130a</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89E05FA" w14:textId="77777777" w:rsidR="00067A32" w:rsidRPr="00930B4F" w:rsidRDefault="00067A32" w:rsidP="00481482">
            <w:pPr>
              <w:widowControl w:val="0"/>
              <w:spacing w:after="0" w:line="240" w:lineRule="auto"/>
              <w:jc w:val="both"/>
              <w:rPr>
                <w:rFonts w:ascii="Times New Roman" w:eastAsia="Calibri" w:hAnsi="Times New Roman" w:cs="Times New Roman"/>
                <w:b/>
                <w:noProof/>
                <w:sz w:val="18"/>
                <w:szCs w:val="20"/>
              </w:rPr>
            </w:pPr>
            <w:r w:rsidRPr="00930B4F">
              <w:rPr>
                <w:rFonts w:ascii="Times New Roman" w:hAnsi="Times New Roman"/>
                <w:b/>
                <w:sz w:val="18"/>
                <w:szCs w:val="20"/>
              </w:rPr>
              <w:t>3.1.2.6.i. Tehnisko palīglīdzekļu pieejamības atvieglošana</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1584ACB"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Mērķis</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133A3B12"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Tehniskie palīglīdzekļi personām ar funkcionāliem traucējumiem</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3BF8D58A"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Neattiecas</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5424EB38"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Skaits</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2760A640"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0</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41D6B619"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10474</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514B68B"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2. cet.</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6ABEE0D"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r w:rsidRPr="00930B4F">
              <w:rPr>
                <w:rFonts w:ascii="Times New Roman" w:hAnsi="Times New Roman"/>
                <w:sz w:val="18"/>
                <w:szCs w:val="20"/>
              </w:rPr>
              <w:t>2026</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6CD856B7" w14:textId="77777777" w:rsidR="00067A32" w:rsidRPr="00930B4F" w:rsidRDefault="00067A32" w:rsidP="00481482">
            <w:pPr>
              <w:widowControl w:val="0"/>
              <w:spacing w:after="0" w:line="240" w:lineRule="auto"/>
              <w:jc w:val="both"/>
              <w:rPr>
                <w:rFonts w:ascii="Times New Roman" w:hAnsi="Times New Roman"/>
                <w:noProof/>
                <w:sz w:val="18"/>
                <w:szCs w:val="20"/>
              </w:rPr>
            </w:pPr>
            <w:r w:rsidRPr="00930B4F">
              <w:rPr>
                <w:rFonts w:ascii="Times New Roman" w:hAnsi="Times New Roman"/>
                <w:sz w:val="18"/>
                <w:szCs w:val="20"/>
              </w:rPr>
              <w:t>Labklājības ministrija /</w:t>
            </w:r>
            <w:r w:rsidRPr="00930B4F">
              <w:rPr>
                <w:rFonts w:ascii="Times New Roman" w:hAnsi="Times New Roman"/>
                <w:sz w:val="18"/>
                <w:szCs w:val="20"/>
                <w:highlight w:val="yellow"/>
              </w:rPr>
              <w:t xml:space="preserve"> </w:t>
            </w:r>
            <w:r w:rsidRPr="00B20686">
              <w:rPr>
                <w:rFonts w:ascii="Times New Roman" w:hAnsi="Times New Roman"/>
                <w:sz w:val="18"/>
                <w:szCs w:val="20"/>
              </w:rPr>
              <w:t>Centrālā finanšu un līgumu aģentūra / Rehabilitācijas centrs “Vaivari”</w:t>
            </w:r>
          </w:p>
          <w:p w14:paraId="4E326499" w14:textId="77777777" w:rsidR="00067A32" w:rsidRPr="00930B4F" w:rsidRDefault="00067A32" w:rsidP="00481482">
            <w:pPr>
              <w:widowControl w:val="0"/>
              <w:spacing w:after="0" w:line="240" w:lineRule="auto"/>
              <w:jc w:val="both"/>
              <w:rPr>
                <w:rFonts w:ascii="Times New Roman" w:hAnsi="Times New Roman" w:cs="Calibri"/>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E4A2ED3" w14:textId="77777777" w:rsidR="00067A32" w:rsidRPr="00930B4F" w:rsidRDefault="00067A32" w:rsidP="00481482">
            <w:pPr>
              <w:widowControl w:val="0"/>
              <w:spacing w:after="0" w:line="240" w:lineRule="auto"/>
              <w:jc w:val="both"/>
              <w:rPr>
                <w:rFonts w:ascii="Times New Roman" w:eastAsia="Calibri" w:hAnsi="Times New Roman" w:cs="Times New Roman"/>
                <w:noProof/>
                <w:sz w:val="18"/>
                <w:szCs w:val="20"/>
              </w:rPr>
            </w:pP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EF34E68" w14:textId="77777777" w:rsidR="00067A32" w:rsidRDefault="00067A32" w:rsidP="00B20686">
            <w:pPr>
              <w:widowControl w:val="0"/>
              <w:spacing w:after="0" w:line="240" w:lineRule="auto"/>
              <w:rPr>
                <w:rFonts w:ascii="Times New Roman" w:hAnsi="Times New Roman"/>
                <w:sz w:val="18"/>
                <w:szCs w:val="20"/>
              </w:rPr>
            </w:pPr>
            <w:r w:rsidRPr="00930B4F">
              <w:rPr>
                <w:rFonts w:ascii="Times New Roman" w:hAnsi="Times New Roman"/>
                <w:sz w:val="18"/>
                <w:szCs w:val="20"/>
              </w:rPr>
              <w:t>Kopsavilkuma dokuments, kurā pienācīgi pamatots, kā tika apmierinoši sasniegts mērķis (tostarp visi būtiskie elementi), ar atbilstošām saitēm uz pamatojošajiem pierādījumiem. Šā kopsavilkuma dokumenta pielikumā iekļauj šādus dokumentārus pierādījumus:</w:t>
            </w:r>
          </w:p>
          <w:p w14:paraId="2E0C7DEE" w14:textId="77777777" w:rsidR="00B20686" w:rsidRPr="00930B4F" w:rsidRDefault="00B20686" w:rsidP="00B20686">
            <w:pPr>
              <w:widowControl w:val="0"/>
              <w:spacing w:after="0" w:line="240" w:lineRule="auto"/>
              <w:rPr>
                <w:rFonts w:ascii="Times New Roman" w:eastAsia="Calibri" w:hAnsi="Times New Roman" w:cs="Times New Roman"/>
                <w:noProof/>
                <w:sz w:val="18"/>
                <w:szCs w:val="20"/>
              </w:rPr>
            </w:pPr>
          </w:p>
          <w:p w14:paraId="3348292C" w14:textId="250F2BEA" w:rsidR="00067A32" w:rsidRPr="00930B4F" w:rsidRDefault="00067A32" w:rsidP="00B20686">
            <w:pPr>
              <w:widowControl w:val="0"/>
              <w:spacing w:after="0" w:line="240" w:lineRule="auto"/>
              <w:rPr>
                <w:rFonts w:ascii="Times New Roman" w:hAnsi="Times New Roman"/>
                <w:noProof/>
                <w:sz w:val="18"/>
                <w:szCs w:val="20"/>
              </w:rPr>
            </w:pPr>
            <w:r w:rsidRPr="00B20686">
              <w:rPr>
                <w:rFonts w:ascii="Times New Roman" w:hAnsi="Times New Roman"/>
                <w:sz w:val="18"/>
                <w:szCs w:val="20"/>
              </w:rPr>
              <w:t xml:space="preserve">Izrakstu no tehnisko palīglīdzekļu </w:t>
            </w:r>
            <w:r w:rsidRPr="00B20686">
              <w:rPr>
                <w:rFonts w:ascii="Times New Roman" w:hAnsi="Times New Roman"/>
                <w:sz w:val="18"/>
                <w:szCs w:val="20"/>
              </w:rPr>
              <w:lastRenderedPageBreak/>
              <w:t>informācijas sistēmas, tostarp informāciju par tehniskajiem palīglīdzekļiem, kas izsniegti personām ar funkcionāliem traucējumiem.</w:t>
            </w:r>
          </w:p>
        </w:tc>
        <w:tc>
          <w:tcPr>
            <w:tcW w:w="0" w:type="auto"/>
            <w:tcBorders>
              <w:top w:val="single" w:sz="4" w:space="0" w:color="auto"/>
              <w:left w:val="single" w:sz="4" w:space="0" w:color="auto"/>
              <w:bottom w:val="single" w:sz="4" w:space="0" w:color="auto"/>
              <w:right w:val="single" w:sz="4" w:space="0" w:color="auto"/>
            </w:tcBorders>
            <w:shd w:val="clear" w:color="auto" w:fill="C6EFCE"/>
          </w:tcPr>
          <w:p w14:paraId="72605433" w14:textId="77777777" w:rsidR="00067A32" w:rsidRPr="00930B4F" w:rsidRDefault="00067A32" w:rsidP="00B20686">
            <w:pPr>
              <w:widowControl w:val="0"/>
              <w:spacing w:after="0" w:line="240" w:lineRule="auto"/>
              <w:rPr>
                <w:rFonts w:ascii="Times New Roman" w:eastAsia="Calibri" w:hAnsi="Times New Roman" w:cs="Times New Roman"/>
                <w:noProof/>
                <w:sz w:val="18"/>
                <w:szCs w:val="20"/>
              </w:rPr>
            </w:pPr>
            <w:r w:rsidRPr="00930B4F">
              <w:rPr>
                <w:rFonts w:ascii="Times New Roman" w:hAnsi="Times New Roman"/>
                <w:sz w:val="18"/>
                <w:szCs w:val="20"/>
              </w:rPr>
              <w:lastRenderedPageBreak/>
              <w:t>Personām ar funkcionāliem traucējumiem izsniegti 10 474 tehniskie palīglīdzekļi.</w:t>
            </w:r>
          </w:p>
        </w:tc>
      </w:tr>
    </w:tbl>
    <w:p w14:paraId="5660AE92" w14:textId="3DCD5056" w:rsidR="001A3E6F" w:rsidRDefault="001A3E6F" w:rsidP="00481482">
      <w:pPr>
        <w:widowControl w:val="0"/>
        <w:spacing w:after="0" w:line="240" w:lineRule="auto"/>
        <w:jc w:val="both"/>
        <w:rPr>
          <w:rFonts w:ascii="Times New Roman" w:hAnsi="Times New Roman" w:cs="Times New Roman"/>
          <w:noProof/>
          <w:sz w:val="24"/>
          <w:szCs w:val="24"/>
        </w:rPr>
      </w:pPr>
    </w:p>
    <w:p w14:paraId="088FD2B5" w14:textId="77777777" w:rsidR="001A3E6F" w:rsidRDefault="001A3E6F">
      <w:pPr>
        <w:rPr>
          <w:rFonts w:ascii="Times New Roman" w:hAnsi="Times New Roman" w:cs="Times New Roman"/>
          <w:noProof/>
          <w:sz w:val="24"/>
          <w:szCs w:val="24"/>
        </w:rPr>
      </w:pPr>
      <w:r>
        <w:rPr>
          <w:rFonts w:ascii="Times New Roman" w:hAnsi="Times New Roman" w:cs="Times New Roman"/>
          <w:noProof/>
          <w:sz w:val="24"/>
          <w:szCs w:val="24"/>
        </w:rPr>
        <w:br w:type="page"/>
      </w:r>
    </w:p>
    <w:p w14:paraId="10931212" w14:textId="77777777" w:rsidR="001A3E6F" w:rsidRDefault="001A3E6F" w:rsidP="001A3E6F">
      <w:pPr>
        <w:widowControl w:val="0"/>
        <w:spacing w:after="0" w:line="240" w:lineRule="auto"/>
        <w:ind w:left="567"/>
        <w:jc w:val="both"/>
        <w:rPr>
          <w:rFonts w:ascii="Times New Roman" w:hAnsi="Times New Roman" w:cs="Times New Roman"/>
          <w:b/>
          <w:bCs/>
          <w:noProof/>
          <w:sz w:val="24"/>
          <w:szCs w:val="26"/>
        </w:rPr>
      </w:pPr>
      <w:r>
        <w:rPr>
          <w:rFonts w:ascii="Times New Roman" w:hAnsi="Times New Roman"/>
          <w:b/>
          <w:sz w:val="24"/>
        </w:rPr>
        <w:lastRenderedPageBreak/>
        <w:t>D. KOMPONENTS NR. 4. VESELĪBA</w:t>
      </w:r>
    </w:p>
    <w:p w14:paraId="7528E55F" w14:textId="77777777" w:rsidR="001A3E6F" w:rsidRPr="00481482" w:rsidRDefault="001A3E6F" w:rsidP="001A3E6F">
      <w:pPr>
        <w:widowControl w:val="0"/>
        <w:spacing w:after="0" w:line="240" w:lineRule="auto"/>
        <w:jc w:val="both"/>
        <w:rPr>
          <w:rFonts w:ascii="Times New Roman" w:hAnsi="Times New Roman" w:cs="Times New Roman"/>
          <w:b/>
          <w:bCs/>
          <w:noProof/>
          <w:sz w:val="24"/>
          <w:szCs w:val="26"/>
        </w:rPr>
      </w:pPr>
    </w:p>
    <w:tbl>
      <w:tblPr>
        <w:tblW w:w="5000" w:type="pct"/>
        <w:jc w:val="center"/>
        <w:tblCellMar>
          <w:top w:w="28" w:type="dxa"/>
          <w:left w:w="28" w:type="dxa"/>
          <w:bottom w:w="28" w:type="dxa"/>
          <w:right w:w="28" w:type="dxa"/>
        </w:tblCellMar>
        <w:tblLook w:val="04A0" w:firstRow="1" w:lastRow="0" w:firstColumn="1" w:lastColumn="0" w:noHBand="0" w:noVBand="1"/>
      </w:tblPr>
      <w:tblGrid>
        <w:gridCol w:w="405"/>
        <w:gridCol w:w="1236"/>
        <w:gridCol w:w="801"/>
        <w:gridCol w:w="1340"/>
        <w:gridCol w:w="1163"/>
        <w:gridCol w:w="964"/>
        <w:gridCol w:w="837"/>
        <w:gridCol w:w="837"/>
        <w:gridCol w:w="920"/>
        <w:gridCol w:w="522"/>
        <w:gridCol w:w="892"/>
        <w:gridCol w:w="1118"/>
        <w:gridCol w:w="1479"/>
        <w:gridCol w:w="1479"/>
      </w:tblGrid>
      <w:tr w:rsidR="001A3E6F" w:rsidRPr="00B20686" w14:paraId="0AC36E19" w14:textId="77777777" w:rsidTr="009E7D55">
        <w:trPr>
          <w:tblHeader/>
          <w:jc w:val="center"/>
        </w:trPr>
        <w:tc>
          <w:tcPr>
            <w:tcW w:w="155" w:type="pct"/>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3CF46D7D" w14:textId="77777777" w:rsidR="001A3E6F" w:rsidRPr="00B20686" w:rsidRDefault="001A3E6F" w:rsidP="00B20686">
            <w:pPr>
              <w:widowControl w:val="0"/>
              <w:spacing w:after="0" w:line="240" w:lineRule="auto"/>
              <w:ind w:left="57" w:right="57"/>
              <w:jc w:val="center"/>
              <w:rPr>
                <w:rFonts w:ascii="Times New Roman" w:eastAsia="Times New Roman" w:hAnsi="Times New Roman" w:cs="Times New Roman"/>
                <w:b/>
                <w:noProof/>
                <w:sz w:val="18"/>
                <w:szCs w:val="20"/>
              </w:rPr>
            </w:pPr>
            <w:r w:rsidRPr="00B20686">
              <w:rPr>
                <w:rFonts w:ascii="Times New Roman" w:hAnsi="Times New Roman"/>
                <w:b/>
                <w:sz w:val="18"/>
                <w:szCs w:val="20"/>
              </w:rPr>
              <w:t>#</w:t>
            </w:r>
          </w:p>
        </w:tc>
        <w:tc>
          <w:tcPr>
            <w:tcW w:w="337" w:type="pct"/>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0819378B" w14:textId="77777777" w:rsidR="001A3E6F" w:rsidRPr="00B20686" w:rsidRDefault="001A3E6F" w:rsidP="00B20686">
            <w:pPr>
              <w:widowControl w:val="0"/>
              <w:spacing w:after="0" w:line="240" w:lineRule="auto"/>
              <w:ind w:left="57" w:right="57"/>
              <w:jc w:val="center"/>
              <w:rPr>
                <w:rFonts w:ascii="Times New Roman" w:eastAsia="Times New Roman" w:hAnsi="Times New Roman" w:cs="Times New Roman"/>
                <w:b/>
                <w:noProof/>
                <w:sz w:val="18"/>
                <w:szCs w:val="20"/>
              </w:rPr>
            </w:pPr>
            <w:r w:rsidRPr="00B20686">
              <w:rPr>
                <w:rFonts w:ascii="Times New Roman" w:hAnsi="Times New Roman"/>
                <w:b/>
                <w:sz w:val="18"/>
                <w:szCs w:val="20"/>
              </w:rPr>
              <w:t>Saistītais pasākums (reforma vai investīcija)</w:t>
            </w:r>
          </w:p>
        </w:tc>
        <w:tc>
          <w:tcPr>
            <w:tcW w:w="271" w:type="pct"/>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4A748EE3" w14:textId="77777777" w:rsidR="001A3E6F" w:rsidRPr="00B20686" w:rsidRDefault="001A3E6F" w:rsidP="00B20686">
            <w:pPr>
              <w:widowControl w:val="0"/>
              <w:spacing w:after="0" w:line="240" w:lineRule="auto"/>
              <w:ind w:left="57" w:right="57"/>
              <w:jc w:val="center"/>
              <w:rPr>
                <w:rFonts w:ascii="Times New Roman" w:eastAsia="Times New Roman" w:hAnsi="Times New Roman" w:cs="Times New Roman"/>
                <w:b/>
                <w:noProof/>
                <w:sz w:val="18"/>
                <w:szCs w:val="20"/>
              </w:rPr>
            </w:pPr>
            <w:r w:rsidRPr="00B20686">
              <w:rPr>
                <w:rFonts w:ascii="Times New Roman" w:hAnsi="Times New Roman"/>
                <w:b/>
                <w:sz w:val="18"/>
                <w:szCs w:val="20"/>
              </w:rPr>
              <w:t>Atskaites punkts / mērķis</w:t>
            </w:r>
          </w:p>
        </w:tc>
        <w:tc>
          <w:tcPr>
            <w:tcW w:w="336" w:type="pct"/>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749A6790" w14:textId="77777777" w:rsidR="001A3E6F" w:rsidRPr="00B20686" w:rsidRDefault="001A3E6F" w:rsidP="00B20686">
            <w:pPr>
              <w:widowControl w:val="0"/>
              <w:spacing w:after="0" w:line="240" w:lineRule="auto"/>
              <w:ind w:left="57" w:right="57"/>
              <w:jc w:val="center"/>
              <w:rPr>
                <w:rFonts w:ascii="Times New Roman" w:eastAsia="Times New Roman" w:hAnsi="Times New Roman" w:cs="Times New Roman"/>
                <w:b/>
                <w:noProof/>
                <w:sz w:val="18"/>
                <w:szCs w:val="20"/>
              </w:rPr>
            </w:pPr>
            <w:r w:rsidRPr="00B20686">
              <w:rPr>
                <w:rFonts w:ascii="Times New Roman" w:hAnsi="Times New Roman"/>
                <w:b/>
                <w:sz w:val="18"/>
                <w:szCs w:val="20"/>
              </w:rPr>
              <w:t>Nosaukums</w:t>
            </w:r>
          </w:p>
        </w:tc>
        <w:tc>
          <w:tcPr>
            <w:tcW w:w="384" w:type="pct"/>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6283FBFE" w14:textId="77777777" w:rsidR="001A3E6F" w:rsidRPr="00B20686" w:rsidRDefault="001A3E6F" w:rsidP="00B20686">
            <w:pPr>
              <w:widowControl w:val="0"/>
              <w:spacing w:after="0" w:line="240" w:lineRule="auto"/>
              <w:ind w:left="57" w:right="57"/>
              <w:jc w:val="center"/>
              <w:rPr>
                <w:rFonts w:ascii="Times New Roman" w:eastAsia="Times New Roman" w:hAnsi="Times New Roman" w:cs="Times New Roman"/>
                <w:b/>
                <w:noProof/>
                <w:sz w:val="18"/>
                <w:szCs w:val="20"/>
              </w:rPr>
            </w:pPr>
            <w:r w:rsidRPr="00B20686">
              <w:rPr>
                <w:rFonts w:ascii="Times New Roman" w:hAnsi="Times New Roman"/>
                <w:b/>
                <w:sz w:val="18"/>
                <w:szCs w:val="20"/>
              </w:rPr>
              <w:t>Kvalitatīvie rādītāji</w:t>
            </w:r>
          </w:p>
          <w:p w14:paraId="7C6722B3" w14:textId="77777777" w:rsidR="001A3E6F" w:rsidRPr="00B20686" w:rsidRDefault="001A3E6F" w:rsidP="00B20686">
            <w:pPr>
              <w:widowControl w:val="0"/>
              <w:spacing w:after="0" w:line="240" w:lineRule="auto"/>
              <w:ind w:left="57" w:right="57"/>
              <w:jc w:val="center"/>
              <w:rPr>
                <w:rFonts w:ascii="Times New Roman" w:eastAsia="Times New Roman" w:hAnsi="Times New Roman" w:cs="Times New Roman"/>
                <w:b/>
                <w:noProof/>
                <w:sz w:val="18"/>
                <w:szCs w:val="20"/>
              </w:rPr>
            </w:pPr>
            <w:r w:rsidRPr="00B20686">
              <w:rPr>
                <w:rFonts w:ascii="Times New Roman" w:hAnsi="Times New Roman"/>
                <w:b/>
                <w:sz w:val="18"/>
                <w:szCs w:val="20"/>
              </w:rPr>
              <w:t>(atskaites punktiem)</w:t>
            </w:r>
          </w:p>
        </w:tc>
        <w:tc>
          <w:tcPr>
            <w:tcW w:w="688" w:type="pct"/>
            <w:gridSpan w:val="3"/>
            <w:tcBorders>
              <w:top w:val="single" w:sz="4" w:space="0" w:color="auto"/>
              <w:left w:val="single" w:sz="4" w:space="0" w:color="auto"/>
              <w:bottom w:val="single" w:sz="4" w:space="0" w:color="auto"/>
              <w:right w:val="single" w:sz="4" w:space="0" w:color="auto"/>
            </w:tcBorders>
            <w:shd w:val="clear" w:color="auto" w:fill="BDD7EE"/>
            <w:vAlign w:val="center"/>
          </w:tcPr>
          <w:p w14:paraId="1BAB2EA8" w14:textId="77777777" w:rsidR="001A3E6F" w:rsidRPr="00B20686" w:rsidRDefault="001A3E6F" w:rsidP="00B20686">
            <w:pPr>
              <w:widowControl w:val="0"/>
              <w:spacing w:after="0" w:line="240" w:lineRule="auto"/>
              <w:ind w:left="57" w:right="57"/>
              <w:jc w:val="center"/>
              <w:rPr>
                <w:rFonts w:ascii="Times New Roman" w:eastAsia="Times New Roman" w:hAnsi="Times New Roman" w:cs="Times New Roman"/>
                <w:b/>
                <w:noProof/>
                <w:sz w:val="18"/>
                <w:szCs w:val="20"/>
              </w:rPr>
            </w:pPr>
            <w:r w:rsidRPr="00B20686">
              <w:rPr>
                <w:rFonts w:ascii="Times New Roman" w:hAnsi="Times New Roman"/>
                <w:b/>
                <w:sz w:val="18"/>
                <w:szCs w:val="20"/>
              </w:rPr>
              <w:t>Kvantitatīvie rādītāji</w:t>
            </w:r>
          </w:p>
          <w:p w14:paraId="11299FCD" w14:textId="77777777" w:rsidR="001A3E6F" w:rsidRPr="00B20686" w:rsidRDefault="001A3E6F" w:rsidP="00B20686">
            <w:pPr>
              <w:widowControl w:val="0"/>
              <w:spacing w:after="0" w:line="240" w:lineRule="auto"/>
              <w:ind w:left="57" w:right="57"/>
              <w:jc w:val="center"/>
              <w:rPr>
                <w:rFonts w:ascii="Times New Roman" w:eastAsia="Times New Roman" w:hAnsi="Times New Roman" w:cs="Times New Roman"/>
                <w:b/>
                <w:noProof/>
                <w:sz w:val="18"/>
                <w:szCs w:val="20"/>
              </w:rPr>
            </w:pPr>
            <w:r w:rsidRPr="00B20686">
              <w:rPr>
                <w:rFonts w:ascii="Times New Roman" w:hAnsi="Times New Roman"/>
                <w:b/>
                <w:sz w:val="18"/>
                <w:szCs w:val="20"/>
              </w:rPr>
              <w:t>(mērķiem)</w:t>
            </w:r>
          </w:p>
        </w:tc>
        <w:tc>
          <w:tcPr>
            <w:tcW w:w="339" w:type="pct"/>
            <w:gridSpan w:val="2"/>
            <w:tcBorders>
              <w:top w:val="single" w:sz="4" w:space="0" w:color="auto"/>
              <w:left w:val="single" w:sz="4" w:space="0" w:color="auto"/>
              <w:bottom w:val="single" w:sz="4" w:space="0" w:color="auto"/>
              <w:right w:val="single" w:sz="4" w:space="0" w:color="auto"/>
            </w:tcBorders>
            <w:shd w:val="clear" w:color="auto" w:fill="BDD7EE"/>
            <w:vAlign w:val="center"/>
          </w:tcPr>
          <w:p w14:paraId="04E43ADE" w14:textId="77777777" w:rsidR="001A3E6F" w:rsidRPr="00B20686" w:rsidRDefault="001A3E6F" w:rsidP="00B20686">
            <w:pPr>
              <w:widowControl w:val="0"/>
              <w:spacing w:after="0" w:line="240" w:lineRule="auto"/>
              <w:ind w:left="57" w:right="57"/>
              <w:jc w:val="center"/>
              <w:rPr>
                <w:rFonts w:ascii="Times New Roman" w:eastAsia="Times New Roman" w:hAnsi="Times New Roman" w:cs="Times New Roman"/>
                <w:b/>
                <w:noProof/>
                <w:sz w:val="18"/>
                <w:szCs w:val="20"/>
              </w:rPr>
            </w:pPr>
            <w:r w:rsidRPr="00B20686">
              <w:rPr>
                <w:rFonts w:ascii="Times New Roman" w:hAnsi="Times New Roman"/>
                <w:b/>
                <w:sz w:val="18"/>
                <w:szCs w:val="20"/>
              </w:rPr>
              <w:t>Orientējošs pabeigšanas grafiks</w:t>
            </w:r>
          </w:p>
        </w:tc>
        <w:tc>
          <w:tcPr>
            <w:tcW w:w="422" w:type="pct"/>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42B2FD63" w14:textId="77777777" w:rsidR="001A3E6F" w:rsidRPr="00B20686" w:rsidRDefault="001A3E6F" w:rsidP="00B20686">
            <w:pPr>
              <w:widowControl w:val="0"/>
              <w:spacing w:after="0" w:line="240" w:lineRule="auto"/>
              <w:ind w:left="57" w:right="57"/>
              <w:jc w:val="center"/>
              <w:rPr>
                <w:rFonts w:ascii="Times New Roman" w:hAnsi="Times New Roman" w:cs="Calibri"/>
                <w:b/>
                <w:noProof/>
                <w:sz w:val="18"/>
                <w:szCs w:val="20"/>
              </w:rPr>
            </w:pPr>
            <w:r w:rsidRPr="00B20686">
              <w:rPr>
                <w:rFonts w:ascii="Times New Roman" w:hAnsi="Times New Roman"/>
                <w:b/>
                <w:sz w:val="18"/>
                <w:szCs w:val="20"/>
              </w:rPr>
              <w:t>Atbildība par ziņošanu un īstenošanu</w:t>
            </w:r>
          </w:p>
        </w:tc>
        <w:tc>
          <w:tcPr>
            <w:tcW w:w="384" w:type="pct"/>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67AF9548" w14:textId="77777777" w:rsidR="001A3E6F" w:rsidRPr="00B20686" w:rsidRDefault="001A3E6F" w:rsidP="00B20686">
            <w:pPr>
              <w:widowControl w:val="0"/>
              <w:spacing w:after="0" w:line="240" w:lineRule="auto"/>
              <w:ind w:left="57" w:right="57"/>
              <w:jc w:val="center"/>
              <w:rPr>
                <w:rFonts w:ascii="Times New Roman" w:hAnsi="Times New Roman" w:cs="Calibri"/>
                <w:b/>
                <w:noProof/>
                <w:sz w:val="18"/>
                <w:szCs w:val="20"/>
              </w:rPr>
            </w:pPr>
            <w:r w:rsidRPr="00B20686">
              <w:rPr>
                <w:rFonts w:ascii="Times New Roman" w:hAnsi="Times New Roman"/>
                <w:b/>
                <w:sz w:val="18"/>
                <w:szCs w:val="20"/>
              </w:rPr>
              <w:t>Precizējums (ja nepieciešams)</w:t>
            </w:r>
          </w:p>
        </w:tc>
        <w:tc>
          <w:tcPr>
            <w:tcW w:w="918" w:type="pct"/>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55FECE96" w14:textId="77777777" w:rsidR="001A3E6F" w:rsidRPr="00B20686" w:rsidRDefault="001A3E6F" w:rsidP="00B20686">
            <w:pPr>
              <w:widowControl w:val="0"/>
              <w:spacing w:after="0" w:line="240" w:lineRule="auto"/>
              <w:ind w:left="57" w:right="57"/>
              <w:jc w:val="center"/>
              <w:rPr>
                <w:rFonts w:ascii="Times New Roman" w:hAnsi="Times New Roman" w:cs="Calibri"/>
                <w:b/>
                <w:noProof/>
                <w:sz w:val="18"/>
                <w:szCs w:val="20"/>
              </w:rPr>
            </w:pPr>
            <w:r w:rsidRPr="00B20686">
              <w:rPr>
                <w:rFonts w:ascii="Times New Roman" w:hAnsi="Times New Roman"/>
                <w:b/>
                <w:sz w:val="18"/>
                <w:szCs w:val="20"/>
              </w:rPr>
              <w:t>Pārbaudes mehānisms</w:t>
            </w:r>
          </w:p>
        </w:tc>
        <w:tc>
          <w:tcPr>
            <w:tcW w:w="766" w:type="pct"/>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2B482BC2" w14:textId="77777777" w:rsidR="001A3E6F" w:rsidRPr="00B20686" w:rsidRDefault="001A3E6F" w:rsidP="00B20686">
            <w:pPr>
              <w:widowControl w:val="0"/>
              <w:spacing w:after="0" w:line="240" w:lineRule="auto"/>
              <w:ind w:left="57" w:right="57"/>
              <w:jc w:val="center"/>
              <w:rPr>
                <w:rFonts w:ascii="Times New Roman" w:eastAsia="Times New Roman" w:hAnsi="Times New Roman" w:cs="Times New Roman"/>
                <w:b/>
                <w:noProof/>
                <w:sz w:val="18"/>
                <w:szCs w:val="20"/>
              </w:rPr>
            </w:pPr>
            <w:r w:rsidRPr="00B20686">
              <w:rPr>
                <w:rFonts w:ascii="Times New Roman" w:hAnsi="Times New Roman"/>
                <w:b/>
                <w:sz w:val="18"/>
                <w:szCs w:val="20"/>
              </w:rPr>
              <w:t>Katra atskaites punkta un mērķa apraksts</w:t>
            </w:r>
          </w:p>
        </w:tc>
      </w:tr>
      <w:tr w:rsidR="001A3E6F" w:rsidRPr="00B20686" w14:paraId="04C46501" w14:textId="77777777" w:rsidTr="009E7D55">
        <w:trPr>
          <w:jc w:val="center"/>
        </w:trPr>
        <w:tc>
          <w:tcPr>
            <w:tcW w:w="155" w:type="pct"/>
            <w:vMerge/>
            <w:vAlign w:val="center"/>
          </w:tcPr>
          <w:p w14:paraId="0663668A" w14:textId="77777777" w:rsidR="001A3E6F" w:rsidRPr="00B20686" w:rsidRDefault="001A3E6F" w:rsidP="00B20686">
            <w:pPr>
              <w:widowControl w:val="0"/>
              <w:spacing w:after="0" w:line="240" w:lineRule="auto"/>
              <w:ind w:left="57" w:right="57"/>
              <w:jc w:val="both"/>
              <w:rPr>
                <w:rFonts w:ascii="Times New Roman" w:hAnsi="Times New Roman" w:cs="Times New Roman"/>
                <w:noProof/>
                <w:sz w:val="18"/>
                <w:szCs w:val="20"/>
              </w:rPr>
            </w:pPr>
          </w:p>
        </w:tc>
        <w:tc>
          <w:tcPr>
            <w:tcW w:w="337" w:type="pct"/>
            <w:vMerge/>
            <w:vAlign w:val="center"/>
          </w:tcPr>
          <w:p w14:paraId="2E616B1D" w14:textId="77777777" w:rsidR="001A3E6F" w:rsidRPr="00B20686" w:rsidRDefault="001A3E6F" w:rsidP="00B20686">
            <w:pPr>
              <w:widowControl w:val="0"/>
              <w:spacing w:after="0" w:line="240" w:lineRule="auto"/>
              <w:ind w:left="57" w:right="57"/>
              <w:jc w:val="both"/>
              <w:rPr>
                <w:rFonts w:ascii="Times New Roman" w:hAnsi="Times New Roman" w:cs="Times New Roman"/>
                <w:noProof/>
                <w:sz w:val="18"/>
                <w:szCs w:val="20"/>
              </w:rPr>
            </w:pPr>
          </w:p>
        </w:tc>
        <w:tc>
          <w:tcPr>
            <w:tcW w:w="271" w:type="pct"/>
            <w:vMerge/>
            <w:vAlign w:val="center"/>
          </w:tcPr>
          <w:p w14:paraId="6A570D1A" w14:textId="77777777" w:rsidR="001A3E6F" w:rsidRPr="00B20686" w:rsidRDefault="001A3E6F" w:rsidP="00B20686">
            <w:pPr>
              <w:widowControl w:val="0"/>
              <w:spacing w:after="0" w:line="240" w:lineRule="auto"/>
              <w:ind w:left="57" w:right="57"/>
              <w:jc w:val="both"/>
              <w:rPr>
                <w:rFonts w:ascii="Times New Roman" w:hAnsi="Times New Roman" w:cs="Times New Roman"/>
                <w:noProof/>
                <w:sz w:val="18"/>
                <w:szCs w:val="20"/>
              </w:rPr>
            </w:pPr>
          </w:p>
        </w:tc>
        <w:tc>
          <w:tcPr>
            <w:tcW w:w="336" w:type="pct"/>
            <w:vMerge/>
            <w:vAlign w:val="center"/>
          </w:tcPr>
          <w:p w14:paraId="289E88EC" w14:textId="77777777" w:rsidR="001A3E6F" w:rsidRPr="00B20686" w:rsidRDefault="001A3E6F" w:rsidP="00B20686">
            <w:pPr>
              <w:widowControl w:val="0"/>
              <w:spacing w:after="0" w:line="240" w:lineRule="auto"/>
              <w:ind w:left="57" w:right="57"/>
              <w:jc w:val="both"/>
              <w:rPr>
                <w:rFonts w:ascii="Times New Roman" w:hAnsi="Times New Roman" w:cs="Times New Roman"/>
                <w:noProof/>
                <w:sz w:val="18"/>
                <w:szCs w:val="20"/>
              </w:rPr>
            </w:pPr>
          </w:p>
        </w:tc>
        <w:tc>
          <w:tcPr>
            <w:tcW w:w="384" w:type="pct"/>
            <w:vMerge/>
            <w:vAlign w:val="center"/>
          </w:tcPr>
          <w:p w14:paraId="64F77D7B" w14:textId="77777777" w:rsidR="001A3E6F" w:rsidRPr="00B20686" w:rsidRDefault="001A3E6F" w:rsidP="00B20686">
            <w:pPr>
              <w:widowControl w:val="0"/>
              <w:spacing w:after="0" w:line="240" w:lineRule="auto"/>
              <w:ind w:left="57" w:right="57"/>
              <w:jc w:val="both"/>
              <w:rPr>
                <w:rFonts w:ascii="Times New Roman" w:hAnsi="Times New Roman" w:cs="Times New Roman"/>
                <w:noProof/>
                <w:sz w:val="18"/>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BDD7EE"/>
            <w:vAlign w:val="center"/>
          </w:tcPr>
          <w:p w14:paraId="0595B6EC" w14:textId="77777777" w:rsidR="001A3E6F" w:rsidRPr="00B20686" w:rsidRDefault="001A3E6F" w:rsidP="00B20686">
            <w:pPr>
              <w:widowControl w:val="0"/>
              <w:spacing w:after="0" w:line="240" w:lineRule="auto"/>
              <w:ind w:left="57" w:right="57"/>
              <w:jc w:val="center"/>
              <w:rPr>
                <w:rFonts w:ascii="Times New Roman" w:eastAsia="Times New Roman" w:hAnsi="Times New Roman" w:cs="Times New Roman"/>
                <w:b/>
                <w:bCs/>
                <w:noProof/>
                <w:sz w:val="18"/>
                <w:szCs w:val="20"/>
              </w:rPr>
            </w:pPr>
            <w:r w:rsidRPr="00B20686">
              <w:rPr>
                <w:rFonts w:ascii="Times New Roman" w:hAnsi="Times New Roman"/>
                <w:b/>
                <w:sz w:val="18"/>
                <w:szCs w:val="20"/>
              </w:rPr>
              <w:t>Mērvienība</w:t>
            </w:r>
          </w:p>
        </w:tc>
        <w:tc>
          <w:tcPr>
            <w:tcW w:w="253" w:type="pct"/>
            <w:tcBorders>
              <w:top w:val="single" w:sz="4" w:space="0" w:color="auto"/>
              <w:left w:val="single" w:sz="4" w:space="0" w:color="auto"/>
              <w:bottom w:val="single" w:sz="4" w:space="0" w:color="auto"/>
              <w:right w:val="single" w:sz="4" w:space="0" w:color="auto"/>
            </w:tcBorders>
            <w:shd w:val="clear" w:color="auto" w:fill="BDD7EE"/>
            <w:vAlign w:val="center"/>
          </w:tcPr>
          <w:p w14:paraId="5B972A0A" w14:textId="77777777" w:rsidR="001A3E6F" w:rsidRPr="00B20686" w:rsidRDefault="001A3E6F" w:rsidP="00B20686">
            <w:pPr>
              <w:widowControl w:val="0"/>
              <w:spacing w:after="0" w:line="240" w:lineRule="auto"/>
              <w:ind w:left="57" w:right="57"/>
              <w:jc w:val="center"/>
              <w:rPr>
                <w:rFonts w:ascii="Times New Roman" w:eastAsia="Times New Roman" w:hAnsi="Times New Roman" w:cs="Times New Roman"/>
                <w:b/>
                <w:bCs/>
                <w:noProof/>
                <w:sz w:val="18"/>
                <w:szCs w:val="20"/>
              </w:rPr>
            </w:pPr>
            <w:r w:rsidRPr="00B20686">
              <w:rPr>
                <w:rFonts w:ascii="Times New Roman" w:hAnsi="Times New Roman"/>
                <w:b/>
                <w:sz w:val="18"/>
                <w:szCs w:val="20"/>
              </w:rPr>
              <w:t>Bāze</w:t>
            </w:r>
          </w:p>
        </w:tc>
        <w:tc>
          <w:tcPr>
            <w:tcW w:w="193" w:type="pct"/>
            <w:tcBorders>
              <w:top w:val="single" w:sz="4" w:space="0" w:color="auto"/>
              <w:left w:val="single" w:sz="4" w:space="0" w:color="auto"/>
              <w:bottom w:val="single" w:sz="4" w:space="0" w:color="auto"/>
              <w:right w:val="single" w:sz="4" w:space="0" w:color="auto"/>
            </w:tcBorders>
            <w:shd w:val="clear" w:color="auto" w:fill="BDD7EE"/>
            <w:vAlign w:val="center"/>
          </w:tcPr>
          <w:p w14:paraId="5134A536" w14:textId="77777777" w:rsidR="001A3E6F" w:rsidRPr="00B20686" w:rsidRDefault="001A3E6F" w:rsidP="00B20686">
            <w:pPr>
              <w:widowControl w:val="0"/>
              <w:spacing w:after="0" w:line="240" w:lineRule="auto"/>
              <w:ind w:left="57" w:right="57"/>
              <w:jc w:val="center"/>
              <w:rPr>
                <w:rFonts w:ascii="Times New Roman" w:eastAsia="Times New Roman" w:hAnsi="Times New Roman" w:cs="Times New Roman"/>
                <w:b/>
                <w:bCs/>
                <w:noProof/>
                <w:sz w:val="18"/>
                <w:szCs w:val="20"/>
              </w:rPr>
            </w:pPr>
            <w:r w:rsidRPr="00B20686">
              <w:rPr>
                <w:rFonts w:ascii="Times New Roman" w:hAnsi="Times New Roman"/>
                <w:b/>
                <w:sz w:val="18"/>
                <w:szCs w:val="20"/>
              </w:rPr>
              <w:t>Mērķis</w:t>
            </w:r>
          </w:p>
        </w:tc>
        <w:tc>
          <w:tcPr>
            <w:tcW w:w="146" w:type="pct"/>
            <w:tcBorders>
              <w:top w:val="single" w:sz="4" w:space="0" w:color="auto"/>
              <w:left w:val="single" w:sz="4" w:space="0" w:color="auto"/>
              <w:bottom w:val="single" w:sz="4" w:space="0" w:color="auto"/>
              <w:right w:val="single" w:sz="4" w:space="0" w:color="auto"/>
            </w:tcBorders>
            <w:shd w:val="clear" w:color="auto" w:fill="BDD7EE"/>
            <w:vAlign w:val="center"/>
          </w:tcPr>
          <w:p w14:paraId="6BB2F1D0" w14:textId="77777777" w:rsidR="001A3E6F" w:rsidRPr="00B20686" w:rsidRDefault="001A3E6F" w:rsidP="00B20686">
            <w:pPr>
              <w:widowControl w:val="0"/>
              <w:spacing w:after="0" w:line="240" w:lineRule="auto"/>
              <w:ind w:left="57" w:right="57"/>
              <w:jc w:val="center"/>
              <w:rPr>
                <w:rFonts w:ascii="Times New Roman" w:eastAsia="Times New Roman" w:hAnsi="Times New Roman" w:cs="Times New Roman"/>
                <w:b/>
                <w:bCs/>
                <w:noProof/>
                <w:sz w:val="18"/>
                <w:szCs w:val="20"/>
              </w:rPr>
            </w:pPr>
            <w:r w:rsidRPr="00B20686">
              <w:rPr>
                <w:rFonts w:ascii="Times New Roman" w:hAnsi="Times New Roman"/>
                <w:b/>
                <w:sz w:val="18"/>
                <w:szCs w:val="20"/>
              </w:rPr>
              <w:t>Ceturksnis</w:t>
            </w:r>
          </w:p>
        </w:tc>
        <w:tc>
          <w:tcPr>
            <w:tcW w:w="193" w:type="pct"/>
            <w:tcBorders>
              <w:top w:val="single" w:sz="4" w:space="0" w:color="auto"/>
              <w:left w:val="single" w:sz="4" w:space="0" w:color="auto"/>
              <w:bottom w:val="single" w:sz="4" w:space="0" w:color="auto"/>
              <w:right w:val="single" w:sz="4" w:space="0" w:color="auto"/>
            </w:tcBorders>
            <w:shd w:val="clear" w:color="auto" w:fill="BDD7EE"/>
            <w:vAlign w:val="center"/>
          </w:tcPr>
          <w:p w14:paraId="4AF3B9AA" w14:textId="77777777" w:rsidR="001A3E6F" w:rsidRPr="00B20686" w:rsidRDefault="001A3E6F" w:rsidP="00B20686">
            <w:pPr>
              <w:widowControl w:val="0"/>
              <w:spacing w:after="0" w:line="240" w:lineRule="auto"/>
              <w:ind w:left="57" w:right="57"/>
              <w:jc w:val="center"/>
              <w:rPr>
                <w:rFonts w:ascii="Times New Roman" w:eastAsia="Times New Roman" w:hAnsi="Times New Roman" w:cs="Times New Roman"/>
                <w:b/>
                <w:bCs/>
                <w:noProof/>
                <w:sz w:val="18"/>
                <w:szCs w:val="20"/>
              </w:rPr>
            </w:pPr>
            <w:r w:rsidRPr="00B20686">
              <w:rPr>
                <w:rFonts w:ascii="Times New Roman" w:hAnsi="Times New Roman"/>
                <w:b/>
                <w:sz w:val="18"/>
                <w:szCs w:val="20"/>
              </w:rPr>
              <w:t>Gads</w:t>
            </w:r>
          </w:p>
        </w:tc>
        <w:tc>
          <w:tcPr>
            <w:tcW w:w="422" w:type="pct"/>
            <w:vMerge/>
          </w:tcPr>
          <w:p w14:paraId="03268767" w14:textId="77777777" w:rsidR="001A3E6F" w:rsidRPr="00B20686" w:rsidRDefault="001A3E6F" w:rsidP="00B20686">
            <w:pPr>
              <w:widowControl w:val="0"/>
              <w:spacing w:after="0" w:line="240" w:lineRule="auto"/>
              <w:ind w:left="57" w:right="57"/>
              <w:jc w:val="both"/>
              <w:rPr>
                <w:rFonts w:ascii="Times New Roman" w:hAnsi="Times New Roman" w:cs="Times New Roman"/>
                <w:noProof/>
                <w:sz w:val="18"/>
                <w:szCs w:val="20"/>
              </w:rPr>
            </w:pPr>
          </w:p>
        </w:tc>
        <w:tc>
          <w:tcPr>
            <w:tcW w:w="384" w:type="pct"/>
            <w:vMerge/>
          </w:tcPr>
          <w:p w14:paraId="78252952" w14:textId="77777777" w:rsidR="001A3E6F" w:rsidRPr="00B20686" w:rsidRDefault="001A3E6F" w:rsidP="00B20686">
            <w:pPr>
              <w:widowControl w:val="0"/>
              <w:spacing w:after="0" w:line="240" w:lineRule="auto"/>
              <w:ind w:left="57" w:right="57"/>
              <w:jc w:val="both"/>
              <w:rPr>
                <w:rFonts w:ascii="Times New Roman" w:eastAsia="Times New Roman" w:hAnsi="Times New Roman" w:cs="Times New Roman"/>
                <w:b/>
                <w:noProof/>
                <w:sz w:val="18"/>
                <w:szCs w:val="20"/>
              </w:rPr>
            </w:pPr>
          </w:p>
        </w:tc>
        <w:tc>
          <w:tcPr>
            <w:tcW w:w="918" w:type="pct"/>
            <w:vMerge/>
          </w:tcPr>
          <w:p w14:paraId="44AF23C1" w14:textId="77777777" w:rsidR="001A3E6F" w:rsidRPr="00B20686" w:rsidRDefault="001A3E6F" w:rsidP="00B20686">
            <w:pPr>
              <w:widowControl w:val="0"/>
              <w:spacing w:after="0" w:line="240" w:lineRule="auto"/>
              <w:ind w:left="57" w:right="57"/>
              <w:jc w:val="both"/>
              <w:rPr>
                <w:rFonts w:ascii="Times New Roman" w:hAnsi="Times New Roman" w:cs="Times New Roman"/>
                <w:noProof/>
                <w:color w:val="4F6228" w:themeColor="accent3" w:themeShade="80"/>
                <w:sz w:val="18"/>
                <w:szCs w:val="20"/>
              </w:rPr>
            </w:pPr>
          </w:p>
        </w:tc>
        <w:tc>
          <w:tcPr>
            <w:tcW w:w="766" w:type="pct"/>
            <w:vMerge/>
            <w:vAlign w:val="center"/>
          </w:tcPr>
          <w:p w14:paraId="0DFB825A" w14:textId="77777777" w:rsidR="001A3E6F" w:rsidRPr="00B20686" w:rsidRDefault="001A3E6F" w:rsidP="00B20686">
            <w:pPr>
              <w:widowControl w:val="0"/>
              <w:spacing w:after="0" w:line="240" w:lineRule="auto"/>
              <w:ind w:left="57" w:right="57"/>
              <w:jc w:val="both"/>
              <w:rPr>
                <w:rFonts w:ascii="Times New Roman" w:hAnsi="Times New Roman" w:cs="Times New Roman"/>
                <w:noProof/>
                <w:sz w:val="18"/>
                <w:szCs w:val="20"/>
              </w:rPr>
            </w:pPr>
          </w:p>
        </w:tc>
      </w:tr>
      <w:tr w:rsidR="001A3E6F" w:rsidRPr="00B20686" w14:paraId="5E90AA8E" w14:textId="77777777" w:rsidTr="009E7D55">
        <w:trPr>
          <w:jc w:val="center"/>
        </w:trPr>
        <w:tc>
          <w:tcPr>
            <w:tcW w:w="155" w:type="pct"/>
            <w:tcBorders>
              <w:top w:val="single" w:sz="4" w:space="0" w:color="auto"/>
              <w:left w:val="single" w:sz="4" w:space="0" w:color="auto"/>
              <w:bottom w:val="single" w:sz="4" w:space="0" w:color="auto"/>
              <w:right w:val="single" w:sz="4" w:space="0" w:color="auto"/>
            </w:tcBorders>
            <w:shd w:val="clear" w:color="auto" w:fill="C6EFCE"/>
          </w:tcPr>
          <w:p w14:paraId="7D639494"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131</w:t>
            </w:r>
          </w:p>
        </w:tc>
        <w:tc>
          <w:tcPr>
            <w:tcW w:w="337" w:type="pct"/>
            <w:tcBorders>
              <w:top w:val="single" w:sz="4" w:space="0" w:color="auto"/>
              <w:left w:val="single" w:sz="4" w:space="0" w:color="auto"/>
              <w:bottom w:val="single" w:sz="4" w:space="0" w:color="auto"/>
              <w:right w:val="single" w:sz="4" w:space="0" w:color="auto"/>
            </w:tcBorders>
            <w:shd w:val="clear" w:color="auto" w:fill="C6EFCE"/>
          </w:tcPr>
          <w:p w14:paraId="7047DAF6"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t>4.1.1.r.</w:t>
            </w:r>
          </w:p>
          <w:p w14:paraId="0FA81079"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t>Uz cilvēku centrētas, visaptverošas, integrētas veselības aprūpes sistēmas ilgtspēja un noturība</w:t>
            </w:r>
          </w:p>
        </w:tc>
        <w:tc>
          <w:tcPr>
            <w:tcW w:w="271" w:type="pct"/>
            <w:tcBorders>
              <w:top w:val="single" w:sz="4" w:space="0" w:color="auto"/>
              <w:left w:val="single" w:sz="4" w:space="0" w:color="auto"/>
              <w:bottom w:val="single" w:sz="4" w:space="0" w:color="auto"/>
              <w:right w:val="single" w:sz="4" w:space="0" w:color="auto"/>
            </w:tcBorders>
            <w:shd w:val="clear" w:color="auto" w:fill="C6EFCE"/>
          </w:tcPr>
          <w:p w14:paraId="3D8CA43C"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Atskaites punkts</w:t>
            </w:r>
          </w:p>
        </w:tc>
        <w:tc>
          <w:tcPr>
            <w:tcW w:w="336" w:type="pct"/>
            <w:tcBorders>
              <w:top w:val="single" w:sz="4" w:space="0" w:color="auto"/>
              <w:left w:val="single" w:sz="4" w:space="0" w:color="auto"/>
              <w:bottom w:val="single" w:sz="4" w:space="0" w:color="auto"/>
              <w:right w:val="single" w:sz="4" w:space="0" w:color="auto"/>
            </w:tcBorders>
            <w:shd w:val="clear" w:color="auto" w:fill="C6EFCE"/>
          </w:tcPr>
          <w:p w14:paraId="57856710"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Digitālās veselības aprūpes stratēģijas pieņemšana</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33CFC5C7"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Veselības ministrija pieņem digitālās veselības aprūpes stratēģiju</w:t>
            </w:r>
          </w:p>
        </w:tc>
        <w:tc>
          <w:tcPr>
            <w:tcW w:w="241" w:type="pct"/>
            <w:tcBorders>
              <w:top w:val="single" w:sz="4" w:space="0" w:color="auto"/>
              <w:left w:val="single" w:sz="4" w:space="0" w:color="auto"/>
              <w:bottom w:val="single" w:sz="4" w:space="0" w:color="auto"/>
              <w:right w:val="single" w:sz="4" w:space="0" w:color="auto"/>
            </w:tcBorders>
            <w:shd w:val="clear" w:color="auto" w:fill="C6EFCE"/>
          </w:tcPr>
          <w:p w14:paraId="44E32B86"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253" w:type="pct"/>
            <w:tcBorders>
              <w:top w:val="single" w:sz="4" w:space="0" w:color="auto"/>
              <w:left w:val="single" w:sz="4" w:space="0" w:color="auto"/>
              <w:bottom w:val="single" w:sz="4" w:space="0" w:color="auto"/>
              <w:right w:val="single" w:sz="4" w:space="0" w:color="auto"/>
            </w:tcBorders>
            <w:shd w:val="clear" w:color="auto" w:fill="C6EFCE"/>
          </w:tcPr>
          <w:p w14:paraId="5A09916A"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193" w:type="pct"/>
            <w:tcBorders>
              <w:top w:val="single" w:sz="4" w:space="0" w:color="auto"/>
              <w:left w:val="single" w:sz="4" w:space="0" w:color="auto"/>
              <w:bottom w:val="single" w:sz="4" w:space="0" w:color="auto"/>
              <w:right w:val="single" w:sz="4" w:space="0" w:color="auto"/>
            </w:tcBorders>
            <w:shd w:val="clear" w:color="auto" w:fill="C6EFCE"/>
          </w:tcPr>
          <w:p w14:paraId="3C1C7244"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146" w:type="pct"/>
            <w:tcBorders>
              <w:top w:val="single" w:sz="4" w:space="0" w:color="auto"/>
              <w:left w:val="single" w:sz="4" w:space="0" w:color="auto"/>
              <w:bottom w:val="single" w:sz="4" w:space="0" w:color="auto"/>
              <w:right w:val="single" w:sz="4" w:space="0" w:color="auto"/>
            </w:tcBorders>
            <w:shd w:val="clear" w:color="auto" w:fill="C6EFCE"/>
          </w:tcPr>
          <w:p w14:paraId="2A585D9E"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3. cet.</w:t>
            </w:r>
          </w:p>
        </w:tc>
        <w:tc>
          <w:tcPr>
            <w:tcW w:w="193" w:type="pct"/>
            <w:tcBorders>
              <w:top w:val="single" w:sz="4" w:space="0" w:color="auto"/>
              <w:left w:val="single" w:sz="4" w:space="0" w:color="auto"/>
              <w:bottom w:val="single" w:sz="4" w:space="0" w:color="auto"/>
              <w:right w:val="single" w:sz="4" w:space="0" w:color="auto"/>
            </w:tcBorders>
            <w:shd w:val="clear" w:color="auto" w:fill="C6EFCE"/>
          </w:tcPr>
          <w:p w14:paraId="1B0C31BF"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2022</w:t>
            </w:r>
          </w:p>
        </w:tc>
        <w:tc>
          <w:tcPr>
            <w:tcW w:w="422" w:type="pct"/>
            <w:tcBorders>
              <w:top w:val="single" w:sz="4" w:space="0" w:color="auto"/>
              <w:left w:val="single" w:sz="4" w:space="0" w:color="auto"/>
              <w:bottom w:val="single" w:sz="4" w:space="0" w:color="auto"/>
              <w:right w:val="single" w:sz="4" w:space="0" w:color="auto"/>
            </w:tcBorders>
            <w:shd w:val="clear" w:color="auto" w:fill="C6EFCE"/>
          </w:tcPr>
          <w:p w14:paraId="3DDD1A78" w14:textId="77777777" w:rsidR="001A3E6F" w:rsidRPr="00B20686" w:rsidRDefault="001A3E6F" w:rsidP="00B20686">
            <w:pPr>
              <w:widowControl w:val="0"/>
              <w:spacing w:after="0" w:line="240" w:lineRule="auto"/>
              <w:ind w:left="57" w:right="57"/>
              <w:jc w:val="both"/>
              <w:rPr>
                <w:rFonts w:ascii="Times New Roman" w:hAnsi="Times New Roman" w:cs="Calibri"/>
                <w:noProof/>
                <w:sz w:val="18"/>
                <w:szCs w:val="20"/>
              </w:rPr>
            </w:pPr>
            <w:r w:rsidRPr="00B20686">
              <w:rPr>
                <w:rFonts w:ascii="Times New Roman" w:hAnsi="Times New Roman"/>
                <w:sz w:val="18"/>
                <w:szCs w:val="20"/>
              </w:rPr>
              <w:t xml:space="preserve">Veselības ministrija </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664D3C44"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p>
        </w:tc>
        <w:tc>
          <w:tcPr>
            <w:tcW w:w="918" w:type="pct"/>
            <w:tcBorders>
              <w:top w:val="single" w:sz="4" w:space="0" w:color="auto"/>
              <w:left w:val="single" w:sz="4" w:space="0" w:color="auto"/>
              <w:bottom w:val="single" w:sz="4" w:space="0" w:color="auto"/>
              <w:right w:val="single" w:sz="4" w:space="0" w:color="auto"/>
            </w:tcBorders>
            <w:shd w:val="clear" w:color="auto" w:fill="C6EFCE"/>
          </w:tcPr>
          <w:p w14:paraId="3C0DF244"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 xml:space="preserve">Digitālās veselības aprūpes stratēģijas publikācijas kopija un saite uz oficiālo izdevumu, tostarp atsauce uz noteikumu, kurā norādīta stāšanās spēkā, kam pievienots kopsavilkuma dokuments, kurā pienācīgi pamatots, kā tika apmierinoši sasniegts atskaites punkts (tostarp visi būtiskie elementi), kopā ar atbilstošām saitēm uz pamatojošajiem pierādījumiem, tostarp pierādījumiem par atbilstību Sabiedrības veselības pamatnostādnēm 2021.–2027. gadam un </w:t>
            </w:r>
            <w:r w:rsidRPr="00B20686">
              <w:rPr>
                <w:rFonts w:ascii="Times New Roman" w:hAnsi="Times New Roman"/>
                <w:sz w:val="18"/>
                <w:szCs w:val="20"/>
              </w:rPr>
              <w:lastRenderedPageBreak/>
              <w:t xml:space="preserve">Digitālās transformācijas pamatnostādnēm 2021.–2027. gadam. </w:t>
            </w:r>
          </w:p>
        </w:tc>
        <w:tc>
          <w:tcPr>
            <w:tcW w:w="766" w:type="pct"/>
            <w:tcBorders>
              <w:top w:val="single" w:sz="4" w:space="0" w:color="auto"/>
              <w:left w:val="single" w:sz="4" w:space="0" w:color="auto"/>
              <w:bottom w:val="single" w:sz="4" w:space="0" w:color="auto"/>
              <w:right w:val="single" w:sz="4" w:space="0" w:color="auto"/>
            </w:tcBorders>
            <w:shd w:val="clear" w:color="auto" w:fill="C6EFCE"/>
          </w:tcPr>
          <w:p w14:paraId="7E13F450" w14:textId="77777777" w:rsidR="001A3E6F" w:rsidRPr="00B20686" w:rsidRDefault="001A3E6F" w:rsidP="00B20686">
            <w:pPr>
              <w:widowControl w:val="0"/>
              <w:spacing w:after="0" w:line="240" w:lineRule="auto"/>
              <w:ind w:left="57" w:right="57"/>
              <w:rPr>
                <w:rFonts w:ascii="Times New Roman" w:eastAsia="Calibri" w:hAnsi="Times New Roman" w:cs="Times New Roman"/>
                <w:noProof/>
                <w:sz w:val="18"/>
                <w:szCs w:val="20"/>
              </w:rPr>
            </w:pPr>
            <w:r w:rsidRPr="00B20686">
              <w:rPr>
                <w:rFonts w:ascii="Times New Roman" w:hAnsi="Times New Roman"/>
                <w:sz w:val="18"/>
                <w:szCs w:val="20"/>
              </w:rPr>
              <w:lastRenderedPageBreak/>
              <w:t xml:space="preserve">Atskaites punktu uzskata par sasniegtu pēc tam, kad Veselības ministrija ir apstiprinājusi digitālās veselības aprūpes stratēģiju. Stratēģiju izstrādā saskaņā ar Sabiedrības veselības pamatnostādnēm 2021.–2027. gadam un Digitālās transformācijas pamatnostādnēm 2021.–2027. gadam. Stratēģijā ietver rīcības plānu un uzraudzības sistēmu. Stratēģija aptver tādus aspektus kā veselības aprūpe, datu izmantošana pētniecībā, datu kopīga lietošana, datu pārvaldība, sabiedrības </w:t>
            </w:r>
            <w:r w:rsidRPr="00B20686">
              <w:rPr>
                <w:rFonts w:ascii="Times New Roman" w:hAnsi="Times New Roman"/>
                <w:sz w:val="18"/>
                <w:szCs w:val="20"/>
              </w:rPr>
              <w:lastRenderedPageBreak/>
              <w:t>veselības nozares IT sistēmas un risinājumi, privātās IT sistēmas, pārrobežu datu apmaiņa un digitālās prasmes.</w:t>
            </w:r>
          </w:p>
        </w:tc>
      </w:tr>
      <w:tr w:rsidR="001A3E6F" w:rsidRPr="00B20686" w14:paraId="1868376A" w14:textId="77777777" w:rsidTr="009E7D55">
        <w:trPr>
          <w:jc w:val="center"/>
        </w:trPr>
        <w:tc>
          <w:tcPr>
            <w:tcW w:w="155" w:type="pct"/>
            <w:tcBorders>
              <w:top w:val="single" w:sz="4" w:space="0" w:color="auto"/>
              <w:left w:val="single" w:sz="4" w:space="0" w:color="auto"/>
              <w:bottom w:val="single" w:sz="4" w:space="0" w:color="auto"/>
              <w:right w:val="single" w:sz="4" w:space="0" w:color="auto"/>
            </w:tcBorders>
            <w:shd w:val="clear" w:color="auto" w:fill="C6EFCE"/>
          </w:tcPr>
          <w:p w14:paraId="6EEBEF69"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lastRenderedPageBreak/>
              <w:t>132</w:t>
            </w:r>
          </w:p>
        </w:tc>
        <w:tc>
          <w:tcPr>
            <w:tcW w:w="337" w:type="pct"/>
            <w:tcBorders>
              <w:top w:val="single" w:sz="4" w:space="0" w:color="auto"/>
              <w:left w:val="single" w:sz="4" w:space="0" w:color="auto"/>
              <w:bottom w:val="single" w:sz="4" w:space="0" w:color="auto"/>
              <w:right w:val="single" w:sz="4" w:space="0" w:color="auto"/>
            </w:tcBorders>
            <w:shd w:val="clear" w:color="auto" w:fill="C6EFCE"/>
          </w:tcPr>
          <w:p w14:paraId="6C4C8993"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t>4.1.1.r.</w:t>
            </w:r>
          </w:p>
          <w:p w14:paraId="4F46C51C"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t>Uz cilvēku centrētas, visaptverošas, integrētas veselības aprūpes sistēmas ilgtspēja un noturība</w:t>
            </w:r>
          </w:p>
        </w:tc>
        <w:tc>
          <w:tcPr>
            <w:tcW w:w="271" w:type="pct"/>
            <w:tcBorders>
              <w:top w:val="single" w:sz="4" w:space="0" w:color="auto"/>
              <w:left w:val="single" w:sz="4" w:space="0" w:color="auto"/>
              <w:bottom w:val="single" w:sz="4" w:space="0" w:color="auto"/>
              <w:right w:val="single" w:sz="4" w:space="0" w:color="auto"/>
            </w:tcBorders>
            <w:shd w:val="clear" w:color="auto" w:fill="C6EFCE"/>
          </w:tcPr>
          <w:p w14:paraId="6904B4FC"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Atskaites punkts</w:t>
            </w:r>
          </w:p>
        </w:tc>
        <w:tc>
          <w:tcPr>
            <w:tcW w:w="336" w:type="pct"/>
            <w:tcBorders>
              <w:top w:val="single" w:sz="4" w:space="0" w:color="auto"/>
              <w:left w:val="single" w:sz="4" w:space="0" w:color="auto"/>
              <w:bottom w:val="single" w:sz="4" w:space="0" w:color="auto"/>
              <w:right w:val="single" w:sz="4" w:space="0" w:color="auto"/>
            </w:tcBorders>
            <w:shd w:val="clear" w:color="auto" w:fill="C6EFCE"/>
          </w:tcPr>
          <w:p w14:paraId="74A02460"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Uz cilvēku vērsta, visaptveroša un integrēta veselības aprūpes sniegšanas modeļa izstrāde, izstrādājot investīciju stratēģiju un ieteikumus integrētas un epidemioloģiski drošas veselības aprūpes attīstībai</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3EA0683E"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 xml:space="preserve">Veselības ministrija apstiprina integrētās veselības aprūpes modeļa dokumentus </w:t>
            </w:r>
          </w:p>
        </w:tc>
        <w:tc>
          <w:tcPr>
            <w:tcW w:w="241" w:type="pct"/>
            <w:tcBorders>
              <w:top w:val="single" w:sz="4" w:space="0" w:color="auto"/>
              <w:left w:val="single" w:sz="4" w:space="0" w:color="auto"/>
              <w:bottom w:val="single" w:sz="4" w:space="0" w:color="auto"/>
              <w:right w:val="single" w:sz="4" w:space="0" w:color="auto"/>
            </w:tcBorders>
            <w:shd w:val="clear" w:color="auto" w:fill="C6EFCE"/>
          </w:tcPr>
          <w:p w14:paraId="2ACBE59F"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253" w:type="pct"/>
            <w:tcBorders>
              <w:top w:val="single" w:sz="4" w:space="0" w:color="auto"/>
              <w:left w:val="single" w:sz="4" w:space="0" w:color="auto"/>
              <w:bottom w:val="single" w:sz="4" w:space="0" w:color="auto"/>
              <w:right w:val="single" w:sz="4" w:space="0" w:color="auto"/>
            </w:tcBorders>
            <w:shd w:val="clear" w:color="auto" w:fill="C6EFCE"/>
          </w:tcPr>
          <w:p w14:paraId="6B34C918"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193" w:type="pct"/>
            <w:tcBorders>
              <w:top w:val="single" w:sz="4" w:space="0" w:color="auto"/>
              <w:left w:val="single" w:sz="4" w:space="0" w:color="auto"/>
              <w:bottom w:val="single" w:sz="4" w:space="0" w:color="auto"/>
              <w:right w:val="single" w:sz="4" w:space="0" w:color="auto"/>
            </w:tcBorders>
            <w:shd w:val="clear" w:color="auto" w:fill="C6EFCE"/>
          </w:tcPr>
          <w:p w14:paraId="631390BB"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146" w:type="pct"/>
            <w:tcBorders>
              <w:top w:val="single" w:sz="4" w:space="0" w:color="auto"/>
              <w:left w:val="single" w:sz="4" w:space="0" w:color="auto"/>
              <w:bottom w:val="single" w:sz="4" w:space="0" w:color="auto"/>
              <w:right w:val="single" w:sz="4" w:space="0" w:color="auto"/>
            </w:tcBorders>
            <w:shd w:val="clear" w:color="auto" w:fill="C6EFCE"/>
          </w:tcPr>
          <w:p w14:paraId="00A44F3F"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4. cet.</w:t>
            </w:r>
          </w:p>
        </w:tc>
        <w:tc>
          <w:tcPr>
            <w:tcW w:w="193" w:type="pct"/>
            <w:tcBorders>
              <w:top w:val="single" w:sz="4" w:space="0" w:color="auto"/>
              <w:left w:val="single" w:sz="4" w:space="0" w:color="auto"/>
              <w:bottom w:val="single" w:sz="4" w:space="0" w:color="auto"/>
              <w:right w:val="single" w:sz="4" w:space="0" w:color="auto"/>
            </w:tcBorders>
            <w:shd w:val="clear" w:color="auto" w:fill="C6EFCE"/>
          </w:tcPr>
          <w:p w14:paraId="3A80DA49"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2022</w:t>
            </w:r>
          </w:p>
        </w:tc>
        <w:tc>
          <w:tcPr>
            <w:tcW w:w="422" w:type="pct"/>
            <w:tcBorders>
              <w:top w:val="single" w:sz="4" w:space="0" w:color="auto"/>
              <w:left w:val="single" w:sz="4" w:space="0" w:color="auto"/>
              <w:bottom w:val="single" w:sz="4" w:space="0" w:color="auto"/>
              <w:right w:val="single" w:sz="4" w:space="0" w:color="auto"/>
            </w:tcBorders>
            <w:shd w:val="clear" w:color="auto" w:fill="C6EFCE"/>
          </w:tcPr>
          <w:p w14:paraId="7C42F769" w14:textId="77777777" w:rsidR="001A3E6F" w:rsidRPr="00B20686" w:rsidRDefault="001A3E6F" w:rsidP="00B20686">
            <w:pPr>
              <w:widowControl w:val="0"/>
              <w:spacing w:after="0" w:line="240" w:lineRule="auto"/>
              <w:ind w:left="57" w:right="57"/>
              <w:jc w:val="both"/>
              <w:rPr>
                <w:rFonts w:ascii="Times New Roman" w:hAnsi="Times New Roman" w:cs="Calibri"/>
                <w:noProof/>
                <w:sz w:val="18"/>
                <w:szCs w:val="20"/>
              </w:rPr>
            </w:pPr>
            <w:r w:rsidRPr="00B20686">
              <w:rPr>
                <w:rFonts w:ascii="Times New Roman" w:hAnsi="Times New Roman"/>
                <w:sz w:val="18"/>
                <w:szCs w:val="20"/>
              </w:rPr>
              <w:t xml:space="preserve">Veselības ministrija </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301A7B18"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p>
        </w:tc>
        <w:tc>
          <w:tcPr>
            <w:tcW w:w="918" w:type="pct"/>
            <w:tcBorders>
              <w:top w:val="single" w:sz="4" w:space="0" w:color="auto"/>
              <w:left w:val="single" w:sz="4" w:space="0" w:color="auto"/>
              <w:bottom w:val="single" w:sz="4" w:space="0" w:color="auto"/>
              <w:right w:val="single" w:sz="4" w:space="0" w:color="auto"/>
            </w:tcBorders>
            <w:shd w:val="clear" w:color="auto" w:fill="C6EFCE"/>
          </w:tcPr>
          <w:p w14:paraId="02F11C9E"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Kopsavilkuma dokuments, kurā pienācīgi pamatots, kā tika apmierinoši sasniegts atskaites punkts (tostarp visi būtiskie elementi), kopā ar atbilstošām saitēm uz pamatojošajiem pierādījumiem.</w:t>
            </w:r>
          </w:p>
          <w:p w14:paraId="76E38527"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Šā dokumenta pielikumā iekļauj šādus dokumentārus pierādījumus:</w:t>
            </w:r>
          </w:p>
          <w:p w14:paraId="11782C5F" w14:textId="77777777" w:rsidR="001A3E6F" w:rsidRPr="00B20686" w:rsidRDefault="001A3E6F" w:rsidP="00B20686">
            <w:pPr>
              <w:widowControl w:val="0"/>
              <w:spacing w:after="0" w:line="240" w:lineRule="auto"/>
              <w:ind w:left="57" w:right="57"/>
              <w:rPr>
                <w:rFonts w:ascii="Times New Roman" w:hAnsi="Times New Roman"/>
                <w:noProof/>
                <w:sz w:val="18"/>
                <w:szCs w:val="20"/>
              </w:rPr>
            </w:pPr>
            <w:r w:rsidRPr="00B20686">
              <w:rPr>
                <w:rFonts w:ascii="Times New Roman" w:hAnsi="Times New Roman"/>
                <w:sz w:val="18"/>
                <w:szCs w:val="20"/>
              </w:rPr>
              <w:t xml:space="preserve">a) investīciju stratēģijas kopiju, saiti uz publikāciju oficiālajā izdevumā un atsauci uz attiecīgajiem noteikumiem, kuros norādīta </w:t>
            </w:r>
            <w:r w:rsidRPr="00B20686">
              <w:rPr>
                <w:rFonts w:ascii="Times New Roman" w:hAnsi="Times New Roman"/>
                <w:sz w:val="18"/>
                <w:szCs w:val="20"/>
              </w:rPr>
              <w:lastRenderedPageBreak/>
              <w:t>stāšanās spēkā, un Veselības ministrijas lēmumu, ar kuru apstiprina investīciju stratēģiju;</w:t>
            </w:r>
          </w:p>
          <w:p w14:paraId="4A4B0503" w14:textId="77777777" w:rsidR="001A3E6F" w:rsidRPr="00B20686" w:rsidRDefault="001A3E6F" w:rsidP="00B20686">
            <w:pPr>
              <w:widowControl w:val="0"/>
              <w:spacing w:after="0" w:line="240" w:lineRule="auto"/>
              <w:ind w:left="57" w:right="57"/>
              <w:rPr>
                <w:rFonts w:ascii="Times New Roman" w:hAnsi="Times New Roman"/>
                <w:noProof/>
                <w:sz w:val="18"/>
                <w:szCs w:val="20"/>
              </w:rPr>
            </w:pPr>
            <w:r w:rsidRPr="00B20686">
              <w:rPr>
                <w:rFonts w:ascii="Times New Roman" w:hAnsi="Times New Roman"/>
                <w:sz w:val="18"/>
                <w:szCs w:val="20"/>
              </w:rPr>
              <w:t>b) ieteikumu integrētās aprūpes pieejas īstenošanai kopiju, saiti uz publikāciju, atsauci uz attiecīgajiem noteikumiem un Veselības ministrijas lēmumu, ar kuru apstiprina šos ieteikumus;</w:t>
            </w:r>
          </w:p>
          <w:p w14:paraId="3B0C2F63" w14:textId="77777777" w:rsidR="001A3E6F" w:rsidRPr="00B20686" w:rsidRDefault="001A3E6F" w:rsidP="00B20686">
            <w:pPr>
              <w:widowControl w:val="0"/>
              <w:spacing w:after="0" w:line="240" w:lineRule="auto"/>
              <w:ind w:left="57" w:right="57"/>
              <w:rPr>
                <w:rFonts w:ascii="Times New Roman" w:hAnsi="Times New Roman"/>
                <w:noProof/>
                <w:sz w:val="18"/>
                <w:szCs w:val="20"/>
              </w:rPr>
            </w:pPr>
            <w:r w:rsidRPr="00B20686">
              <w:rPr>
                <w:rFonts w:ascii="Times New Roman" w:hAnsi="Times New Roman"/>
                <w:sz w:val="18"/>
                <w:szCs w:val="20"/>
              </w:rPr>
              <w:t>c) ieteikumu kopuma epidemioloģiskajām prasībām kopiju, saiti uz publikāciju, atsauci uz attiecīgajiem noteikumiem un Veselības ministrijas lēmumu, ar kuru apstiprina šos ieteikumus.</w:t>
            </w:r>
          </w:p>
        </w:tc>
        <w:tc>
          <w:tcPr>
            <w:tcW w:w="766" w:type="pct"/>
            <w:tcBorders>
              <w:top w:val="single" w:sz="4" w:space="0" w:color="auto"/>
              <w:left w:val="single" w:sz="4" w:space="0" w:color="auto"/>
              <w:bottom w:val="single" w:sz="4" w:space="0" w:color="auto"/>
              <w:right w:val="single" w:sz="4" w:space="0" w:color="auto"/>
            </w:tcBorders>
            <w:shd w:val="clear" w:color="auto" w:fill="C6EFCE"/>
          </w:tcPr>
          <w:p w14:paraId="5D82C700" w14:textId="77777777" w:rsidR="001A3E6F" w:rsidRPr="00B20686" w:rsidRDefault="001A3E6F" w:rsidP="00B20686">
            <w:pPr>
              <w:widowControl w:val="0"/>
              <w:spacing w:after="0" w:line="240" w:lineRule="auto"/>
              <w:ind w:left="57" w:right="57"/>
              <w:rPr>
                <w:rFonts w:ascii="Times New Roman" w:eastAsia="Calibri" w:hAnsi="Times New Roman" w:cs="Times New Roman"/>
                <w:noProof/>
                <w:sz w:val="18"/>
                <w:szCs w:val="20"/>
              </w:rPr>
            </w:pPr>
            <w:r w:rsidRPr="00B20686">
              <w:rPr>
                <w:rFonts w:ascii="Times New Roman" w:hAnsi="Times New Roman"/>
                <w:sz w:val="18"/>
                <w:szCs w:val="20"/>
              </w:rPr>
              <w:lastRenderedPageBreak/>
              <w:t>Integrēto veselības aprūpes modeli izveido pēc tam, kad Veselības ministrija ir izstrādājusi un apstiprinājusi šādus dokumentus:</w:t>
            </w:r>
          </w:p>
          <w:p w14:paraId="7D192343" w14:textId="77777777" w:rsidR="001A3E6F" w:rsidRPr="00B20686" w:rsidRDefault="001A3E6F" w:rsidP="00B20686">
            <w:pPr>
              <w:widowControl w:val="0"/>
              <w:spacing w:after="0" w:line="240" w:lineRule="auto"/>
              <w:ind w:left="57" w:right="57"/>
              <w:rPr>
                <w:rFonts w:ascii="Times New Roman" w:eastAsia="Calibri" w:hAnsi="Times New Roman" w:cs="Times New Roman"/>
                <w:noProof/>
                <w:sz w:val="18"/>
                <w:szCs w:val="20"/>
              </w:rPr>
            </w:pPr>
            <w:r w:rsidRPr="00B20686">
              <w:rPr>
                <w:rFonts w:ascii="Times New Roman" w:hAnsi="Times New Roman"/>
                <w:sz w:val="18"/>
                <w:szCs w:val="20"/>
              </w:rPr>
              <w:t xml:space="preserve">1) investīciju stratēģiju attiecībā uz investīcijām infrastruktūrā, lai nodrošinātu publiski finansētus veselības aprūpes pakalpojumus, tostarp iekļauj slimnīcu kartēšanu, lai nodrošinātu slimnīcu tīkla reformas turpināšanu, cita starpā ņemot vērā slimnīcu līmeņa </w:t>
            </w:r>
            <w:r w:rsidRPr="00B20686">
              <w:rPr>
                <w:rFonts w:ascii="Times New Roman" w:hAnsi="Times New Roman"/>
                <w:sz w:val="18"/>
                <w:szCs w:val="20"/>
              </w:rPr>
              <w:lastRenderedPageBreak/>
              <w:t>novērtējumu;</w:t>
            </w:r>
          </w:p>
          <w:p w14:paraId="486AC07E" w14:textId="77777777" w:rsidR="001A3E6F" w:rsidRPr="00B20686" w:rsidRDefault="001A3E6F" w:rsidP="00B20686">
            <w:pPr>
              <w:widowControl w:val="0"/>
              <w:spacing w:after="0" w:line="240" w:lineRule="auto"/>
              <w:ind w:left="57" w:right="57"/>
              <w:rPr>
                <w:rFonts w:ascii="Times New Roman" w:eastAsia="Calibri" w:hAnsi="Times New Roman" w:cs="Times New Roman"/>
                <w:noProof/>
                <w:sz w:val="18"/>
                <w:szCs w:val="20"/>
              </w:rPr>
            </w:pPr>
            <w:r w:rsidRPr="00B20686">
              <w:rPr>
                <w:rFonts w:ascii="Times New Roman" w:hAnsi="Times New Roman"/>
                <w:sz w:val="18"/>
                <w:szCs w:val="20"/>
              </w:rPr>
              <w:t>2) ieteikumus integrētās aprūpes pieejas īstenošanai;</w:t>
            </w:r>
          </w:p>
          <w:p w14:paraId="4267850E" w14:textId="77777777" w:rsidR="001A3E6F" w:rsidRPr="00B20686" w:rsidRDefault="001A3E6F" w:rsidP="00B20686">
            <w:pPr>
              <w:widowControl w:val="0"/>
              <w:spacing w:after="0" w:line="240" w:lineRule="auto"/>
              <w:ind w:left="57" w:right="57"/>
              <w:rPr>
                <w:rFonts w:ascii="Times New Roman" w:eastAsia="Calibri" w:hAnsi="Times New Roman" w:cs="Times New Roman"/>
                <w:noProof/>
                <w:sz w:val="18"/>
                <w:szCs w:val="20"/>
              </w:rPr>
            </w:pPr>
            <w:r w:rsidRPr="00B20686">
              <w:rPr>
                <w:rFonts w:ascii="Times New Roman" w:hAnsi="Times New Roman"/>
                <w:sz w:val="18"/>
                <w:szCs w:val="20"/>
              </w:rPr>
              <w:t>3) ieteikumu kopumu epidemioloģiskajām prasībām.</w:t>
            </w:r>
          </w:p>
        </w:tc>
      </w:tr>
      <w:tr w:rsidR="001A3E6F" w:rsidRPr="00B20686" w14:paraId="112BCC84" w14:textId="77777777" w:rsidTr="009E7D55">
        <w:trPr>
          <w:jc w:val="center"/>
        </w:trPr>
        <w:tc>
          <w:tcPr>
            <w:tcW w:w="155" w:type="pct"/>
            <w:tcBorders>
              <w:top w:val="single" w:sz="4" w:space="0" w:color="auto"/>
              <w:left w:val="single" w:sz="4" w:space="0" w:color="auto"/>
              <w:bottom w:val="single" w:sz="4" w:space="0" w:color="auto"/>
              <w:right w:val="single" w:sz="4" w:space="0" w:color="auto"/>
            </w:tcBorders>
            <w:shd w:val="clear" w:color="auto" w:fill="C6EFCE"/>
          </w:tcPr>
          <w:p w14:paraId="7122A25D"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lastRenderedPageBreak/>
              <w:t>13</w:t>
            </w:r>
            <w:r w:rsidRPr="00B20686">
              <w:rPr>
                <w:rFonts w:ascii="Times New Roman" w:hAnsi="Times New Roman"/>
                <w:sz w:val="18"/>
                <w:szCs w:val="20"/>
              </w:rPr>
              <w:lastRenderedPageBreak/>
              <w:t>3</w:t>
            </w:r>
          </w:p>
        </w:tc>
        <w:tc>
          <w:tcPr>
            <w:tcW w:w="337" w:type="pct"/>
            <w:tcBorders>
              <w:top w:val="single" w:sz="4" w:space="0" w:color="auto"/>
              <w:left w:val="single" w:sz="4" w:space="0" w:color="auto"/>
              <w:bottom w:val="single" w:sz="4" w:space="0" w:color="auto"/>
              <w:right w:val="single" w:sz="4" w:space="0" w:color="auto"/>
            </w:tcBorders>
            <w:shd w:val="clear" w:color="auto" w:fill="C6EFCE"/>
          </w:tcPr>
          <w:p w14:paraId="58BBC737"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lastRenderedPageBreak/>
              <w:t>4.1.1.r.</w:t>
            </w:r>
          </w:p>
          <w:p w14:paraId="36D66585"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lastRenderedPageBreak/>
              <w:t>Uz cilvēku centrētas, visaptverošas, integrētas veselības aprūpes sistēmas ilgtspēja un noturība</w:t>
            </w:r>
          </w:p>
        </w:tc>
        <w:tc>
          <w:tcPr>
            <w:tcW w:w="271" w:type="pct"/>
            <w:tcBorders>
              <w:top w:val="single" w:sz="4" w:space="0" w:color="auto"/>
              <w:left w:val="single" w:sz="4" w:space="0" w:color="auto"/>
              <w:bottom w:val="single" w:sz="4" w:space="0" w:color="auto"/>
              <w:right w:val="single" w:sz="4" w:space="0" w:color="auto"/>
            </w:tcBorders>
            <w:shd w:val="clear" w:color="auto" w:fill="C6EFCE"/>
          </w:tcPr>
          <w:p w14:paraId="5A015F4E"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lastRenderedPageBreak/>
              <w:t>Atskaite</w:t>
            </w:r>
            <w:r w:rsidRPr="00B20686">
              <w:rPr>
                <w:rFonts w:ascii="Times New Roman" w:hAnsi="Times New Roman"/>
                <w:sz w:val="18"/>
                <w:szCs w:val="20"/>
              </w:rPr>
              <w:lastRenderedPageBreak/>
              <w:t>s punkts</w:t>
            </w:r>
          </w:p>
        </w:tc>
        <w:tc>
          <w:tcPr>
            <w:tcW w:w="336" w:type="pct"/>
            <w:tcBorders>
              <w:top w:val="single" w:sz="4" w:space="0" w:color="auto"/>
              <w:left w:val="single" w:sz="4" w:space="0" w:color="auto"/>
              <w:bottom w:val="single" w:sz="4" w:space="0" w:color="auto"/>
              <w:right w:val="single" w:sz="4" w:space="0" w:color="auto"/>
            </w:tcBorders>
            <w:shd w:val="clear" w:color="auto" w:fill="C6EFCE"/>
          </w:tcPr>
          <w:p w14:paraId="01B211D3"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lastRenderedPageBreak/>
              <w:t xml:space="preserve">Ir noteikta </w:t>
            </w:r>
            <w:r w:rsidRPr="00B20686">
              <w:rPr>
                <w:rFonts w:ascii="Times New Roman" w:hAnsi="Times New Roman"/>
                <w:sz w:val="18"/>
                <w:szCs w:val="20"/>
              </w:rPr>
              <w:lastRenderedPageBreak/>
              <w:t>Latvijas iedzīvotāju genoma reference (Latvijas dalība projektā “Genome for Europe – GoLatvia project”)</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27628101"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lastRenderedPageBreak/>
              <w:t xml:space="preserve">Latvijā ir </w:t>
            </w:r>
            <w:r w:rsidRPr="00B20686">
              <w:rPr>
                <w:rFonts w:ascii="Times New Roman" w:hAnsi="Times New Roman"/>
                <w:sz w:val="18"/>
                <w:szCs w:val="20"/>
              </w:rPr>
              <w:lastRenderedPageBreak/>
              <w:t>noteikta genoma reference</w:t>
            </w:r>
          </w:p>
        </w:tc>
        <w:tc>
          <w:tcPr>
            <w:tcW w:w="241" w:type="pct"/>
            <w:tcBorders>
              <w:top w:val="single" w:sz="8" w:space="0" w:color="auto"/>
              <w:left w:val="single" w:sz="4" w:space="0" w:color="auto"/>
              <w:bottom w:val="single" w:sz="8" w:space="0" w:color="auto"/>
              <w:right w:val="single" w:sz="8" w:space="0" w:color="auto"/>
            </w:tcBorders>
            <w:shd w:val="clear" w:color="auto" w:fill="C6EFCE"/>
          </w:tcPr>
          <w:p w14:paraId="08FBC36F"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lastRenderedPageBreak/>
              <w:t>Neattiecas</w:t>
            </w:r>
          </w:p>
        </w:tc>
        <w:tc>
          <w:tcPr>
            <w:tcW w:w="253" w:type="pct"/>
            <w:tcBorders>
              <w:top w:val="single" w:sz="8" w:space="0" w:color="auto"/>
              <w:left w:val="single" w:sz="8" w:space="0" w:color="auto"/>
              <w:bottom w:val="single" w:sz="8" w:space="0" w:color="auto"/>
              <w:right w:val="single" w:sz="8" w:space="0" w:color="auto"/>
            </w:tcBorders>
            <w:shd w:val="clear" w:color="auto" w:fill="C6EFCE"/>
          </w:tcPr>
          <w:p w14:paraId="3D85290E"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w:t>
            </w:r>
            <w:r w:rsidRPr="00B20686">
              <w:rPr>
                <w:rFonts w:ascii="Times New Roman" w:hAnsi="Times New Roman"/>
                <w:sz w:val="18"/>
                <w:szCs w:val="20"/>
              </w:rPr>
              <w:lastRenderedPageBreak/>
              <w:t>as</w:t>
            </w:r>
          </w:p>
        </w:tc>
        <w:tc>
          <w:tcPr>
            <w:tcW w:w="193" w:type="pct"/>
            <w:tcBorders>
              <w:top w:val="single" w:sz="8" w:space="0" w:color="auto"/>
              <w:left w:val="single" w:sz="8" w:space="0" w:color="auto"/>
              <w:bottom w:val="single" w:sz="8" w:space="0" w:color="auto"/>
              <w:right w:val="single" w:sz="8" w:space="0" w:color="auto"/>
            </w:tcBorders>
            <w:shd w:val="clear" w:color="auto" w:fill="C6EFCE"/>
          </w:tcPr>
          <w:p w14:paraId="3884CC9D"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lastRenderedPageBreak/>
              <w:t>Neattiec</w:t>
            </w:r>
            <w:r w:rsidRPr="00B20686">
              <w:rPr>
                <w:rFonts w:ascii="Times New Roman" w:hAnsi="Times New Roman"/>
                <w:sz w:val="18"/>
                <w:szCs w:val="20"/>
              </w:rPr>
              <w:lastRenderedPageBreak/>
              <w:t>as</w:t>
            </w:r>
          </w:p>
        </w:tc>
        <w:tc>
          <w:tcPr>
            <w:tcW w:w="146" w:type="pct"/>
            <w:tcBorders>
              <w:top w:val="single" w:sz="8" w:space="0" w:color="auto"/>
              <w:left w:val="single" w:sz="8" w:space="0" w:color="auto"/>
              <w:bottom w:val="single" w:sz="8" w:space="0" w:color="auto"/>
              <w:right w:val="single" w:sz="8" w:space="0" w:color="auto"/>
            </w:tcBorders>
            <w:shd w:val="clear" w:color="auto" w:fill="C6EFCE"/>
          </w:tcPr>
          <w:p w14:paraId="59AA644C"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lastRenderedPageBreak/>
              <w:t>1. cet.</w:t>
            </w:r>
          </w:p>
        </w:tc>
        <w:tc>
          <w:tcPr>
            <w:tcW w:w="193" w:type="pct"/>
            <w:tcBorders>
              <w:top w:val="single" w:sz="8" w:space="0" w:color="auto"/>
              <w:left w:val="single" w:sz="8" w:space="0" w:color="auto"/>
              <w:bottom w:val="single" w:sz="8" w:space="0" w:color="auto"/>
              <w:right w:val="single" w:sz="4" w:space="0" w:color="auto"/>
            </w:tcBorders>
            <w:shd w:val="clear" w:color="auto" w:fill="C6EFCE"/>
          </w:tcPr>
          <w:p w14:paraId="78D69976"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202</w:t>
            </w:r>
            <w:r w:rsidRPr="00B20686">
              <w:rPr>
                <w:rFonts w:ascii="Times New Roman" w:hAnsi="Times New Roman"/>
                <w:sz w:val="18"/>
                <w:szCs w:val="20"/>
              </w:rPr>
              <w:lastRenderedPageBreak/>
              <w:t>4</w:t>
            </w:r>
          </w:p>
        </w:tc>
        <w:tc>
          <w:tcPr>
            <w:tcW w:w="422" w:type="pct"/>
            <w:tcBorders>
              <w:top w:val="single" w:sz="4" w:space="0" w:color="auto"/>
              <w:left w:val="single" w:sz="4" w:space="0" w:color="auto"/>
              <w:bottom w:val="single" w:sz="4" w:space="0" w:color="auto"/>
              <w:right w:val="single" w:sz="4" w:space="0" w:color="auto"/>
            </w:tcBorders>
            <w:shd w:val="clear" w:color="auto" w:fill="C6EFCE"/>
          </w:tcPr>
          <w:p w14:paraId="5BCA4C9C" w14:textId="77777777" w:rsidR="001A3E6F" w:rsidRPr="00B20686" w:rsidRDefault="001A3E6F" w:rsidP="00B20686">
            <w:pPr>
              <w:widowControl w:val="0"/>
              <w:spacing w:after="0" w:line="240" w:lineRule="auto"/>
              <w:ind w:left="57" w:right="57"/>
              <w:jc w:val="both"/>
              <w:rPr>
                <w:rFonts w:ascii="Times New Roman" w:hAnsi="Times New Roman" w:cs="Calibri"/>
                <w:noProof/>
                <w:sz w:val="18"/>
                <w:szCs w:val="20"/>
              </w:rPr>
            </w:pPr>
            <w:r w:rsidRPr="00B20686">
              <w:rPr>
                <w:rFonts w:ascii="Times New Roman" w:hAnsi="Times New Roman"/>
                <w:sz w:val="18"/>
                <w:szCs w:val="20"/>
              </w:rPr>
              <w:lastRenderedPageBreak/>
              <w:t xml:space="preserve">Veselības </w:t>
            </w:r>
            <w:r w:rsidRPr="00B20686">
              <w:rPr>
                <w:rFonts w:ascii="Times New Roman" w:hAnsi="Times New Roman"/>
                <w:sz w:val="18"/>
                <w:szCs w:val="20"/>
              </w:rPr>
              <w:lastRenderedPageBreak/>
              <w:t xml:space="preserve">ministrija </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7AE9E98A"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p>
        </w:tc>
        <w:tc>
          <w:tcPr>
            <w:tcW w:w="918" w:type="pct"/>
            <w:tcBorders>
              <w:top w:val="single" w:sz="4" w:space="0" w:color="auto"/>
              <w:left w:val="single" w:sz="4" w:space="0" w:color="auto"/>
              <w:bottom w:val="single" w:sz="4" w:space="0" w:color="auto"/>
              <w:right w:val="single" w:sz="4" w:space="0" w:color="auto"/>
            </w:tcBorders>
            <w:shd w:val="clear" w:color="auto" w:fill="C6EFCE"/>
          </w:tcPr>
          <w:p w14:paraId="7AB15069"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 xml:space="preserve">Kopsavilkuma </w:t>
            </w:r>
            <w:r w:rsidRPr="00B20686">
              <w:rPr>
                <w:rFonts w:ascii="Times New Roman" w:hAnsi="Times New Roman"/>
                <w:sz w:val="18"/>
                <w:szCs w:val="20"/>
              </w:rPr>
              <w:lastRenderedPageBreak/>
              <w:t>dokuments, kurā pienācīgi pamatots, kā tika apmierinoši sasniegts atskaites punkts (tostarp visi būtiskie elementi), kopā ar atbilstošām saitēm uz pamatojošajiem pierādījumiem.</w:t>
            </w:r>
          </w:p>
          <w:p w14:paraId="7F66C0F4"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Šā dokumenta pielikumā iekļauj šādus dokumentārus pierādījumus:</w:t>
            </w:r>
          </w:p>
          <w:p w14:paraId="240557BD" w14:textId="77777777" w:rsidR="001A3E6F" w:rsidRPr="00B20686" w:rsidRDefault="001A3E6F" w:rsidP="00B20686">
            <w:pPr>
              <w:widowControl w:val="0"/>
              <w:spacing w:after="0" w:line="240" w:lineRule="auto"/>
              <w:ind w:left="57" w:right="57"/>
              <w:rPr>
                <w:rFonts w:ascii="Times New Roman" w:hAnsi="Times New Roman"/>
                <w:noProof/>
                <w:sz w:val="18"/>
                <w:szCs w:val="20"/>
              </w:rPr>
            </w:pPr>
            <w:r w:rsidRPr="00B20686">
              <w:rPr>
                <w:rFonts w:ascii="Times New Roman" w:hAnsi="Times New Roman"/>
                <w:sz w:val="18"/>
                <w:szCs w:val="20"/>
              </w:rPr>
              <w:t>a) kopiju genomikas dizaina dokumentācijai, kas apliecina genoma projekta pabeigšanu;</w:t>
            </w:r>
          </w:p>
          <w:p w14:paraId="7C03B450" w14:textId="77777777" w:rsidR="001A3E6F" w:rsidRPr="00B20686" w:rsidRDefault="001A3E6F" w:rsidP="00B20686">
            <w:pPr>
              <w:widowControl w:val="0"/>
              <w:spacing w:after="0" w:line="240" w:lineRule="auto"/>
              <w:ind w:left="57" w:right="57"/>
              <w:rPr>
                <w:rFonts w:ascii="Times New Roman" w:hAnsi="Times New Roman"/>
                <w:noProof/>
                <w:sz w:val="18"/>
                <w:szCs w:val="20"/>
              </w:rPr>
            </w:pPr>
            <w:r w:rsidRPr="00B20686">
              <w:rPr>
                <w:rFonts w:ascii="Times New Roman" w:hAnsi="Times New Roman"/>
                <w:sz w:val="18"/>
                <w:szCs w:val="20"/>
              </w:rPr>
              <w:t>b) kopiju Veselības ministrijas lēmumam, ar kuru apstiprina Latvijas iedzīvotāju genoma references izveidi.</w:t>
            </w:r>
          </w:p>
        </w:tc>
        <w:tc>
          <w:tcPr>
            <w:tcW w:w="766" w:type="pct"/>
            <w:tcBorders>
              <w:top w:val="single" w:sz="4" w:space="0" w:color="auto"/>
              <w:left w:val="single" w:sz="4" w:space="0" w:color="auto"/>
              <w:bottom w:val="single" w:sz="4" w:space="0" w:color="auto"/>
              <w:right w:val="single" w:sz="4" w:space="0" w:color="auto"/>
            </w:tcBorders>
            <w:shd w:val="clear" w:color="auto" w:fill="C6EFCE"/>
          </w:tcPr>
          <w:p w14:paraId="35296C48" w14:textId="77777777" w:rsidR="001A3E6F" w:rsidRPr="00B20686" w:rsidRDefault="001A3E6F" w:rsidP="00B20686">
            <w:pPr>
              <w:widowControl w:val="0"/>
              <w:spacing w:after="0" w:line="240" w:lineRule="auto"/>
              <w:ind w:left="57" w:right="57"/>
              <w:rPr>
                <w:rFonts w:ascii="Times New Roman" w:eastAsia="Calibri" w:hAnsi="Times New Roman" w:cs="Times New Roman"/>
                <w:noProof/>
                <w:sz w:val="18"/>
                <w:szCs w:val="20"/>
              </w:rPr>
            </w:pPr>
            <w:r w:rsidRPr="00B20686">
              <w:rPr>
                <w:rFonts w:ascii="Times New Roman" w:hAnsi="Times New Roman"/>
                <w:sz w:val="18"/>
                <w:szCs w:val="20"/>
              </w:rPr>
              <w:lastRenderedPageBreak/>
              <w:t xml:space="preserve">Veselības </w:t>
            </w:r>
            <w:r w:rsidRPr="00B20686">
              <w:rPr>
                <w:rFonts w:ascii="Times New Roman" w:hAnsi="Times New Roman"/>
                <w:sz w:val="18"/>
                <w:szCs w:val="20"/>
              </w:rPr>
              <w:lastRenderedPageBreak/>
              <w:t>ministrija ir apstiprinājusi genomikas dizaina dokumentāciju, kas apliecina Latvijas iedzīvotāju genoma references izveidi.</w:t>
            </w:r>
          </w:p>
        </w:tc>
      </w:tr>
      <w:tr w:rsidR="001A3E6F" w:rsidRPr="00B20686" w14:paraId="1782A7D9" w14:textId="77777777" w:rsidTr="009E7D55">
        <w:trPr>
          <w:jc w:val="center"/>
        </w:trPr>
        <w:tc>
          <w:tcPr>
            <w:tcW w:w="155" w:type="pct"/>
            <w:tcBorders>
              <w:top w:val="single" w:sz="4" w:space="0" w:color="auto"/>
              <w:left w:val="single" w:sz="4" w:space="0" w:color="auto"/>
              <w:bottom w:val="single" w:sz="4" w:space="0" w:color="auto"/>
              <w:right w:val="single" w:sz="4" w:space="0" w:color="auto"/>
            </w:tcBorders>
            <w:shd w:val="clear" w:color="auto" w:fill="C6EFCE"/>
          </w:tcPr>
          <w:p w14:paraId="5851ACEF"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lastRenderedPageBreak/>
              <w:t>13</w:t>
            </w:r>
            <w:r w:rsidRPr="00B20686">
              <w:rPr>
                <w:rFonts w:ascii="Times New Roman" w:hAnsi="Times New Roman"/>
                <w:sz w:val="18"/>
                <w:szCs w:val="20"/>
              </w:rPr>
              <w:lastRenderedPageBreak/>
              <w:t>4</w:t>
            </w:r>
          </w:p>
        </w:tc>
        <w:tc>
          <w:tcPr>
            <w:tcW w:w="337" w:type="pct"/>
            <w:tcBorders>
              <w:top w:val="single" w:sz="4" w:space="0" w:color="auto"/>
              <w:left w:val="single" w:sz="4" w:space="0" w:color="auto"/>
              <w:bottom w:val="single" w:sz="4" w:space="0" w:color="auto"/>
              <w:right w:val="single" w:sz="4" w:space="0" w:color="auto"/>
            </w:tcBorders>
            <w:shd w:val="clear" w:color="auto" w:fill="C6EFCE"/>
          </w:tcPr>
          <w:p w14:paraId="50642384"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lastRenderedPageBreak/>
              <w:t>4.1.1.r.</w:t>
            </w:r>
          </w:p>
          <w:p w14:paraId="2CB35EDD"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lastRenderedPageBreak/>
              <w:t>Uz cilvēku centrētas, visaptverošas, integrētas veselības aprūpes sistēmas ilgtspēja un noturība</w:t>
            </w:r>
          </w:p>
        </w:tc>
        <w:tc>
          <w:tcPr>
            <w:tcW w:w="271" w:type="pct"/>
            <w:tcBorders>
              <w:top w:val="single" w:sz="4" w:space="0" w:color="auto"/>
              <w:left w:val="single" w:sz="4" w:space="0" w:color="auto"/>
              <w:bottom w:val="single" w:sz="4" w:space="0" w:color="auto"/>
              <w:right w:val="single" w:sz="4" w:space="0" w:color="auto"/>
            </w:tcBorders>
            <w:shd w:val="clear" w:color="auto" w:fill="C6EFCE"/>
          </w:tcPr>
          <w:p w14:paraId="784B0AF0"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lastRenderedPageBreak/>
              <w:t>Atskaite</w:t>
            </w:r>
            <w:r w:rsidRPr="00B20686">
              <w:rPr>
                <w:rFonts w:ascii="Times New Roman" w:hAnsi="Times New Roman"/>
                <w:sz w:val="18"/>
                <w:szCs w:val="20"/>
              </w:rPr>
              <w:lastRenderedPageBreak/>
              <w:t>s punkts</w:t>
            </w:r>
          </w:p>
        </w:tc>
        <w:tc>
          <w:tcPr>
            <w:tcW w:w="336" w:type="pct"/>
            <w:tcBorders>
              <w:top w:val="single" w:sz="4" w:space="0" w:color="auto"/>
              <w:left w:val="single" w:sz="4" w:space="0" w:color="auto"/>
              <w:bottom w:val="single" w:sz="4" w:space="0" w:color="auto"/>
              <w:right w:val="single" w:sz="4" w:space="0" w:color="auto"/>
            </w:tcBorders>
            <w:shd w:val="clear" w:color="auto" w:fill="C6EFCE"/>
          </w:tcPr>
          <w:p w14:paraId="71EFA467"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lastRenderedPageBreak/>
              <w:t xml:space="preserve">Nodrošināta </w:t>
            </w:r>
            <w:r w:rsidRPr="00B20686">
              <w:rPr>
                <w:rFonts w:ascii="Times New Roman" w:hAnsi="Times New Roman"/>
                <w:sz w:val="18"/>
                <w:szCs w:val="20"/>
              </w:rPr>
              <w:lastRenderedPageBreak/>
              <w:t xml:space="preserve">onkoloģijas jomas metodiskā vadība </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1182F024"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lastRenderedPageBreak/>
              <w:t xml:space="preserve">Veselības </w:t>
            </w:r>
            <w:r w:rsidRPr="00B20686">
              <w:rPr>
                <w:rFonts w:ascii="Times New Roman" w:hAnsi="Times New Roman"/>
                <w:sz w:val="18"/>
                <w:szCs w:val="20"/>
              </w:rPr>
              <w:lastRenderedPageBreak/>
              <w:t>ministrijas apstiprinātie metodoloģiskie dokumenti vienoto principu īstenošanai onkoloģijas jomā</w:t>
            </w:r>
          </w:p>
        </w:tc>
        <w:tc>
          <w:tcPr>
            <w:tcW w:w="241" w:type="pct"/>
            <w:tcBorders>
              <w:top w:val="single" w:sz="4" w:space="0" w:color="auto"/>
              <w:left w:val="single" w:sz="4" w:space="0" w:color="auto"/>
              <w:bottom w:val="single" w:sz="8" w:space="0" w:color="auto"/>
              <w:right w:val="single" w:sz="8" w:space="0" w:color="auto"/>
            </w:tcBorders>
            <w:shd w:val="clear" w:color="auto" w:fill="C6EFCE"/>
          </w:tcPr>
          <w:p w14:paraId="67435E22"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lastRenderedPageBreak/>
              <w:t>Neattiecas</w:t>
            </w:r>
          </w:p>
        </w:tc>
        <w:tc>
          <w:tcPr>
            <w:tcW w:w="253" w:type="pct"/>
            <w:tcBorders>
              <w:top w:val="single" w:sz="4" w:space="0" w:color="auto"/>
              <w:left w:val="single" w:sz="8" w:space="0" w:color="auto"/>
              <w:bottom w:val="single" w:sz="8" w:space="0" w:color="auto"/>
              <w:right w:val="single" w:sz="8" w:space="0" w:color="auto"/>
            </w:tcBorders>
            <w:shd w:val="clear" w:color="auto" w:fill="C6EFCE"/>
          </w:tcPr>
          <w:p w14:paraId="1E7F1C04"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w:t>
            </w:r>
            <w:r w:rsidRPr="00B20686">
              <w:rPr>
                <w:rFonts w:ascii="Times New Roman" w:hAnsi="Times New Roman"/>
                <w:sz w:val="18"/>
                <w:szCs w:val="20"/>
              </w:rPr>
              <w:lastRenderedPageBreak/>
              <w:t>as</w:t>
            </w:r>
          </w:p>
        </w:tc>
        <w:tc>
          <w:tcPr>
            <w:tcW w:w="193" w:type="pct"/>
            <w:tcBorders>
              <w:top w:val="single" w:sz="4" w:space="0" w:color="auto"/>
              <w:left w:val="single" w:sz="8" w:space="0" w:color="auto"/>
              <w:bottom w:val="single" w:sz="8" w:space="0" w:color="auto"/>
              <w:right w:val="single" w:sz="8" w:space="0" w:color="auto"/>
            </w:tcBorders>
            <w:shd w:val="clear" w:color="auto" w:fill="C6EFCE"/>
          </w:tcPr>
          <w:p w14:paraId="0D627AE1"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lastRenderedPageBreak/>
              <w:t>Neattiec</w:t>
            </w:r>
            <w:r w:rsidRPr="00B20686">
              <w:rPr>
                <w:rFonts w:ascii="Times New Roman" w:hAnsi="Times New Roman"/>
                <w:sz w:val="18"/>
                <w:szCs w:val="20"/>
              </w:rPr>
              <w:lastRenderedPageBreak/>
              <w:t>as</w:t>
            </w:r>
          </w:p>
        </w:tc>
        <w:tc>
          <w:tcPr>
            <w:tcW w:w="146" w:type="pct"/>
            <w:tcBorders>
              <w:top w:val="single" w:sz="4" w:space="0" w:color="auto"/>
              <w:left w:val="single" w:sz="8" w:space="0" w:color="auto"/>
              <w:bottom w:val="single" w:sz="8" w:space="0" w:color="auto"/>
              <w:right w:val="single" w:sz="8" w:space="0" w:color="auto"/>
            </w:tcBorders>
            <w:shd w:val="clear" w:color="auto" w:fill="C6EFCE"/>
          </w:tcPr>
          <w:p w14:paraId="1610D0C6"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lastRenderedPageBreak/>
              <w:t>3. cet.</w:t>
            </w:r>
          </w:p>
        </w:tc>
        <w:tc>
          <w:tcPr>
            <w:tcW w:w="193" w:type="pct"/>
            <w:tcBorders>
              <w:top w:val="single" w:sz="4" w:space="0" w:color="auto"/>
              <w:left w:val="single" w:sz="8" w:space="0" w:color="auto"/>
              <w:bottom w:val="single" w:sz="8" w:space="0" w:color="auto"/>
              <w:right w:val="single" w:sz="4" w:space="0" w:color="auto"/>
            </w:tcBorders>
            <w:shd w:val="clear" w:color="auto" w:fill="C6EFCE"/>
          </w:tcPr>
          <w:p w14:paraId="1E25F6E7"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202</w:t>
            </w:r>
            <w:r w:rsidRPr="00B20686">
              <w:rPr>
                <w:rFonts w:ascii="Times New Roman" w:hAnsi="Times New Roman"/>
                <w:sz w:val="18"/>
                <w:szCs w:val="20"/>
              </w:rPr>
              <w:lastRenderedPageBreak/>
              <w:t>6</w:t>
            </w:r>
          </w:p>
        </w:tc>
        <w:tc>
          <w:tcPr>
            <w:tcW w:w="422" w:type="pct"/>
            <w:tcBorders>
              <w:top w:val="single" w:sz="4" w:space="0" w:color="auto"/>
              <w:left w:val="single" w:sz="4" w:space="0" w:color="auto"/>
              <w:bottom w:val="single" w:sz="4" w:space="0" w:color="auto"/>
              <w:right w:val="single" w:sz="4" w:space="0" w:color="auto"/>
            </w:tcBorders>
            <w:shd w:val="clear" w:color="auto" w:fill="C6EFCE"/>
          </w:tcPr>
          <w:p w14:paraId="317DAD86" w14:textId="77777777" w:rsidR="001A3E6F" w:rsidRPr="00B20686" w:rsidRDefault="001A3E6F" w:rsidP="00B20686">
            <w:pPr>
              <w:widowControl w:val="0"/>
              <w:spacing w:after="0" w:line="240" w:lineRule="auto"/>
              <w:ind w:left="57" w:right="57"/>
              <w:jc w:val="both"/>
              <w:rPr>
                <w:rFonts w:ascii="Times New Roman" w:hAnsi="Times New Roman" w:cs="Calibri"/>
                <w:noProof/>
                <w:sz w:val="18"/>
                <w:szCs w:val="20"/>
              </w:rPr>
            </w:pPr>
            <w:r w:rsidRPr="00B20686">
              <w:rPr>
                <w:rFonts w:ascii="Times New Roman" w:hAnsi="Times New Roman"/>
                <w:sz w:val="18"/>
                <w:szCs w:val="20"/>
              </w:rPr>
              <w:lastRenderedPageBreak/>
              <w:t xml:space="preserve">Veselības </w:t>
            </w:r>
            <w:r w:rsidRPr="00B20686">
              <w:rPr>
                <w:rFonts w:ascii="Times New Roman" w:hAnsi="Times New Roman"/>
                <w:sz w:val="18"/>
                <w:szCs w:val="20"/>
              </w:rPr>
              <w:lastRenderedPageBreak/>
              <w:t>ministrija</w:t>
            </w:r>
          </w:p>
          <w:p w14:paraId="3D76AA99" w14:textId="77777777" w:rsidR="001A3E6F" w:rsidRPr="00B20686" w:rsidRDefault="001A3E6F" w:rsidP="00B20686">
            <w:pPr>
              <w:widowControl w:val="0"/>
              <w:spacing w:after="0" w:line="240" w:lineRule="auto"/>
              <w:ind w:left="57" w:right="57"/>
              <w:jc w:val="both"/>
              <w:rPr>
                <w:rFonts w:ascii="Times New Roman" w:hAnsi="Times New Roman" w:cs="Calibri"/>
                <w:noProof/>
                <w:sz w:val="18"/>
                <w:szCs w:val="20"/>
              </w:rPr>
            </w:pP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0C7B7CE9"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p>
        </w:tc>
        <w:tc>
          <w:tcPr>
            <w:tcW w:w="918" w:type="pct"/>
            <w:tcBorders>
              <w:top w:val="single" w:sz="4" w:space="0" w:color="auto"/>
              <w:left w:val="single" w:sz="4" w:space="0" w:color="auto"/>
              <w:bottom w:val="single" w:sz="4" w:space="0" w:color="auto"/>
              <w:right w:val="single" w:sz="4" w:space="0" w:color="auto"/>
            </w:tcBorders>
            <w:shd w:val="clear" w:color="auto" w:fill="C6EFCE"/>
          </w:tcPr>
          <w:p w14:paraId="7873BB80"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 xml:space="preserve">Kopsavilkuma </w:t>
            </w:r>
            <w:r w:rsidRPr="00B20686">
              <w:rPr>
                <w:rFonts w:ascii="Times New Roman" w:hAnsi="Times New Roman"/>
                <w:sz w:val="18"/>
                <w:szCs w:val="20"/>
              </w:rPr>
              <w:lastRenderedPageBreak/>
              <w:t>dokuments, kurā pienācīgi pamatots, kā tika apmierinoši sasniegts atskaites punkts (tostarp visi būtiskie elementi), kopā ar atbilstošām saitēm uz pamatojošajiem pierādījumiem.</w:t>
            </w:r>
          </w:p>
          <w:p w14:paraId="0AED1AEF"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Šā dokumenta pielikumā iekļauj šādus dokumentārus pierādījumus:</w:t>
            </w:r>
          </w:p>
          <w:p w14:paraId="452EF8FF"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a) to metodoloģisko dokumentu kopiju, kas attiecas uz onkoloģijas ārstēšanas infrastruktūru;</w:t>
            </w:r>
          </w:p>
          <w:p w14:paraId="361334FD" w14:textId="77777777" w:rsidR="001A3E6F" w:rsidRPr="00B20686" w:rsidRDefault="001A3E6F" w:rsidP="00B20686">
            <w:pPr>
              <w:widowControl w:val="0"/>
              <w:spacing w:after="0" w:line="240" w:lineRule="auto"/>
              <w:ind w:left="57" w:right="57"/>
              <w:rPr>
                <w:rFonts w:ascii="Times New Roman" w:hAnsi="Times New Roman"/>
                <w:noProof/>
                <w:sz w:val="18"/>
                <w:szCs w:val="20"/>
              </w:rPr>
            </w:pPr>
            <w:r w:rsidRPr="00B20686">
              <w:rPr>
                <w:rFonts w:ascii="Times New Roman" w:hAnsi="Times New Roman"/>
                <w:sz w:val="18"/>
                <w:szCs w:val="20"/>
              </w:rPr>
              <w:t>b) tā plānošanas dokumenta kopiju, ar kuru ievieš vienotu metodoloģisko vadību onkoloģijas jomā;</w:t>
            </w:r>
          </w:p>
          <w:p w14:paraId="19E4AC66"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 xml:space="preserve">c) metodoloģiskos dokumentus apstiprinošā </w:t>
            </w:r>
            <w:r w:rsidRPr="00B20686">
              <w:rPr>
                <w:rFonts w:ascii="Times New Roman" w:hAnsi="Times New Roman"/>
                <w:sz w:val="18"/>
                <w:szCs w:val="20"/>
              </w:rPr>
              <w:lastRenderedPageBreak/>
              <w:t>Veselības ministrijas vai tās padotībā esošās struktūras lēmuma kopiju.</w:t>
            </w:r>
          </w:p>
        </w:tc>
        <w:tc>
          <w:tcPr>
            <w:tcW w:w="766" w:type="pct"/>
            <w:tcBorders>
              <w:top w:val="single" w:sz="4" w:space="0" w:color="auto"/>
              <w:left w:val="single" w:sz="4" w:space="0" w:color="auto"/>
              <w:bottom w:val="single" w:sz="4" w:space="0" w:color="auto"/>
              <w:right w:val="single" w:sz="4" w:space="0" w:color="auto"/>
            </w:tcBorders>
            <w:shd w:val="clear" w:color="auto" w:fill="C6EFCE"/>
          </w:tcPr>
          <w:p w14:paraId="74B67A67" w14:textId="77777777" w:rsidR="001A3E6F" w:rsidRPr="00B20686" w:rsidRDefault="001A3E6F" w:rsidP="00B20686">
            <w:pPr>
              <w:widowControl w:val="0"/>
              <w:spacing w:after="0" w:line="240" w:lineRule="auto"/>
              <w:ind w:left="57" w:right="57"/>
              <w:rPr>
                <w:rFonts w:ascii="Times New Roman" w:eastAsia="Calibri" w:hAnsi="Times New Roman" w:cs="Times New Roman"/>
                <w:noProof/>
                <w:sz w:val="18"/>
                <w:szCs w:val="20"/>
              </w:rPr>
            </w:pPr>
            <w:r w:rsidRPr="00B20686">
              <w:rPr>
                <w:rFonts w:ascii="Times New Roman" w:hAnsi="Times New Roman"/>
                <w:sz w:val="18"/>
                <w:szCs w:val="20"/>
              </w:rPr>
              <w:lastRenderedPageBreak/>
              <w:t xml:space="preserve">Mērķis ir </w:t>
            </w:r>
            <w:r w:rsidRPr="00B20686">
              <w:rPr>
                <w:rFonts w:ascii="Times New Roman" w:hAnsi="Times New Roman"/>
                <w:sz w:val="18"/>
                <w:szCs w:val="20"/>
              </w:rPr>
              <w:lastRenderedPageBreak/>
              <w:t>sasniegts pēc tam, kad Veselības ministrija ir apstiprinājusi dokumentus, kas nodrošina vienotas metodoloģiskās vadības ieviešanu onkoloģijas jomā.</w:t>
            </w:r>
          </w:p>
        </w:tc>
      </w:tr>
      <w:tr w:rsidR="001A3E6F" w:rsidRPr="00B20686" w14:paraId="52C5995E" w14:textId="77777777" w:rsidTr="009E7D55">
        <w:trPr>
          <w:jc w:val="center"/>
        </w:trPr>
        <w:tc>
          <w:tcPr>
            <w:tcW w:w="155" w:type="pct"/>
            <w:tcBorders>
              <w:top w:val="single" w:sz="4" w:space="0" w:color="auto"/>
              <w:left w:val="single" w:sz="4" w:space="0" w:color="auto"/>
              <w:bottom w:val="single" w:sz="4" w:space="0" w:color="auto"/>
              <w:right w:val="single" w:sz="4" w:space="0" w:color="auto"/>
            </w:tcBorders>
            <w:shd w:val="clear" w:color="auto" w:fill="C6EFCE"/>
          </w:tcPr>
          <w:p w14:paraId="0A6DEF00"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lastRenderedPageBreak/>
              <w:t>135</w:t>
            </w:r>
          </w:p>
        </w:tc>
        <w:tc>
          <w:tcPr>
            <w:tcW w:w="337" w:type="pct"/>
            <w:tcBorders>
              <w:top w:val="single" w:sz="4" w:space="0" w:color="auto"/>
              <w:left w:val="single" w:sz="4" w:space="0" w:color="auto"/>
              <w:bottom w:val="single" w:sz="4" w:space="0" w:color="auto"/>
              <w:right w:val="single" w:sz="4" w:space="0" w:color="auto"/>
            </w:tcBorders>
            <w:shd w:val="clear" w:color="auto" w:fill="C6EFCE"/>
          </w:tcPr>
          <w:p w14:paraId="36768B32"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t>4.1.1.1.i.</w:t>
            </w:r>
          </w:p>
          <w:p w14:paraId="7CC6DFD7"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t>Atbalsts sabiedrības veselības pētījumu veikšanai</w:t>
            </w:r>
          </w:p>
        </w:tc>
        <w:tc>
          <w:tcPr>
            <w:tcW w:w="271" w:type="pct"/>
            <w:tcBorders>
              <w:top w:val="single" w:sz="4" w:space="0" w:color="auto"/>
              <w:left w:val="single" w:sz="4" w:space="0" w:color="auto"/>
              <w:bottom w:val="single" w:sz="4" w:space="0" w:color="auto"/>
              <w:right w:val="single" w:sz="4" w:space="0" w:color="auto"/>
            </w:tcBorders>
            <w:shd w:val="clear" w:color="auto" w:fill="C6EFCE"/>
          </w:tcPr>
          <w:p w14:paraId="748643C6"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Atskaites punkts</w:t>
            </w:r>
          </w:p>
        </w:tc>
        <w:tc>
          <w:tcPr>
            <w:tcW w:w="336" w:type="pct"/>
            <w:tcBorders>
              <w:top w:val="single" w:sz="4" w:space="0" w:color="auto"/>
              <w:left w:val="single" w:sz="4" w:space="0" w:color="auto"/>
              <w:bottom w:val="single" w:sz="4" w:space="0" w:color="auto"/>
              <w:right w:val="single" w:sz="4" w:space="0" w:color="auto"/>
            </w:tcBorders>
            <w:shd w:val="clear" w:color="auto" w:fill="C6EFCE"/>
          </w:tcPr>
          <w:p w14:paraId="5DE2E8C1"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Metodikas pieņemšana trīs pētījumiem ar mērķi uzlabot sabiedrības veselības politikas plānošanu un īstenošanu mikroorganismu rezistences, vakcinācijas un infekcijas slimību jomā</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65082E9E"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 xml:space="preserve">Veselības ministrija pieņem metodiku </w:t>
            </w:r>
          </w:p>
        </w:tc>
        <w:tc>
          <w:tcPr>
            <w:tcW w:w="241" w:type="pct"/>
            <w:tcBorders>
              <w:top w:val="single" w:sz="8" w:space="0" w:color="auto"/>
              <w:left w:val="single" w:sz="4" w:space="0" w:color="auto"/>
              <w:bottom w:val="single" w:sz="8" w:space="0" w:color="auto"/>
              <w:right w:val="single" w:sz="8" w:space="0" w:color="auto"/>
            </w:tcBorders>
            <w:shd w:val="clear" w:color="auto" w:fill="C6EFCE"/>
          </w:tcPr>
          <w:p w14:paraId="05F162EE"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253" w:type="pct"/>
            <w:tcBorders>
              <w:top w:val="single" w:sz="8" w:space="0" w:color="auto"/>
              <w:left w:val="single" w:sz="8" w:space="0" w:color="auto"/>
              <w:bottom w:val="single" w:sz="8" w:space="0" w:color="auto"/>
              <w:right w:val="single" w:sz="8" w:space="0" w:color="auto"/>
            </w:tcBorders>
            <w:shd w:val="clear" w:color="auto" w:fill="C6EFCE"/>
          </w:tcPr>
          <w:p w14:paraId="186CFDC9"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193" w:type="pct"/>
            <w:tcBorders>
              <w:top w:val="single" w:sz="8" w:space="0" w:color="auto"/>
              <w:left w:val="single" w:sz="8" w:space="0" w:color="auto"/>
              <w:bottom w:val="single" w:sz="8" w:space="0" w:color="auto"/>
              <w:right w:val="single" w:sz="8" w:space="0" w:color="auto"/>
            </w:tcBorders>
            <w:shd w:val="clear" w:color="auto" w:fill="C6EFCE"/>
          </w:tcPr>
          <w:p w14:paraId="2850B9C6"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146" w:type="pct"/>
            <w:tcBorders>
              <w:top w:val="single" w:sz="8" w:space="0" w:color="auto"/>
              <w:left w:val="single" w:sz="8" w:space="0" w:color="auto"/>
              <w:bottom w:val="single" w:sz="8" w:space="0" w:color="auto"/>
              <w:right w:val="single" w:sz="8" w:space="0" w:color="auto"/>
            </w:tcBorders>
            <w:shd w:val="clear" w:color="auto" w:fill="C6EFCE"/>
          </w:tcPr>
          <w:p w14:paraId="3BF3ABC9"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3. cet.</w:t>
            </w:r>
          </w:p>
        </w:tc>
        <w:tc>
          <w:tcPr>
            <w:tcW w:w="193" w:type="pct"/>
            <w:tcBorders>
              <w:top w:val="single" w:sz="8" w:space="0" w:color="auto"/>
              <w:left w:val="single" w:sz="8" w:space="0" w:color="auto"/>
              <w:bottom w:val="single" w:sz="8" w:space="0" w:color="auto"/>
              <w:right w:val="single" w:sz="4" w:space="0" w:color="auto"/>
            </w:tcBorders>
            <w:shd w:val="clear" w:color="auto" w:fill="C6EFCE"/>
          </w:tcPr>
          <w:p w14:paraId="0E12031B"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2022</w:t>
            </w:r>
          </w:p>
        </w:tc>
        <w:tc>
          <w:tcPr>
            <w:tcW w:w="422" w:type="pct"/>
            <w:tcBorders>
              <w:top w:val="single" w:sz="4" w:space="0" w:color="auto"/>
              <w:left w:val="single" w:sz="4" w:space="0" w:color="auto"/>
              <w:bottom w:val="single" w:sz="4" w:space="0" w:color="auto"/>
              <w:right w:val="single" w:sz="4" w:space="0" w:color="auto"/>
            </w:tcBorders>
            <w:shd w:val="clear" w:color="auto" w:fill="C6EFCE"/>
          </w:tcPr>
          <w:p w14:paraId="640DE86A" w14:textId="77777777" w:rsidR="001A3E6F" w:rsidRPr="00B20686" w:rsidRDefault="001A3E6F" w:rsidP="00B20686">
            <w:pPr>
              <w:widowControl w:val="0"/>
              <w:spacing w:after="0" w:line="240" w:lineRule="auto"/>
              <w:ind w:left="57" w:right="57"/>
              <w:jc w:val="both"/>
              <w:rPr>
                <w:rFonts w:ascii="Times New Roman" w:hAnsi="Times New Roman" w:cs="Calibri"/>
                <w:noProof/>
                <w:sz w:val="18"/>
                <w:szCs w:val="20"/>
              </w:rPr>
            </w:pPr>
            <w:r w:rsidRPr="00B20686">
              <w:rPr>
                <w:rFonts w:ascii="Times New Roman" w:hAnsi="Times New Roman"/>
                <w:sz w:val="18"/>
                <w:szCs w:val="20"/>
              </w:rPr>
              <w:t>Veselības ministrija un Slimību profilakses un kontroles centrs kā Veselības ministrijas pakļautībā esoša iestāde</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049A20E6"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p>
        </w:tc>
        <w:tc>
          <w:tcPr>
            <w:tcW w:w="918" w:type="pct"/>
            <w:tcBorders>
              <w:top w:val="single" w:sz="4" w:space="0" w:color="auto"/>
              <w:left w:val="single" w:sz="4" w:space="0" w:color="auto"/>
              <w:bottom w:val="single" w:sz="4" w:space="0" w:color="auto"/>
              <w:right w:val="single" w:sz="4" w:space="0" w:color="auto"/>
            </w:tcBorders>
            <w:shd w:val="clear" w:color="auto" w:fill="C6EFCE"/>
          </w:tcPr>
          <w:p w14:paraId="27ECCABC"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Kopsavilkuma dokuments, kurā pienācīgi pamatots, kā tika apmierinoši sasniegts atskaites punkts (tostarp visi būtiskie elementi), kopā ar atbilstošām saitēm uz pamatojošajiem pierādījumiem.</w:t>
            </w:r>
          </w:p>
          <w:p w14:paraId="422A4418"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Šā dokumenta pielikumā iekļauj šādus dokumentārus pierādījumus:</w:t>
            </w:r>
          </w:p>
          <w:p w14:paraId="6A833697"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a) apstiprināto metodiku pētījumiem mikroorganismu rezistences jomā (kopiju);</w:t>
            </w:r>
          </w:p>
          <w:p w14:paraId="46D231F2"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b) apstiprināto metodiku pētījumiem vakcinācijas jomā (kopiju);</w:t>
            </w:r>
          </w:p>
          <w:p w14:paraId="08D2EAC2"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 xml:space="preserve">c) apstiprināto </w:t>
            </w:r>
            <w:r w:rsidRPr="00B20686">
              <w:rPr>
                <w:rFonts w:ascii="Times New Roman" w:hAnsi="Times New Roman"/>
                <w:sz w:val="18"/>
                <w:szCs w:val="20"/>
              </w:rPr>
              <w:lastRenderedPageBreak/>
              <w:t>metodiku pētījumiem infekcijas mazināšanas jomā (kopiju);</w:t>
            </w:r>
          </w:p>
          <w:p w14:paraId="1E84BFCA"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d) Veselības ministrijas vai tās padotībā esošās struktūras lēmumus, ar kuriem apstiprina šo trīs pētījumu metodiku (kopijas).</w:t>
            </w:r>
          </w:p>
        </w:tc>
        <w:tc>
          <w:tcPr>
            <w:tcW w:w="766" w:type="pct"/>
            <w:tcBorders>
              <w:top w:val="single" w:sz="4" w:space="0" w:color="auto"/>
              <w:left w:val="single" w:sz="4" w:space="0" w:color="auto"/>
              <w:bottom w:val="single" w:sz="4" w:space="0" w:color="auto"/>
              <w:right w:val="single" w:sz="4" w:space="0" w:color="auto"/>
            </w:tcBorders>
            <w:shd w:val="clear" w:color="auto" w:fill="C6EFCE"/>
          </w:tcPr>
          <w:p w14:paraId="65BE5B68" w14:textId="77777777" w:rsidR="001A3E6F" w:rsidRPr="00B20686" w:rsidRDefault="001A3E6F" w:rsidP="00B20686">
            <w:pPr>
              <w:widowControl w:val="0"/>
              <w:spacing w:after="0" w:line="240" w:lineRule="auto"/>
              <w:ind w:left="57" w:right="57"/>
              <w:rPr>
                <w:rFonts w:ascii="Times New Roman" w:eastAsia="Calibri" w:hAnsi="Times New Roman" w:cs="Times New Roman"/>
                <w:noProof/>
                <w:sz w:val="18"/>
                <w:szCs w:val="20"/>
              </w:rPr>
            </w:pPr>
            <w:r w:rsidRPr="00B20686">
              <w:rPr>
                <w:rFonts w:ascii="Times New Roman" w:hAnsi="Times New Roman"/>
                <w:sz w:val="18"/>
                <w:szCs w:val="20"/>
              </w:rPr>
              <w:lastRenderedPageBreak/>
              <w:t>Atskaites punktu uzskata par sasniegtu pēc tam, kad Veselības ministrijas pakļautībā esoša iestāde ir izstrādājusi un Veselības ministrija ir pieņēmusi saskaņotu metodiku pētījumiem mikroorganismu rezistences (</w:t>
            </w:r>
            <w:r w:rsidRPr="00B20686">
              <w:rPr>
                <w:rFonts w:ascii="Times New Roman" w:hAnsi="Times New Roman"/>
                <w:i/>
                <w:iCs/>
                <w:sz w:val="18"/>
                <w:szCs w:val="20"/>
              </w:rPr>
              <w:t>AMR</w:t>
            </w:r>
            <w:r w:rsidRPr="00B20686">
              <w:rPr>
                <w:rFonts w:ascii="Times New Roman" w:hAnsi="Times New Roman"/>
                <w:sz w:val="18"/>
                <w:szCs w:val="20"/>
              </w:rPr>
              <w:t>), vakcinācijas un infekcijas mazināšanas jomā.</w:t>
            </w:r>
          </w:p>
        </w:tc>
      </w:tr>
      <w:tr w:rsidR="001A3E6F" w:rsidRPr="00B20686" w14:paraId="486F5AA4" w14:textId="77777777" w:rsidTr="009E7D55">
        <w:trPr>
          <w:jc w:val="center"/>
        </w:trPr>
        <w:tc>
          <w:tcPr>
            <w:tcW w:w="155" w:type="pct"/>
            <w:tcBorders>
              <w:top w:val="single" w:sz="4" w:space="0" w:color="auto"/>
              <w:left w:val="single" w:sz="4" w:space="0" w:color="auto"/>
              <w:bottom w:val="single" w:sz="4" w:space="0" w:color="auto"/>
              <w:right w:val="single" w:sz="4" w:space="0" w:color="auto"/>
            </w:tcBorders>
            <w:shd w:val="clear" w:color="auto" w:fill="C6EFCE"/>
          </w:tcPr>
          <w:p w14:paraId="01999D45"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136</w:t>
            </w:r>
          </w:p>
        </w:tc>
        <w:tc>
          <w:tcPr>
            <w:tcW w:w="337" w:type="pct"/>
            <w:tcBorders>
              <w:top w:val="single" w:sz="4" w:space="0" w:color="auto"/>
              <w:left w:val="single" w:sz="4" w:space="0" w:color="auto"/>
              <w:bottom w:val="single" w:sz="4" w:space="0" w:color="auto"/>
              <w:right w:val="single" w:sz="4" w:space="0" w:color="auto"/>
            </w:tcBorders>
            <w:shd w:val="clear" w:color="auto" w:fill="C6EFCE"/>
          </w:tcPr>
          <w:p w14:paraId="7D3305AD"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t>4.1.1.1.i.</w:t>
            </w:r>
          </w:p>
          <w:p w14:paraId="296DC519"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t>Atbalsts sabiedrības veselības pētījumu veikšanai</w:t>
            </w:r>
          </w:p>
        </w:tc>
        <w:tc>
          <w:tcPr>
            <w:tcW w:w="271" w:type="pct"/>
            <w:tcBorders>
              <w:top w:val="single" w:sz="4" w:space="0" w:color="auto"/>
              <w:left w:val="single" w:sz="4" w:space="0" w:color="auto"/>
              <w:bottom w:val="single" w:sz="4" w:space="0" w:color="auto"/>
              <w:right w:val="single" w:sz="4" w:space="0" w:color="auto"/>
            </w:tcBorders>
            <w:shd w:val="clear" w:color="auto" w:fill="C6EFCE"/>
          </w:tcPr>
          <w:p w14:paraId="732F09D9"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Atskaites punkts</w:t>
            </w:r>
          </w:p>
        </w:tc>
        <w:tc>
          <w:tcPr>
            <w:tcW w:w="336" w:type="pct"/>
            <w:tcBorders>
              <w:top w:val="single" w:sz="4" w:space="0" w:color="auto"/>
              <w:left w:val="single" w:sz="4" w:space="0" w:color="auto"/>
              <w:bottom w:val="single" w:sz="4" w:space="0" w:color="auto"/>
              <w:right w:val="single" w:sz="4" w:space="0" w:color="auto"/>
            </w:tcBorders>
            <w:shd w:val="clear" w:color="auto" w:fill="C6EFCE"/>
          </w:tcPr>
          <w:p w14:paraId="6E99CBC1"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Sabiedrības veselības pētniecība, kas veikta, lai uzlabotu sabiedrības veselības politikas plānošanu un īstenošanu mikroorganismu rezistences, vakcinācijas un infekcijas slimību jomā</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1D2AAA1F"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Publicēti sabiedrības veselības pētījumi</w:t>
            </w:r>
          </w:p>
        </w:tc>
        <w:tc>
          <w:tcPr>
            <w:tcW w:w="241" w:type="pct"/>
            <w:tcBorders>
              <w:top w:val="single" w:sz="8" w:space="0" w:color="auto"/>
              <w:left w:val="single" w:sz="4" w:space="0" w:color="auto"/>
              <w:bottom w:val="single" w:sz="8" w:space="0" w:color="auto"/>
              <w:right w:val="single" w:sz="8" w:space="0" w:color="auto"/>
            </w:tcBorders>
            <w:shd w:val="clear" w:color="auto" w:fill="C6EFCE"/>
          </w:tcPr>
          <w:p w14:paraId="08CD163F"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253" w:type="pct"/>
            <w:tcBorders>
              <w:top w:val="single" w:sz="8" w:space="0" w:color="auto"/>
              <w:left w:val="single" w:sz="8" w:space="0" w:color="auto"/>
              <w:bottom w:val="single" w:sz="8" w:space="0" w:color="auto"/>
              <w:right w:val="single" w:sz="8" w:space="0" w:color="auto"/>
            </w:tcBorders>
            <w:shd w:val="clear" w:color="auto" w:fill="C6EFCE"/>
          </w:tcPr>
          <w:p w14:paraId="3EDB1E18"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193" w:type="pct"/>
            <w:tcBorders>
              <w:top w:val="single" w:sz="8" w:space="0" w:color="auto"/>
              <w:left w:val="single" w:sz="8" w:space="0" w:color="auto"/>
              <w:bottom w:val="single" w:sz="8" w:space="0" w:color="auto"/>
              <w:right w:val="single" w:sz="8" w:space="0" w:color="auto"/>
            </w:tcBorders>
            <w:shd w:val="clear" w:color="auto" w:fill="C6EFCE"/>
          </w:tcPr>
          <w:p w14:paraId="771E42D3"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146" w:type="pct"/>
            <w:tcBorders>
              <w:top w:val="single" w:sz="8" w:space="0" w:color="auto"/>
              <w:left w:val="single" w:sz="8" w:space="0" w:color="auto"/>
              <w:bottom w:val="single" w:sz="8" w:space="0" w:color="auto"/>
              <w:right w:val="single" w:sz="8" w:space="0" w:color="auto"/>
            </w:tcBorders>
            <w:shd w:val="clear" w:color="auto" w:fill="C6EFCE"/>
          </w:tcPr>
          <w:p w14:paraId="5EF69D20"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4. cet.</w:t>
            </w:r>
          </w:p>
        </w:tc>
        <w:tc>
          <w:tcPr>
            <w:tcW w:w="193" w:type="pct"/>
            <w:tcBorders>
              <w:top w:val="single" w:sz="8" w:space="0" w:color="auto"/>
              <w:left w:val="single" w:sz="8" w:space="0" w:color="auto"/>
              <w:bottom w:val="single" w:sz="8" w:space="0" w:color="auto"/>
              <w:right w:val="single" w:sz="4" w:space="0" w:color="auto"/>
            </w:tcBorders>
            <w:shd w:val="clear" w:color="auto" w:fill="C6EFCE"/>
          </w:tcPr>
          <w:p w14:paraId="35F6B3DC"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2025</w:t>
            </w:r>
          </w:p>
        </w:tc>
        <w:tc>
          <w:tcPr>
            <w:tcW w:w="422" w:type="pct"/>
            <w:tcBorders>
              <w:top w:val="single" w:sz="4" w:space="0" w:color="auto"/>
              <w:left w:val="single" w:sz="4" w:space="0" w:color="auto"/>
              <w:bottom w:val="single" w:sz="4" w:space="0" w:color="auto"/>
              <w:right w:val="single" w:sz="4" w:space="0" w:color="auto"/>
            </w:tcBorders>
            <w:shd w:val="clear" w:color="auto" w:fill="C6EFCE"/>
          </w:tcPr>
          <w:p w14:paraId="545ED397" w14:textId="77777777" w:rsidR="001A3E6F" w:rsidRPr="00B20686" w:rsidRDefault="001A3E6F" w:rsidP="00B20686">
            <w:pPr>
              <w:widowControl w:val="0"/>
              <w:spacing w:after="0" w:line="240" w:lineRule="auto"/>
              <w:ind w:left="57" w:right="57"/>
              <w:jc w:val="both"/>
              <w:rPr>
                <w:rFonts w:ascii="Times New Roman" w:hAnsi="Times New Roman" w:cs="Calibri"/>
                <w:noProof/>
                <w:sz w:val="18"/>
                <w:szCs w:val="20"/>
              </w:rPr>
            </w:pPr>
            <w:r w:rsidRPr="00B20686">
              <w:rPr>
                <w:rFonts w:ascii="Times New Roman" w:hAnsi="Times New Roman"/>
                <w:sz w:val="18"/>
                <w:szCs w:val="20"/>
              </w:rPr>
              <w:t>Veselības ministrija un Slimību profilakses un kontroles centrs kā Veselības ministrijas pakļautībā esoša iestāde</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54E82B6F"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p>
        </w:tc>
        <w:tc>
          <w:tcPr>
            <w:tcW w:w="918" w:type="pct"/>
            <w:tcBorders>
              <w:top w:val="single" w:sz="4" w:space="0" w:color="auto"/>
              <w:left w:val="single" w:sz="4" w:space="0" w:color="auto"/>
              <w:bottom w:val="single" w:sz="4" w:space="0" w:color="auto"/>
              <w:right w:val="single" w:sz="4" w:space="0" w:color="auto"/>
            </w:tcBorders>
            <w:shd w:val="clear" w:color="auto" w:fill="C6EFCE"/>
          </w:tcPr>
          <w:p w14:paraId="69D72A85"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Kopsavilkuma dokuments, kurā pienācīgi pamatots, kā tika apmierinoši sasniegts atskaites punkts (tostarp visi būtiskie elementi), kopā ar atbilstošām saitēm uz pamatojošajiem pierādījumiem.</w:t>
            </w:r>
          </w:p>
          <w:p w14:paraId="7E87316A"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Šā dokumenta pielikumā iekļauj šādus dokumentārus pierādījumus:</w:t>
            </w:r>
          </w:p>
          <w:p w14:paraId="237FAE70"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 xml:space="preserve">a) mikroorganismu rezistences, </w:t>
            </w:r>
            <w:r w:rsidRPr="00B20686">
              <w:rPr>
                <w:rFonts w:ascii="Times New Roman" w:hAnsi="Times New Roman"/>
                <w:sz w:val="18"/>
                <w:szCs w:val="20"/>
              </w:rPr>
              <w:lastRenderedPageBreak/>
              <w:t>vakcinācijas un infekcijas mazināšanas jomā veikto pētījumu pieņemšanas aktu kopiju;</w:t>
            </w:r>
          </w:p>
          <w:p w14:paraId="7453CD22"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 xml:space="preserve">b) saites uz pētījumiem, kas publicēti Veselības ministrijas tīmekļvietnē. </w:t>
            </w:r>
          </w:p>
        </w:tc>
        <w:tc>
          <w:tcPr>
            <w:tcW w:w="766" w:type="pct"/>
            <w:tcBorders>
              <w:top w:val="single" w:sz="4" w:space="0" w:color="auto"/>
              <w:left w:val="single" w:sz="4" w:space="0" w:color="auto"/>
              <w:bottom w:val="single" w:sz="4" w:space="0" w:color="auto"/>
              <w:right w:val="single" w:sz="4" w:space="0" w:color="auto"/>
            </w:tcBorders>
            <w:shd w:val="clear" w:color="auto" w:fill="C6EFCE"/>
          </w:tcPr>
          <w:p w14:paraId="4DF1985F" w14:textId="77777777" w:rsidR="001A3E6F" w:rsidRPr="00B20686" w:rsidRDefault="001A3E6F" w:rsidP="00B20686">
            <w:pPr>
              <w:widowControl w:val="0"/>
              <w:spacing w:after="0" w:line="240" w:lineRule="auto"/>
              <w:ind w:left="57" w:right="57"/>
              <w:rPr>
                <w:rFonts w:ascii="Times New Roman" w:eastAsia="Calibri" w:hAnsi="Times New Roman" w:cs="Times New Roman"/>
                <w:noProof/>
                <w:sz w:val="18"/>
                <w:szCs w:val="20"/>
              </w:rPr>
            </w:pPr>
            <w:r w:rsidRPr="00B20686">
              <w:rPr>
                <w:rFonts w:ascii="Times New Roman" w:hAnsi="Times New Roman"/>
                <w:sz w:val="18"/>
                <w:szCs w:val="20"/>
              </w:rPr>
              <w:lastRenderedPageBreak/>
              <w:t xml:space="preserve">Veselības ministrijas pakļautībā esoša iestāde veikusi un publicējusi trīs pētījumus: 1) </w:t>
            </w:r>
            <w:r w:rsidRPr="00B20686">
              <w:rPr>
                <w:rFonts w:ascii="Times New Roman" w:hAnsi="Times New Roman"/>
                <w:i/>
                <w:iCs/>
                <w:sz w:val="18"/>
                <w:szCs w:val="20"/>
              </w:rPr>
              <w:t>AMR</w:t>
            </w:r>
            <w:r w:rsidRPr="00B20686">
              <w:rPr>
                <w:rFonts w:ascii="Times New Roman" w:hAnsi="Times New Roman"/>
                <w:sz w:val="18"/>
                <w:szCs w:val="20"/>
              </w:rPr>
              <w:t xml:space="preserve"> jomā – pētījumus par mikroorganismu rezistenci, lai noteiktu visefektīvākās intervences un uzraudzības metodes, 2) lai apzinātu nevakcinēšanās iemeslus un 3) lai infekcijas slimību jomā apzinātu infekcijas slimību izplatīšanās </w:t>
            </w:r>
            <w:r w:rsidRPr="00B20686">
              <w:rPr>
                <w:rFonts w:ascii="Times New Roman" w:hAnsi="Times New Roman"/>
                <w:sz w:val="18"/>
                <w:szCs w:val="20"/>
              </w:rPr>
              <w:lastRenderedPageBreak/>
              <w:t>riskus un to ietekmi uz sabiedrības veselības rādītājiem.</w:t>
            </w:r>
          </w:p>
        </w:tc>
      </w:tr>
      <w:tr w:rsidR="001A3E6F" w:rsidRPr="00B20686" w14:paraId="4E7A3AD3" w14:textId="77777777" w:rsidTr="009E7D55">
        <w:trPr>
          <w:jc w:val="center"/>
        </w:trPr>
        <w:tc>
          <w:tcPr>
            <w:tcW w:w="155" w:type="pct"/>
            <w:tcBorders>
              <w:top w:val="single" w:sz="4" w:space="0" w:color="auto"/>
              <w:left w:val="single" w:sz="4" w:space="0" w:color="auto"/>
              <w:bottom w:val="single" w:sz="4" w:space="0" w:color="auto"/>
              <w:right w:val="single" w:sz="4" w:space="0" w:color="auto"/>
            </w:tcBorders>
            <w:shd w:val="clear" w:color="auto" w:fill="C6EFCE"/>
          </w:tcPr>
          <w:p w14:paraId="72F50F28"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lastRenderedPageBreak/>
              <w:t>137</w:t>
            </w:r>
          </w:p>
        </w:tc>
        <w:tc>
          <w:tcPr>
            <w:tcW w:w="337" w:type="pct"/>
            <w:tcBorders>
              <w:top w:val="single" w:sz="4" w:space="0" w:color="auto"/>
              <w:left w:val="single" w:sz="4" w:space="0" w:color="auto"/>
              <w:bottom w:val="single" w:sz="4" w:space="0" w:color="auto"/>
              <w:right w:val="single" w:sz="4" w:space="0" w:color="auto"/>
            </w:tcBorders>
            <w:shd w:val="clear" w:color="auto" w:fill="C6EFCE"/>
          </w:tcPr>
          <w:p w14:paraId="3E53599B"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t>4.1.1.1.i.</w:t>
            </w:r>
          </w:p>
          <w:p w14:paraId="1EA174B0"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t>Atbalsts sabiedrības veselības pētījumu veikšanai</w:t>
            </w:r>
          </w:p>
        </w:tc>
        <w:tc>
          <w:tcPr>
            <w:tcW w:w="271" w:type="pct"/>
            <w:tcBorders>
              <w:top w:val="single" w:sz="4" w:space="0" w:color="auto"/>
              <w:left w:val="single" w:sz="4" w:space="0" w:color="auto"/>
              <w:bottom w:val="single" w:sz="4" w:space="0" w:color="auto"/>
              <w:right w:val="single" w:sz="4" w:space="0" w:color="auto"/>
            </w:tcBorders>
            <w:shd w:val="clear" w:color="auto" w:fill="C6EFCE"/>
          </w:tcPr>
          <w:p w14:paraId="33065490"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Atskaites punkts</w:t>
            </w:r>
          </w:p>
        </w:tc>
        <w:tc>
          <w:tcPr>
            <w:tcW w:w="336" w:type="pct"/>
            <w:tcBorders>
              <w:top w:val="single" w:sz="4" w:space="0" w:color="auto"/>
              <w:left w:val="single" w:sz="4" w:space="0" w:color="auto"/>
              <w:bottom w:val="single" w:sz="4" w:space="0" w:color="auto"/>
              <w:right w:val="single" w:sz="4" w:space="0" w:color="auto"/>
            </w:tcBorders>
            <w:shd w:val="clear" w:color="auto" w:fill="C6EFCE"/>
          </w:tcPr>
          <w:p w14:paraId="14E6DCE0"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Tādu tiesību aktu grozījumu stāšanās spēkā, kuru mērķis ir uzlabot sabiedrības veselības politikas plānošanu un īstenošanu tādās jomās kā mikroorganismu rezistence (</w:t>
            </w:r>
            <w:r w:rsidRPr="00B20686">
              <w:rPr>
                <w:rFonts w:ascii="Times New Roman" w:hAnsi="Times New Roman"/>
                <w:i/>
                <w:iCs/>
                <w:sz w:val="18"/>
                <w:szCs w:val="20"/>
              </w:rPr>
              <w:t>AMR</w:t>
            </w:r>
            <w:r w:rsidRPr="00B20686">
              <w:rPr>
                <w:rFonts w:ascii="Times New Roman" w:hAnsi="Times New Roman"/>
                <w:sz w:val="18"/>
                <w:szCs w:val="20"/>
              </w:rPr>
              <w:t>), vakcinācija un infekcijas slimības</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77B43891"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Pārskatīto tiesību aktu par sabiedrības veselības politikas plānošanu un īstenošanu stāšanās spēkā</w:t>
            </w:r>
          </w:p>
        </w:tc>
        <w:tc>
          <w:tcPr>
            <w:tcW w:w="241" w:type="pct"/>
            <w:tcBorders>
              <w:top w:val="single" w:sz="8" w:space="0" w:color="auto"/>
              <w:left w:val="single" w:sz="4" w:space="0" w:color="auto"/>
              <w:bottom w:val="single" w:sz="8" w:space="0" w:color="auto"/>
              <w:right w:val="single" w:sz="8" w:space="0" w:color="auto"/>
            </w:tcBorders>
            <w:shd w:val="clear" w:color="auto" w:fill="C6EFCE"/>
          </w:tcPr>
          <w:p w14:paraId="57EAFF8C"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253" w:type="pct"/>
            <w:tcBorders>
              <w:top w:val="single" w:sz="8" w:space="0" w:color="auto"/>
              <w:left w:val="single" w:sz="8" w:space="0" w:color="auto"/>
              <w:bottom w:val="single" w:sz="8" w:space="0" w:color="auto"/>
              <w:right w:val="single" w:sz="8" w:space="0" w:color="auto"/>
            </w:tcBorders>
            <w:shd w:val="clear" w:color="auto" w:fill="C6EFCE"/>
          </w:tcPr>
          <w:p w14:paraId="6D5A74D9"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193" w:type="pct"/>
            <w:tcBorders>
              <w:top w:val="single" w:sz="8" w:space="0" w:color="auto"/>
              <w:left w:val="single" w:sz="8" w:space="0" w:color="auto"/>
              <w:bottom w:val="single" w:sz="8" w:space="0" w:color="auto"/>
              <w:right w:val="single" w:sz="8" w:space="0" w:color="auto"/>
            </w:tcBorders>
            <w:shd w:val="clear" w:color="auto" w:fill="C6EFCE"/>
          </w:tcPr>
          <w:p w14:paraId="4241A49D"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146" w:type="pct"/>
            <w:tcBorders>
              <w:top w:val="single" w:sz="8" w:space="0" w:color="auto"/>
              <w:left w:val="single" w:sz="8" w:space="0" w:color="auto"/>
              <w:bottom w:val="single" w:sz="8" w:space="0" w:color="auto"/>
              <w:right w:val="single" w:sz="8" w:space="0" w:color="auto"/>
            </w:tcBorders>
            <w:shd w:val="clear" w:color="auto" w:fill="C6EFCE"/>
          </w:tcPr>
          <w:p w14:paraId="6B54F792"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3. cet.</w:t>
            </w:r>
          </w:p>
        </w:tc>
        <w:tc>
          <w:tcPr>
            <w:tcW w:w="193" w:type="pct"/>
            <w:tcBorders>
              <w:top w:val="single" w:sz="8" w:space="0" w:color="auto"/>
              <w:left w:val="single" w:sz="8" w:space="0" w:color="auto"/>
              <w:bottom w:val="single" w:sz="8" w:space="0" w:color="auto"/>
              <w:right w:val="single" w:sz="4" w:space="0" w:color="auto"/>
            </w:tcBorders>
            <w:shd w:val="clear" w:color="auto" w:fill="C6EFCE"/>
          </w:tcPr>
          <w:p w14:paraId="35AA8264"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2026</w:t>
            </w:r>
          </w:p>
        </w:tc>
        <w:tc>
          <w:tcPr>
            <w:tcW w:w="422" w:type="pct"/>
            <w:tcBorders>
              <w:top w:val="single" w:sz="4" w:space="0" w:color="auto"/>
              <w:left w:val="single" w:sz="4" w:space="0" w:color="auto"/>
              <w:bottom w:val="single" w:sz="4" w:space="0" w:color="auto"/>
              <w:right w:val="single" w:sz="4" w:space="0" w:color="auto"/>
            </w:tcBorders>
            <w:shd w:val="clear" w:color="auto" w:fill="C6EFCE"/>
          </w:tcPr>
          <w:p w14:paraId="695914F6" w14:textId="77777777" w:rsidR="001A3E6F" w:rsidRPr="00B20686" w:rsidRDefault="001A3E6F" w:rsidP="00B20686">
            <w:pPr>
              <w:widowControl w:val="0"/>
              <w:spacing w:after="0" w:line="240" w:lineRule="auto"/>
              <w:ind w:left="57" w:right="57"/>
              <w:jc w:val="both"/>
              <w:rPr>
                <w:rFonts w:ascii="Times New Roman" w:hAnsi="Times New Roman" w:cs="Calibri"/>
                <w:noProof/>
                <w:sz w:val="18"/>
                <w:szCs w:val="20"/>
              </w:rPr>
            </w:pPr>
            <w:r w:rsidRPr="00B20686">
              <w:rPr>
                <w:rFonts w:ascii="Times New Roman" w:hAnsi="Times New Roman"/>
                <w:sz w:val="18"/>
                <w:szCs w:val="20"/>
              </w:rPr>
              <w:t xml:space="preserve">Veselības ministrija </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19860B05"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p>
        </w:tc>
        <w:tc>
          <w:tcPr>
            <w:tcW w:w="918" w:type="pct"/>
            <w:tcBorders>
              <w:top w:val="single" w:sz="4" w:space="0" w:color="auto"/>
              <w:left w:val="single" w:sz="4" w:space="0" w:color="auto"/>
              <w:bottom w:val="single" w:sz="4" w:space="0" w:color="auto"/>
              <w:right w:val="single" w:sz="4" w:space="0" w:color="auto"/>
            </w:tcBorders>
            <w:shd w:val="clear" w:color="auto" w:fill="C6EFCE"/>
          </w:tcPr>
          <w:p w14:paraId="466176A3"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 xml:space="preserve">Kopija tiesību aktiem mikroorganismu rezistences, vakcinācijas un infekcijas slimību jomā un saite uz publikāciju oficiālajā izdevumā, tostarp atsauce uz noteikumu, kurā norādīta stāšanās spēkā, kopā ar kopsavilkuma dokumentu, kurā pienācīgi pamatots, kā tika apmierinoši sasniegts atskaites punkts (tostarp visi būtiskie </w:t>
            </w:r>
            <w:r w:rsidRPr="00B20686">
              <w:rPr>
                <w:rFonts w:ascii="Times New Roman" w:hAnsi="Times New Roman"/>
                <w:sz w:val="18"/>
                <w:szCs w:val="20"/>
              </w:rPr>
              <w:lastRenderedPageBreak/>
              <w:t>elementi), kopā ar atbilstošām saitēm uz pamatojošajiem pierādījumiem.</w:t>
            </w:r>
          </w:p>
          <w:p w14:paraId="2411316B"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Šajā dokumentā iekļauj skaidrojumu, kā mikroorganismu rezistences (</w:t>
            </w:r>
            <w:r w:rsidRPr="00B20686">
              <w:rPr>
                <w:rFonts w:ascii="Times New Roman" w:hAnsi="Times New Roman"/>
                <w:i/>
                <w:iCs/>
                <w:sz w:val="18"/>
                <w:szCs w:val="20"/>
              </w:rPr>
              <w:t>AMR</w:t>
            </w:r>
            <w:r w:rsidRPr="00B20686">
              <w:rPr>
                <w:rFonts w:ascii="Times New Roman" w:hAnsi="Times New Roman"/>
                <w:sz w:val="18"/>
                <w:szCs w:val="20"/>
              </w:rPr>
              <w:t>), vakcinācijas un infekcijas slimību jomā veikto pētījumu rezultāti tika ņemti vērā grozījumu sagatavošanā.</w:t>
            </w:r>
          </w:p>
        </w:tc>
        <w:tc>
          <w:tcPr>
            <w:tcW w:w="766" w:type="pct"/>
            <w:tcBorders>
              <w:top w:val="single" w:sz="4" w:space="0" w:color="auto"/>
              <w:left w:val="single" w:sz="4" w:space="0" w:color="auto"/>
              <w:bottom w:val="single" w:sz="4" w:space="0" w:color="auto"/>
              <w:right w:val="single" w:sz="4" w:space="0" w:color="auto"/>
            </w:tcBorders>
            <w:shd w:val="clear" w:color="auto" w:fill="C6EFCE"/>
          </w:tcPr>
          <w:p w14:paraId="42A1A66B" w14:textId="77777777" w:rsidR="001A3E6F" w:rsidRPr="00B20686" w:rsidRDefault="001A3E6F" w:rsidP="00B20686">
            <w:pPr>
              <w:widowControl w:val="0"/>
              <w:spacing w:after="0" w:line="240" w:lineRule="auto"/>
              <w:ind w:left="57" w:right="57"/>
              <w:rPr>
                <w:rFonts w:ascii="Times New Roman" w:eastAsia="Calibri" w:hAnsi="Times New Roman" w:cs="Times New Roman"/>
                <w:noProof/>
                <w:sz w:val="18"/>
                <w:szCs w:val="20"/>
              </w:rPr>
            </w:pPr>
            <w:r w:rsidRPr="00B20686">
              <w:rPr>
                <w:rFonts w:ascii="Times New Roman" w:hAnsi="Times New Roman"/>
                <w:sz w:val="18"/>
                <w:szCs w:val="20"/>
              </w:rPr>
              <w:lastRenderedPageBreak/>
              <w:t>Pamatojoties uz pētījumu rezultātiem mikroorganismu rezistences (</w:t>
            </w:r>
            <w:r w:rsidRPr="00B20686">
              <w:rPr>
                <w:rFonts w:ascii="Times New Roman" w:hAnsi="Times New Roman"/>
                <w:i/>
                <w:iCs/>
                <w:sz w:val="18"/>
                <w:szCs w:val="20"/>
              </w:rPr>
              <w:t>AMR</w:t>
            </w:r>
            <w:r w:rsidRPr="00B20686">
              <w:rPr>
                <w:rFonts w:ascii="Times New Roman" w:hAnsi="Times New Roman"/>
                <w:sz w:val="18"/>
                <w:szCs w:val="20"/>
              </w:rPr>
              <w:t xml:space="preserve">), vakcinācijas un infekcijas slimību jomā, stājas spēkā grozījumi juridiskos aktos, kuri saistīti ar sabiedrības veselības politiku, piemēram, ieteikumos slimnīcām, Latvijas Slimību profilakses un kontroles centra darba dokumentos, </w:t>
            </w:r>
            <w:r w:rsidRPr="00B20686">
              <w:rPr>
                <w:rFonts w:ascii="Times New Roman" w:hAnsi="Times New Roman"/>
                <w:sz w:val="18"/>
                <w:szCs w:val="20"/>
              </w:rPr>
              <w:lastRenderedPageBreak/>
              <w:t xml:space="preserve">vadlīnijās, tiek uzlabots vakcinācijas process. </w:t>
            </w:r>
          </w:p>
        </w:tc>
      </w:tr>
      <w:tr w:rsidR="001A3E6F" w:rsidRPr="00B20686" w14:paraId="186A678F" w14:textId="77777777" w:rsidTr="009E7D55">
        <w:trPr>
          <w:jc w:val="center"/>
        </w:trPr>
        <w:tc>
          <w:tcPr>
            <w:tcW w:w="155" w:type="pct"/>
            <w:tcBorders>
              <w:top w:val="single" w:sz="4" w:space="0" w:color="auto"/>
              <w:left w:val="single" w:sz="4" w:space="0" w:color="auto"/>
              <w:bottom w:val="single" w:sz="4" w:space="0" w:color="auto"/>
              <w:right w:val="single" w:sz="4" w:space="0" w:color="auto"/>
            </w:tcBorders>
            <w:shd w:val="clear" w:color="auto" w:fill="C6EFCE"/>
          </w:tcPr>
          <w:p w14:paraId="422F9655"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lastRenderedPageBreak/>
              <w:t>138</w:t>
            </w:r>
          </w:p>
        </w:tc>
        <w:tc>
          <w:tcPr>
            <w:tcW w:w="337" w:type="pct"/>
            <w:tcBorders>
              <w:top w:val="single" w:sz="4" w:space="0" w:color="auto"/>
              <w:left w:val="single" w:sz="4" w:space="0" w:color="auto"/>
              <w:bottom w:val="single" w:sz="4" w:space="0" w:color="auto"/>
              <w:right w:val="single" w:sz="4" w:space="0" w:color="auto"/>
            </w:tcBorders>
            <w:shd w:val="clear" w:color="auto" w:fill="C6EFCE"/>
          </w:tcPr>
          <w:p w14:paraId="36A70103"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t>4.1.1.2.i.</w:t>
            </w:r>
          </w:p>
          <w:p w14:paraId="3FDEAA87"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t>Atbalsts universitātes un reģionālo slimnīcu veselības aprūpes infrastruktūras stiprināšanai</w:t>
            </w:r>
          </w:p>
        </w:tc>
        <w:tc>
          <w:tcPr>
            <w:tcW w:w="271" w:type="pct"/>
            <w:tcBorders>
              <w:top w:val="single" w:sz="4" w:space="0" w:color="auto"/>
              <w:left w:val="single" w:sz="4" w:space="0" w:color="auto"/>
              <w:bottom w:val="single" w:sz="4" w:space="0" w:color="auto"/>
              <w:right w:val="single" w:sz="4" w:space="0" w:color="auto"/>
            </w:tcBorders>
            <w:shd w:val="clear" w:color="auto" w:fill="C6EFCE"/>
          </w:tcPr>
          <w:p w14:paraId="5C40E019"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Mērķis</w:t>
            </w:r>
          </w:p>
        </w:tc>
        <w:tc>
          <w:tcPr>
            <w:tcW w:w="336" w:type="pct"/>
            <w:tcBorders>
              <w:top w:val="single" w:sz="4" w:space="0" w:color="auto"/>
              <w:left w:val="single" w:sz="4" w:space="0" w:color="auto"/>
              <w:bottom w:val="single" w:sz="4" w:space="0" w:color="auto"/>
              <w:right w:val="single" w:sz="4" w:space="0" w:color="auto"/>
            </w:tcBorders>
            <w:shd w:val="clear" w:color="auto" w:fill="C6EFCE"/>
          </w:tcPr>
          <w:p w14:paraId="3FE1FDDE"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To projektu skaits, par kuriem saņemts pozitīvs tehnoloģiju komisijas atzinums par iekārtu atbilstību attiecīgo valsts finansēto pakalpojumu sniegšanai</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5BD4FEDF"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241" w:type="pct"/>
            <w:tcBorders>
              <w:top w:val="single" w:sz="8" w:space="0" w:color="auto"/>
              <w:left w:val="single" w:sz="4" w:space="0" w:color="auto"/>
              <w:bottom w:val="single" w:sz="8" w:space="0" w:color="auto"/>
              <w:right w:val="single" w:sz="8" w:space="0" w:color="auto"/>
            </w:tcBorders>
            <w:shd w:val="clear" w:color="auto" w:fill="C6EFCE"/>
          </w:tcPr>
          <w:p w14:paraId="154286F5"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Skaits</w:t>
            </w:r>
          </w:p>
        </w:tc>
        <w:tc>
          <w:tcPr>
            <w:tcW w:w="253" w:type="pct"/>
            <w:tcBorders>
              <w:top w:val="single" w:sz="8" w:space="0" w:color="auto"/>
              <w:left w:val="single" w:sz="8" w:space="0" w:color="auto"/>
              <w:bottom w:val="single" w:sz="8" w:space="0" w:color="auto"/>
              <w:right w:val="single" w:sz="8" w:space="0" w:color="auto"/>
            </w:tcBorders>
            <w:shd w:val="clear" w:color="auto" w:fill="C6EFCE"/>
          </w:tcPr>
          <w:p w14:paraId="34402598"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0</w:t>
            </w:r>
          </w:p>
        </w:tc>
        <w:tc>
          <w:tcPr>
            <w:tcW w:w="193" w:type="pct"/>
            <w:tcBorders>
              <w:top w:val="single" w:sz="8" w:space="0" w:color="auto"/>
              <w:left w:val="single" w:sz="8" w:space="0" w:color="auto"/>
              <w:bottom w:val="single" w:sz="8" w:space="0" w:color="auto"/>
              <w:right w:val="single" w:sz="8" w:space="0" w:color="auto"/>
            </w:tcBorders>
            <w:shd w:val="clear" w:color="auto" w:fill="C6EFCE"/>
          </w:tcPr>
          <w:p w14:paraId="1BEF01BA"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10</w:t>
            </w:r>
          </w:p>
        </w:tc>
        <w:tc>
          <w:tcPr>
            <w:tcW w:w="146" w:type="pct"/>
            <w:tcBorders>
              <w:top w:val="single" w:sz="8" w:space="0" w:color="auto"/>
              <w:left w:val="single" w:sz="8" w:space="0" w:color="auto"/>
              <w:bottom w:val="single" w:sz="8" w:space="0" w:color="auto"/>
              <w:right w:val="single" w:sz="8" w:space="0" w:color="auto"/>
            </w:tcBorders>
            <w:shd w:val="clear" w:color="auto" w:fill="C6EFCE"/>
          </w:tcPr>
          <w:p w14:paraId="3B21F751"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4. cet.</w:t>
            </w:r>
          </w:p>
        </w:tc>
        <w:tc>
          <w:tcPr>
            <w:tcW w:w="193" w:type="pct"/>
            <w:tcBorders>
              <w:top w:val="single" w:sz="8" w:space="0" w:color="auto"/>
              <w:left w:val="single" w:sz="8" w:space="0" w:color="auto"/>
              <w:bottom w:val="single" w:sz="8" w:space="0" w:color="auto"/>
              <w:right w:val="single" w:sz="4" w:space="0" w:color="auto"/>
            </w:tcBorders>
            <w:shd w:val="clear" w:color="auto" w:fill="C6EFCE"/>
          </w:tcPr>
          <w:p w14:paraId="2119A17D"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2022</w:t>
            </w:r>
          </w:p>
        </w:tc>
        <w:tc>
          <w:tcPr>
            <w:tcW w:w="422" w:type="pct"/>
            <w:tcBorders>
              <w:top w:val="single" w:sz="4" w:space="0" w:color="auto"/>
              <w:left w:val="single" w:sz="4" w:space="0" w:color="auto"/>
              <w:bottom w:val="single" w:sz="4" w:space="0" w:color="auto"/>
              <w:right w:val="single" w:sz="4" w:space="0" w:color="auto"/>
            </w:tcBorders>
            <w:shd w:val="clear" w:color="auto" w:fill="C6EFCE"/>
          </w:tcPr>
          <w:p w14:paraId="6F5501B0" w14:textId="77777777" w:rsidR="001A3E6F" w:rsidRPr="00B20686" w:rsidRDefault="001A3E6F" w:rsidP="00B20686">
            <w:pPr>
              <w:widowControl w:val="0"/>
              <w:spacing w:after="0" w:line="240" w:lineRule="auto"/>
              <w:ind w:left="57" w:right="57"/>
              <w:jc w:val="both"/>
              <w:rPr>
                <w:rFonts w:ascii="Times New Roman" w:hAnsi="Times New Roman" w:cs="Calibri"/>
                <w:noProof/>
                <w:sz w:val="18"/>
                <w:szCs w:val="20"/>
              </w:rPr>
            </w:pPr>
            <w:r w:rsidRPr="00B20686">
              <w:rPr>
                <w:rFonts w:ascii="Times New Roman" w:hAnsi="Times New Roman"/>
                <w:sz w:val="18"/>
                <w:szCs w:val="20"/>
              </w:rPr>
              <w:t xml:space="preserve">Veselības ministrija </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2B2EAF81"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p>
        </w:tc>
        <w:tc>
          <w:tcPr>
            <w:tcW w:w="918" w:type="pct"/>
            <w:tcBorders>
              <w:top w:val="single" w:sz="4" w:space="0" w:color="auto"/>
              <w:left w:val="single" w:sz="4" w:space="0" w:color="auto"/>
              <w:bottom w:val="single" w:sz="4" w:space="0" w:color="auto"/>
              <w:right w:val="single" w:sz="4" w:space="0" w:color="auto"/>
            </w:tcBorders>
            <w:shd w:val="clear" w:color="auto" w:fill="C6EFCE"/>
          </w:tcPr>
          <w:p w14:paraId="390FB75D"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2AFA39E9"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Šā dokumenta pielikumā iekļauj šādus dokumentārus pierādījumus:</w:t>
            </w:r>
          </w:p>
          <w:p w14:paraId="5C8C724A"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lastRenderedPageBreak/>
              <w:t>a) kopijas Tehnoloģiju komisijas pozitīviem atzinumiem par projektiem, kas saistīti ar medicīnas tehnoloģiju iegādi;</w:t>
            </w:r>
          </w:p>
          <w:p w14:paraId="13096823"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b) kopiju Veselības ministrijas lēmumam par medicīnas tehnoloģiju iegādes saskaņošanu katrā no desmit projektiem, kas atbalsta universitāšu un reģionālo slimnīcu veselības aprūpes infrastruktūru.</w:t>
            </w:r>
          </w:p>
        </w:tc>
        <w:tc>
          <w:tcPr>
            <w:tcW w:w="766" w:type="pct"/>
            <w:tcBorders>
              <w:top w:val="single" w:sz="4" w:space="0" w:color="auto"/>
              <w:left w:val="single" w:sz="4" w:space="0" w:color="auto"/>
              <w:bottom w:val="single" w:sz="4" w:space="0" w:color="auto"/>
              <w:right w:val="single" w:sz="4" w:space="0" w:color="auto"/>
            </w:tcBorders>
            <w:shd w:val="clear" w:color="auto" w:fill="C6EFCE"/>
          </w:tcPr>
          <w:p w14:paraId="6AECC5BA" w14:textId="77777777" w:rsidR="001A3E6F" w:rsidRPr="00B20686" w:rsidRDefault="001A3E6F" w:rsidP="00B20686">
            <w:pPr>
              <w:widowControl w:val="0"/>
              <w:spacing w:after="0" w:line="240" w:lineRule="auto"/>
              <w:ind w:left="57" w:right="57"/>
              <w:rPr>
                <w:rFonts w:ascii="Times New Roman" w:eastAsia="Calibri" w:hAnsi="Times New Roman" w:cs="Times New Roman"/>
                <w:noProof/>
                <w:sz w:val="18"/>
                <w:szCs w:val="20"/>
              </w:rPr>
            </w:pPr>
            <w:r w:rsidRPr="00B20686">
              <w:rPr>
                <w:rFonts w:ascii="Times New Roman" w:hAnsi="Times New Roman"/>
                <w:sz w:val="18"/>
                <w:szCs w:val="20"/>
              </w:rPr>
              <w:lastRenderedPageBreak/>
              <w:t xml:space="preserve">Mērķi uzskata par sasniegtu ar Veselības ministrijas pozitīvu lēmumu par medicīnas tehnoloģiju iegādes saskaņošanu katrā no desmit projektiem, kas atbalsta universitāšu un reģionālo slimnīcu veselības aprūpes infrastruktūru. Šo lēmumu sagatavo </w:t>
            </w:r>
            <w:r w:rsidRPr="00B20686">
              <w:rPr>
                <w:rFonts w:ascii="Times New Roman" w:hAnsi="Times New Roman"/>
                <w:sz w:val="18"/>
                <w:szCs w:val="20"/>
              </w:rPr>
              <w:lastRenderedPageBreak/>
              <w:t>attiecībā uz visiem projektiem. Ja šāda iegāde nav plānota, ir nepieciešams attiecīgs lēmums. Ja projekts ir saistīts ar medicīnas tehnoloģiju iegādi, tam vajadzīgs pozitīvs atzinums no Tehnoloģiju komisijas.</w:t>
            </w:r>
          </w:p>
        </w:tc>
      </w:tr>
      <w:tr w:rsidR="001A3E6F" w:rsidRPr="00B20686" w14:paraId="546B42B9" w14:textId="77777777" w:rsidTr="009E7D55">
        <w:trPr>
          <w:jc w:val="center"/>
        </w:trPr>
        <w:tc>
          <w:tcPr>
            <w:tcW w:w="155" w:type="pct"/>
            <w:tcBorders>
              <w:top w:val="single" w:sz="4" w:space="0" w:color="auto"/>
              <w:left w:val="single" w:sz="4" w:space="0" w:color="auto"/>
              <w:bottom w:val="single" w:sz="4" w:space="0" w:color="auto"/>
              <w:right w:val="single" w:sz="4" w:space="0" w:color="auto"/>
            </w:tcBorders>
            <w:shd w:val="clear" w:color="auto" w:fill="C6EFCE"/>
          </w:tcPr>
          <w:p w14:paraId="45139D82"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lastRenderedPageBreak/>
              <w:t>139</w:t>
            </w:r>
          </w:p>
        </w:tc>
        <w:tc>
          <w:tcPr>
            <w:tcW w:w="337" w:type="pct"/>
            <w:tcBorders>
              <w:top w:val="single" w:sz="4" w:space="0" w:color="auto"/>
              <w:left w:val="single" w:sz="4" w:space="0" w:color="auto"/>
              <w:bottom w:val="single" w:sz="4" w:space="0" w:color="auto"/>
              <w:right w:val="single" w:sz="4" w:space="0" w:color="auto"/>
            </w:tcBorders>
            <w:shd w:val="clear" w:color="auto" w:fill="C6EFCE"/>
          </w:tcPr>
          <w:p w14:paraId="1C8E65C9"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t>4.1.1.2.i.</w:t>
            </w:r>
          </w:p>
          <w:p w14:paraId="1DE39688"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t>Atbalsts universitātes un reģionālo slimnīcu veselības aprūpes infrastruktūras stiprināšanai</w:t>
            </w:r>
          </w:p>
        </w:tc>
        <w:tc>
          <w:tcPr>
            <w:tcW w:w="271" w:type="pct"/>
            <w:tcBorders>
              <w:top w:val="single" w:sz="4" w:space="0" w:color="auto"/>
              <w:left w:val="single" w:sz="4" w:space="0" w:color="auto"/>
              <w:bottom w:val="single" w:sz="4" w:space="0" w:color="auto"/>
              <w:right w:val="single" w:sz="4" w:space="0" w:color="auto"/>
            </w:tcBorders>
            <w:shd w:val="clear" w:color="auto" w:fill="C6EFCE"/>
          </w:tcPr>
          <w:p w14:paraId="3F128FF6"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Mērķis</w:t>
            </w:r>
          </w:p>
        </w:tc>
        <w:tc>
          <w:tcPr>
            <w:tcW w:w="336" w:type="pct"/>
            <w:tcBorders>
              <w:top w:val="single" w:sz="4" w:space="0" w:color="auto"/>
              <w:left w:val="single" w:sz="4" w:space="0" w:color="auto"/>
              <w:bottom w:val="single" w:sz="4" w:space="0" w:color="auto"/>
              <w:right w:val="single" w:sz="4" w:space="0" w:color="auto"/>
            </w:tcBorders>
            <w:shd w:val="clear" w:color="auto" w:fill="C6EFCE"/>
          </w:tcPr>
          <w:p w14:paraId="46299ED1"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 xml:space="preserve">Budžeta izpildes panākšana, ko mēra kā kopējo iepirkumu projektos, ar kuriem uzlabo universitāšu un reģionālo slimnīcu </w:t>
            </w:r>
            <w:r w:rsidRPr="00B20686">
              <w:rPr>
                <w:rFonts w:ascii="Times New Roman" w:hAnsi="Times New Roman"/>
                <w:sz w:val="18"/>
                <w:szCs w:val="20"/>
              </w:rPr>
              <w:lastRenderedPageBreak/>
              <w:t xml:space="preserve">infrastruktūru un kuri sasniedz vismaz 59 800 000 EUR no kopējā budžeta 149 500 000 EUR apmērā </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45BE9895"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lastRenderedPageBreak/>
              <w:t>Neattiecas</w:t>
            </w:r>
          </w:p>
        </w:tc>
        <w:tc>
          <w:tcPr>
            <w:tcW w:w="241" w:type="pct"/>
            <w:tcBorders>
              <w:top w:val="single" w:sz="8" w:space="0" w:color="auto"/>
              <w:left w:val="single" w:sz="4" w:space="0" w:color="auto"/>
              <w:bottom w:val="single" w:sz="8" w:space="0" w:color="auto"/>
              <w:right w:val="single" w:sz="8" w:space="0" w:color="auto"/>
            </w:tcBorders>
            <w:shd w:val="clear" w:color="auto" w:fill="C6EFCE"/>
          </w:tcPr>
          <w:p w14:paraId="3BF0721B"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 xml:space="preserve">miljoni EUR </w:t>
            </w:r>
          </w:p>
        </w:tc>
        <w:tc>
          <w:tcPr>
            <w:tcW w:w="253" w:type="pct"/>
            <w:tcBorders>
              <w:top w:val="single" w:sz="8" w:space="0" w:color="auto"/>
              <w:left w:val="single" w:sz="8" w:space="0" w:color="auto"/>
              <w:bottom w:val="single" w:sz="8" w:space="0" w:color="auto"/>
              <w:right w:val="single" w:sz="8" w:space="0" w:color="auto"/>
            </w:tcBorders>
            <w:shd w:val="clear" w:color="auto" w:fill="C6EFCE"/>
          </w:tcPr>
          <w:p w14:paraId="125657D1"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0</w:t>
            </w:r>
          </w:p>
        </w:tc>
        <w:tc>
          <w:tcPr>
            <w:tcW w:w="193" w:type="pct"/>
            <w:tcBorders>
              <w:top w:val="single" w:sz="8" w:space="0" w:color="auto"/>
              <w:left w:val="single" w:sz="8" w:space="0" w:color="auto"/>
              <w:bottom w:val="single" w:sz="8" w:space="0" w:color="auto"/>
              <w:right w:val="single" w:sz="8" w:space="0" w:color="auto"/>
            </w:tcBorders>
            <w:shd w:val="clear" w:color="auto" w:fill="C6EFCE"/>
          </w:tcPr>
          <w:p w14:paraId="1573B6E2"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59,8</w:t>
            </w:r>
          </w:p>
        </w:tc>
        <w:tc>
          <w:tcPr>
            <w:tcW w:w="146" w:type="pct"/>
            <w:tcBorders>
              <w:top w:val="single" w:sz="8" w:space="0" w:color="auto"/>
              <w:left w:val="single" w:sz="8" w:space="0" w:color="auto"/>
              <w:bottom w:val="single" w:sz="8" w:space="0" w:color="auto"/>
              <w:right w:val="single" w:sz="8" w:space="0" w:color="auto"/>
            </w:tcBorders>
            <w:shd w:val="clear" w:color="auto" w:fill="C6EFCE"/>
          </w:tcPr>
          <w:p w14:paraId="133BBA4C"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4. cet.</w:t>
            </w:r>
          </w:p>
        </w:tc>
        <w:tc>
          <w:tcPr>
            <w:tcW w:w="193" w:type="pct"/>
            <w:tcBorders>
              <w:top w:val="single" w:sz="8" w:space="0" w:color="auto"/>
              <w:left w:val="single" w:sz="8" w:space="0" w:color="auto"/>
              <w:bottom w:val="single" w:sz="8" w:space="0" w:color="auto"/>
              <w:right w:val="single" w:sz="4" w:space="0" w:color="auto"/>
            </w:tcBorders>
            <w:shd w:val="clear" w:color="auto" w:fill="C6EFCE"/>
          </w:tcPr>
          <w:p w14:paraId="75669FF1"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2024</w:t>
            </w:r>
          </w:p>
        </w:tc>
        <w:tc>
          <w:tcPr>
            <w:tcW w:w="422" w:type="pct"/>
            <w:tcBorders>
              <w:top w:val="single" w:sz="4" w:space="0" w:color="auto"/>
              <w:left w:val="single" w:sz="4" w:space="0" w:color="auto"/>
              <w:bottom w:val="single" w:sz="4" w:space="0" w:color="auto"/>
              <w:right w:val="single" w:sz="4" w:space="0" w:color="auto"/>
            </w:tcBorders>
            <w:shd w:val="clear" w:color="auto" w:fill="C6EFCE"/>
          </w:tcPr>
          <w:p w14:paraId="7D12D270" w14:textId="77777777" w:rsidR="001A3E6F" w:rsidRPr="00B20686" w:rsidRDefault="001A3E6F" w:rsidP="00B20686">
            <w:pPr>
              <w:widowControl w:val="0"/>
              <w:spacing w:after="0" w:line="240" w:lineRule="auto"/>
              <w:ind w:left="57" w:right="57"/>
              <w:jc w:val="both"/>
              <w:rPr>
                <w:rFonts w:ascii="Times New Roman" w:hAnsi="Times New Roman" w:cs="Calibri"/>
                <w:noProof/>
                <w:sz w:val="18"/>
                <w:szCs w:val="20"/>
              </w:rPr>
            </w:pPr>
            <w:r w:rsidRPr="00B20686">
              <w:rPr>
                <w:rFonts w:ascii="Times New Roman" w:hAnsi="Times New Roman"/>
                <w:sz w:val="18"/>
                <w:szCs w:val="20"/>
              </w:rPr>
              <w:t>Veselības ministrija</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5620167C"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p>
        </w:tc>
        <w:tc>
          <w:tcPr>
            <w:tcW w:w="918" w:type="pct"/>
            <w:tcBorders>
              <w:top w:val="single" w:sz="4" w:space="0" w:color="auto"/>
              <w:left w:val="single" w:sz="4" w:space="0" w:color="auto"/>
              <w:bottom w:val="single" w:sz="4" w:space="0" w:color="auto"/>
              <w:right w:val="single" w:sz="4" w:space="0" w:color="auto"/>
            </w:tcBorders>
            <w:shd w:val="clear" w:color="auto" w:fill="C6EFCE"/>
          </w:tcPr>
          <w:p w14:paraId="280B805E"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 xml:space="preserve">Kopsavilkuma dokuments, kurā pienācīgi pamatots, kā tika apmierinoši sasniegts mērķis (tostarp visi būtiskie elementi), kopā ar atbilstošām </w:t>
            </w:r>
            <w:r w:rsidRPr="00B20686">
              <w:rPr>
                <w:rFonts w:ascii="Times New Roman" w:hAnsi="Times New Roman"/>
                <w:sz w:val="18"/>
                <w:szCs w:val="20"/>
              </w:rPr>
              <w:lastRenderedPageBreak/>
              <w:t>saitēm uz pamatojošajiem pierādījumiem.</w:t>
            </w:r>
          </w:p>
          <w:p w14:paraId="5C487083"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Šā dokumenta pielikumā iekļauj šādus dokumentārus pierādījumus:</w:t>
            </w:r>
          </w:p>
          <w:p w14:paraId="62112DAD"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a) kopiju no vadības informācijas sistēmas (KPVIS), kas apstiprina apstrādāto iepirkumu kopējo summu;</w:t>
            </w:r>
          </w:p>
          <w:p w14:paraId="481228C1"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b) sarakstu, kurā norādīti projekti un nolīgtās summas;</w:t>
            </w:r>
          </w:p>
          <w:p w14:paraId="7BB244F5" w14:textId="77777777" w:rsidR="001A3E6F" w:rsidRPr="00B20686" w:rsidRDefault="001A3E6F" w:rsidP="00B20686">
            <w:pPr>
              <w:widowControl w:val="0"/>
              <w:spacing w:after="0" w:line="240" w:lineRule="auto"/>
              <w:ind w:left="57" w:right="57"/>
              <w:rPr>
                <w:rFonts w:ascii="Times New Roman" w:hAnsi="Times New Roman"/>
                <w:noProof/>
                <w:sz w:val="18"/>
                <w:szCs w:val="20"/>
              </w:rPr>
            </w:pPr>
            <w:r w:rsidRPr="00B20686">
              <w:rPr>
                <w:rFonts w:ascii="Times New Roman" w:hAnsi="Times New Roman"/>
                <w:sz w:val="18"/>
                <w:szCs w:val="20"/>
              </w:rPr>
              <w:t xml:space="preserve">c) izrakstu no attiecīgajām pabeigto iepirkumu konkursa specifikācijas daļām, kas apliecina atbilstību Padomes Īstenošanas lēmuma pielikumā sniegtajam mērķa un investīciju aprakstam, jo </w:t>
            </w:r>
            <w:r w:rsidRPr="00B20686">
              <w:rPr>
                <w:rFonts w:ascii="Times New Roman" w:hAnsi="Times New Roman"/>
                <w:sz w:val="18"/>
                <w:szCs w:val="20"/>
              </w:rPr>
              <w:lastRenderedPageBreak/>
              <w:t xml:space="preserve">īpaši ņemot vērā slimnīcu infrastruktūru un aprīkojumu, kas nepieciešams, lai nodrošinātu vispusīgu, ilgtspējīgu un integrētu veselības aprūpes pakalpojumu sniegšanu. </w:t>
            </w:r>
          </w:p>
        </w:tc>
        <w:tc>
          <w:tcPr>
            <w:tcW w:w="766" w:type="pct"/>
            <w:tcBorders>
              <w:top w:val="single" w:sz="4" w:space="0" w:color="auto"/>
              <w:left w:val="single" w:sz="4" w:space="0" w:color="auto"/>
              <w:bottom w:val="single" w:sz="4" w:space="0" w:color="auto"/>
              <w:right w:val="single" w:sz="4" w:space="0" w:color="auto"/>
            </w:tcBorders>
            <w:shd w:val="clear" w:color="auto" w:fill="C6EFCE"/>
          </w:tcPr>
          <w:p w14:paraId="010C6AD6" w14:textId="77777777" w:rsidR="001A3E6F" w:rsidRPr="00B20686" w:rsidRDefault="001A3E6F" w:rsidP="00B20686">
            <w:pPr>
              <w:widowControl w:val="0"/>
              <w:spacing w:after="0" w:line="240" w:lineRule="auto"/>
              <w:ind w:left="57" w:right="57"/>
              <w:rPr>
                <w:rFonts w:ascii="Times New Roman" w:eastAsia="Calibri" w:hAnsi="Times New Roman" w:cs="Times New Roman"/>
                <w:noProof/>
                <w:sz w:val="18"/>
                <w:szCs w:val="20"/>
              </w:rPr>
            </w:pPr>
            <w:r w:rsidRPr="00B20686">
              <w:rPr>
                <w:rFonts w:ascii="Times New Roman" w:hAnsi="Times New Roman"/>
                <w:sz w:val="18"/>
                <w:szCs w:val="20"/>
              </w:rPr>
              <w:lastRenderedPageBreak/>
              <w:t xml:space="preserve">Mērķi uzskata par sasniegtu, tiklīdz ir īstenoti vismaz 40 % no kopējā plānoto projektu apjoma 59 800 000 EUR apmērā – progresu mēra pēc projektu </w:t>
            </w:r>
            <w:r w:rsidRPr="00B20686">
              <w:rPr>
                <w:rFonts w:ascii="Times New Roman" w:hAnsi="Times New Roman"/>
                <w:sz w:val="18"/>
                <w:szCs w:val="20"/>
              </w:rPr>
              <w:lastRenderedPageBreak/>
              <w:t>kopējā iepirkuma (pabeigtie projekti) attiecībā pret kopējo plānoto investīciju apjomu 149 500 000 EUR apmērā infrastruktūrai un aprīkojumam trīs universitāšu un septiņām reģionālajām slimnīcām, lai nodrošinātu vispusīgu, ilgtspējīgu un integrētu veselības aprūpes pakalpojumu sniegšanu.</w:t>
            </w:r>
          </w:p>
        </w:tc>
      </w:tr>
      <w:tr w:rsidR="001A3E6F" w:rsidRPr="00B20686" w14:paraId="250AC18A" w14:textId="77777777" w:rsidTr="009E7D55">
        <w:trPr>
          <w:jc w:val="center"/>
        </w:trPr>
        <w:tc>
          <w:tcPr>
            <w:tcW w:w="155" w:type="pct"/>
            <w:tcBorders>
              <w:top w:val="single" w:sz="4" w:space="0" w:color="auto"/>
              <w:left w:val="single" w:sz="4" w:space="0" w:color="auto"/>
              <w:bottom w:val="single" w:sz="4" w:space="0" w:color="auto"/>
              <w:right w:val="single" w:sz="4" w:space="0" w:color="auto"/>
            </w:tcBorders>
            <w:shd w:val="clear" w:color="auto" w:fill="C6EFCE"/>
          </w:tcPr>
          <w:p w14:paraId="31EB88C7"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lastRenderedPageBreak/>
              <w:t>140</w:t>
            </w:r>
          </w:p>
        </w:tc>
        <w:tc>
          <w:tcPr>
            <w:tcW w:w="337" w:type="pct"/>
            <w:tcBorders>
              <w:top w:val="single" w:sz="4" w:space="0" w:color="auto"/>
              <w:left w:val="single" w:sz="4" w:space="0" w:color="auto"/>
              <w:bottom w:val="single" w:sz="4" w:space="0" w:color="auto"/>
              <w:right w:val="single" w:sz="4" w:space="0" w:color="auto"/>
            </w:tcBorders>
            <w:shd w:val="clear" w:color="auto" w:fill="C6EFCE"/>
          </w:tcPr>
          <w:p w14:paraId="33EB09DE"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t>4.1.1.2.i.</w:t>
            </w:r>
          </w:p>
          <w:p w14:paraId="5AE65FBD"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t>Atbalsts universitātes un reģionālo slimnīcu veselības aprūpes infrastruktūras stiprināšanai</w:t>
            </w:r>
          </w:p>
        </w:tc>
        <w:tc>
          <w:tcPr>
            <w:tcW w:w="271" w:type="pct"/>
            <w:tcBorders>
              <w:top w:val="single" w:sz="4" w:space="0" w:color="auto"/>
              <w:left w:val="single" w:sz="4" w:space="0" w:color="auto"/>
              <w:bottom w:val="single" w:sz="4" w:space="0" w:color="auto"/>
              <w:right w:val="single" w:sz="4" w:space="0" w:color="auto"/>
            </w:tcBorders>
            <w:shd w:val="clear" w:color="auto" w:fill="C6EFCE"/>
          </w:tcPr>
          <w:p w14:paraId="52F3CA8C"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Mērķis</w:t>
            </w:r>
          </w:p>
        </w:tc>
        <w:tc>
          <w:tcPr>
            <w:tcW w:w="336" w:type="pct"/>
            <w:tcBorders>
              <w:top w:val="single" w:sz="4" w:space="0" w:color="auto"/>
              <w:left w:val="single" w:sz="4" w:space="0" w:color="auto"/>
              <w:bottom w:val="single" w:sz="4" w:space="0" w:color="auto"/>
              <w:right w:val="single" w:sz="4" w:space="0" w:color="auto"/>
            </w:tcBorders>
            <w:shd w:val="clear" w:color="auto" w:fill="C6EFCE"/>
          </w:tcPr>
          <w:p w14:paraId="6DAE447C"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Slimnīcu skaits ar uzlabotu infrastruktūru</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51862AE7"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241" w:type="pct"/>
            <w:tcBorders>
              <w:top w:val="single" w:sz="8" w:space="0" w:color="auto"/>
              <w:left w:val="single" w:sz="4" w:space="0" w:color="auto"/>
              <w:bottom w:val="single" w:sz="8" w:space="0" w:color="auto"/>
              <w:right w:val="single" w:sz="8" w:space="0" w:color="auto"/>
            </w:tcBorders>
            <w:shd w:val="clear" w:color="auto" w:fill="C6EFCE"/>
          </w:tcPr>
          <w:p w14:paraId="2328C273"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Skaits</w:t>
            </w:r>
          </w:p>
        </w:tc>
        <w:tc>
          <w:tcPr>
            <w:tcW w:w="253" w:type="pct"/>
            <w:tcBorders>
              <w:top w:val="single" w:sz="8" w:space="0" w:color="auto"/>
              <w:left w:val="single" w:sz="8" w:space="0" w:color="auto"/>
              <w:bottom w:val="single" w:sz="8" w:space="0" w:color="auto"/>
              <w:right w:val="single" w:sz="8" w:space="0" w:color="auto"/>
            </w:tcBorders>
            <w:shd w:val="clear" w:color="auto" w:fill="C6EFCE"/>
          </w:tcPr>
          <w:p w14:paraId="6DB88A25"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0</w:t>
            </w:r>
          </w:p>
        </w:tc>
        <w:tc>
          <w:tcPr>
            <w:tcW w:w="193" w:type="pct"/>
            <w:tcBorders>
              <w:top w:val="single" w:sz="8" w:space="0" w:color="auto"/>
              <w:left w:val="single" w:sz="8" w:space="0" w:color="auto"/>
              <w:bottom w:val="single" w:sz="8" w:space="0" w:color="auto"/>
              <w:right w:val="single" w:sz="8" w:space="0" w:color="auto"/>
            </w:tcBorders>
            <w:shd w:val="clear" w:color="auto" w:fill="C6EFCE"/>
          </w:tcPr>
          <w:p w14:paraId="5B989B82"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10</w:t>
            </w:r>
          </w:p>
        </w:tc>
        <w:tc>
          <w:tcPr>
            <w:tcW w:w="146" w:type="pct"/>
            <w:tcBorders>
              <w:top w:val="single" w:sz="8" w:space="0" w:color="auto"/>
              <w:left w:val="single" w:sz="8" w:space="0" w:color="auto"/>
              <w:bottom w:val="single" w:sz="8" w:space="0" w:color="auto"/>
              <w:right w:val="single" w:sz="8" w:space="0" w:color="auto"/>
            </w:tcBorders>
            <w:shd w:val="clear" w:color="auto" w:fill="C6EFCE"/>
          </w:tcPr>
          <w:p w14:paraId="0892C3FD"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3. cet.</w:t>
            </w:r>
          </w:p>
        </w:tc>
        <w:tc>
          <w:tcPr>
            <w:tcW w:w="193" w:type="pct"/>
            <w:tcBorders>
              <w:top w:val="single" w:sz="8" w:space="0" w:color="auto"/>
              <w:left w:val="single" w:sz="8" w:space="0" w:color="auto"/>
              <w:bottom w:val="single" w:sz="8" w:space="0" w:color="auto"/>
              <w:right w:val="single" w:sz="4" w:space="0" w:color="auto"/>
            </w:tcBorders>
            <w:shd w:val="clear" w:color="auto" w:fill="C6EFCE"/>
          </w:tcPr>
          <w:p w14:paraId="01757AC2"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2026</w:t>
            </w:r>
          </w:p>
        </w:tc>
        <w:tc>
          <w:tcPr>
            <w:tcW w:w="422" w:type="pct"/>
            <w:tcBorders>
              <w:top w:val="single" w:sz="4" w:space="0" w:color="auto"/>
              <w:left w:val="single" w:sz="4" w:space="0" w:color="auto"/>
              <w:bottom w:val="single" w:sz="4" w:space="0" w:color="auto"/>
              <w:right w:val="single" w:sz="4" w:space="0" w:color="auto"/>
            </w:tcBorders>
            <w:shd w:val="clear" w:color="auto" w:fill="C6EFCE"/>
          </w:tcPr>
          <w:p w14:paraId="12F320A6" w14:textId="77777777" w:rsidR="001A3E6F" w:rsidRPr="00B20686" w:rsidRDefault="001A3E6F" w:rsidP="00B20686">
            <w:pPr>
              <w:widowControl w:val="0"/>
              <w:spacing w:after="0" w:line="240" w:lineRule="auto"/>
              <w:ind w:left="57" w:right="57"/>
              <w:jc w:val="both"/>
              <w:rPr>
                <w:rFonts w:ascii="Times New Roman" w:hAnsi="Times New Roman" w:cs="Calibri"/>
                <w:noProof/>
                <w:sz w:val="18"/>
                <w:szCs w:val="20"/>
              </w:rPr>
            </w:pPr>
            <w:r w:rsidRPr="00B20686">
              <w:rPr>
                <w:rFonts w:ascii="Times New Roman" w:hAnsi="Times New Roman"/>
                <w:sz w:val="18"/>
                <w:szCs w:val="20"/>
              </w:rPr>
              <w:t xml:space="preserve">Veselības ministrija </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14382E51"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p>
        </w:tc>
        <w:tc>
          <w:tcPr>
            <w:tcW w:w="918" w:type="pct"/>
            <w:tcBorders>
              <w:top w:val="single" w:sz="4" w:space="0" w:color="auto"/>
              <w:left w:val="single" w:sz="4" w:space="0" w:color="auto"/>
              <w:bottom w:val="single" w:sz="4" w:space="0" w:color="auto"/>
              <w:right w:val="single" w:sz="4" w:space="0" w:color="auto"/>
            </w:tcBorders>
            <w:shd w:val="clear" w:color="auto" w:fill="C6EFCE"/>
          </w:tcPr>
          <w:p w14:paraId="4A558645"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4E0CE709"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Šā dokumenta pielikumā iekļauj šādus dokumentārus pierādījumus par katru no šiem 10 projektiem:</w:t>
            </w:r>
          </w:p>
          <w:p w14:paraId="60081DE2"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 xml:space="preserve">a) īsu darbības aprakstu, kas apliecina atbilstību </w:t>
            </w:r>
            <w:r w:rsidRPr="00B20686">
              <w:rPr>
                <w:rFonts w:ascii="Times New Roman" w:hAnsi="Times New Roman"/>
                <w:sz w:val="18"/>
                <w:szCs w:val="20"/>
              </w:rPr>
              <w:lastRenderedPageBreak/>
              <w:t>Padomes Īstenošanas lēmuma pielikumā sniegtajam mērķa un investīciju aprakstam;</w:t>
            </w:r>
          </w:p>
          <w:p w14:paraId="326F4A3C"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b) pierādījumus par darbu pabeigšanu un par to, ka ēkas un/vai aprīkojums ir darba kārtībā un atbilst kvalitātes prasībām, piemēram, kopiju projekta virzītāja ziņojumam par projekta pabeigšanu un Centrālās finanšu un līgumu aģentūras apstiprinājumu par projekta pabeigšanu.</w:t>
            </w:r>
          </w:p>
        </w:tc>
        <w:tc>
          <w:tcPr>
            <w:tcW w:w="766" w:type="pct"/>
            <w:tcBorders>
              <w:top w:val="single" w:sz="4" w:space="0" w:color="auto"/>
              <w:left w:val="single" w:sz="4" w:space="0" w:color="auto"/>
              <w:bottom w:val="single" w:sz="4" w:space="0" w:color="auto"/>
              <w:right w:val="single" w:sz="4" w:space="0" w:color="auto"/>
            </w:tcBorders>
            <w:shd w:val="clear" w:color="auto" w:fill="C6EFCE"/>
          </w:tcPr>
          <w:p w14:paraId="727F9F2F" w14:textId="77777777" w:rsidR="001A3E6F" w:rsidRPr="00B20686" w:rsidRDefault="001A3E6F" w:rsidP="00B20686">
            <w:pPr>
              <w:widowControl w:val="0"/>
              <w:spacing w:after="0" w:line="240" w:lineRule="auto"/>
              <w:ind w:left="57" w:right="57"/>
              <w:rPr>
                <w:rFonts w:ascii="Times New Roman" w:eastAsia="Calibri" w:hAnsi="Times New Roman" w:cs="Times New Roman"/>
                <w:noProof/>
                <w:sz w:val="18"/>
                <w:szCs w:val="20"/>
              </w:rPr>
            </w:pPr>
            <w:r w:rsidRPr="00B20686">
              <w:rPr>
                <w:rFonts w:ascii="Times New Roman" w:hAnsi="Times New Roman"/>
                <w:sz w:val="18"/>
                <w:szCs w:val="20"/>
              </w:rPr>
              <w:lastRenderedPageBreak/>
              <w:t xml:space="preserve">Šo mērķi uzskata par sasniegtu, kad attīstības projekti trīs universitāšu un septiņās reģionālajās slimnīcās ir pabeigti saskaņā ar katra projekta tehnisko aprakstu, un to mērķis ir nodrošināt integrētiem veselības aprūpes pakalpojumiem nepieciešamo infrastruktūru, nodrošinot veselības aprūpes iestāžu spēju pielāgoties krīzes situācijām un nodrošinot </w:t>
            </w:r>
            <w:r w:rsidRPr="00B20686">
              <w:rPr>
                <w:rFonts w:ascii="Times New Roman" w:hAnsi="Times New Roman"/>
                <w:sz w:val="18"/>
                <w:szCs w:val="20"/>
              </w:rPr>
              <w:lastRenderedPageBreak/>
              <w:t xml:space="preserve">nepārtrauktus, ilgtspējīgus un kvalitatīvus valsts finansētus veselības aprūpes pakalpojumus. </w:t>
            </w:r>
          </w:p>
        </w:tc>
      </w:tr>
      <w:tr w:rsidR="001A3E6F" w:rsidRPr="00B20686" w14:paraId="1E2C31AA" w14:textId="77777777" w:rsidTr="009E7D55">
        <w:trPr>
          <w:jc w:val="center"/>
        </w:trPr>
        <w:tc>
          <w:tcPr>
            <w:tcW w:w="155" w:type="pct"/>
            <w:tcBorders>
              <w:top w:val="single" w:sz="4" w:space="0" w:color="auto"/>
              <w:left w:val="single" w:sz="4" w:space="0" w:color="auto"/>
              <w:bottom w:val="single" w:sz="4" w:space="0" w:color="auto"/>
              <w:right w:val="single" w:sz="4" w:space="0" w:color="auto"/>
            </w:tcBorders>
            <w:shd w:val="clear" w:color="auto" w:fill="C6EFCE"/>
          </w:tcPr>
          <w:p w14:paraId="28AFA187"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lastRenderedPageBreak/>
              <w:t>141</w:t>
            </w:r>
          </w:p>
        </w:tc>
        <w:tc>
          <w:tcPr>
            <w:tcW w:w="337" w:type="pct"/>
            <w:tcBorders>
              <w:top w:val="single" w:sz="4" w:space="0" w:color="auto"/>
              <w:left w:val="single" w:sz="4" w:space="0" w:color="auto"/>
              <w:bottom w:val="single" w:sz="4" w:space="0" w:color="auto"/>
              <w:right w:val="single" w:sz="4" w:space="0" w:color="auto"/>
            </w:tcBorders>
            <w:shd w:val="clear" w:color="auto" w:fill="C6EFCE"/>
          </w:tcPr>
          <w:p w14:paraId="74D47C13"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t>4.1.1.3.i.</w:t>
            </w:r>
          </w:p>
          <w:p w14:paraId="16A8E269"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t>Atbalsts sekundāro ambulatoro pakalpojumu sniedzēju veselības aprūpes infrastruktūr</w:t>
            </w:r>
            <w:r w:rsidRPr="00B20686">
              <w:rPr>
                <w:rFonts w:ascii="Times New Roman" w:hAnsi="Times New Roman"/>
                <w:b/>
                <w:sz w:val="18"/>
                <w:szCs w:val="20"/>
              </w:rPr>
              <w:lastRenderedPageBreak/>
              <w:t>as stiprināšanai</w:t>
            </w:r>
          </w:p>
        </w:tc>
        <w:tc>
          <w:tcPr>
            <w:tcW w:w="271" w:type="pct"/>
            <w:tcBorders>
              <w:top w:val="single" w:sz="4" w:space="0" w:color="auto"/>
              <w:left w:val="single" w:sz="4" w:space="0" w:color="auto"/>
              <w:bottom w:val="single" w:sz="4" w:space="0" w:color="auto"/>
              <w:right w:val="single" w:sz="4" w:space="0" w:color="auto"/>
            </w:tcBorders>
            <w:shd w:val="clear" w:color="auto" w:fill="C6EFCE"/>
          </w:tcPr>
          <w:p w14:paraId="68029335"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lastRenderedPageBreak/>
              <w:t>Mērķis</w:t>
            </w:r>
          </w:p>
        </w:tc>
        <w:tc>
          <w:tcPr>
            <w:tcW w:w="336" w:type="pct"/>
            <w:tcBorders>
              <w:top w:val="single" w:sz="4" w:space="0" w:color="auto"/>
              <w:left w:val="single" w:sz="4" w:space="0" w:color="auto"/>
              <w:bottom w:val="single" w:sz="4" w:space="0" w:color="auto"/>
              <w:right w:val="single" w:sz="4" w:space="0" w:color="auto"/>
            </w:tcBorders>
            <w:shd w:val="clear" w:color="auto" w:fill="C6EFCE"/>
          </w:tcPr>
          <w:p w14:paraId="45D659E1"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To sekundāro ambulatoro pakalpojumu sniedzēju skaits, kuriem ir uzlabota infrastruktūra</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4B42EFB8"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 xml:space="preserve"> Neattiecas</w:t>
            </w:r>
          </w:p>
        </w:tc>
        <w:tc>
          <w:tcPr>
            <w:tcW w:w="241" w:type="pct"/>
            <w:tcBorders>
              <w:top w:val="single" w:sz="8" w:space="0" w:color="auto"/>
              <w:left w:val="single" w:sz="4" w:space="0" w:color="auto"/>
              <w:bottom w:val="single" w:sz="8" w:space="0" w:color="auto"/>
              <w:right w:val="single" w:sz="8" w:space="0" w:color="auto"/>
            </w:tcBorders>
            <w:shd w:val="clear" w:color="auto" w:fill="C6EFCE"/>
          </w:tcPr>
          <w:p w14:paraId="61F33DA8"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Skaits</w:t>
            </w:r>
          </w:p>
        </w:tc>
        <w:tc>
          <w:tcPr>
            <w:tcW w:w="253" w:type="pct"/>
            <w:tcBorders>
              <w:top w:val="single" w:sz="8" w:space="0" w:color="auto"/>
              <w:left w:val="single" w:sz="8" w:space="0" w:color="auto"/>
              <w:bottom w:val="single" w:sz="8" w:space="0" w:color="auto"/>
              <w:right w:val="single" w:sz="8" w:space="0" w:color="auto"/>
            </w:tcBorders>
            <w:shd w:val="clear" w:color="auto" w:fill="C6EFCE"/>
          </w:tcPr>
          <w:p w14:paraId="4B9151BD"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0</w:t>
            </w:r>
          </w:p>
        </w:tc>
        <w:tc>
          <w:tcPr>
            <w:tcW w:w="193" w:type="pct"/>
            <w:tcBorders>
              <w:top w:val="single" w:sz="8" w:space="0" w:color="auto"/>
              <w:left w:val="single" w:sz="8" w:space="0" w:color="auto"/>
              <w:bottom w:val="single" w:sz="8" w:space="0" w:color="auto"/>
              <w:right w:val="single" w:sz="8" w:space="0" w:color="auto"/>
            </w:tcBorders>
            <w:shd w:val="clear" w:color="auto" w:fill="C6EFCE"/>
          </w:tcPr>
          <w:p w14:paraId="20F9953B"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20</w:t>
            </w:r>
          </w:p>
        </w:tc>
        <w:tc>
          <w:tcPr>
            <w:tcW w:w="146" w:type="pct"/>
            <w:tcBorders>
              <w:top w:val="single" w:sz="8" w:space="0" w:color="auto"/>
              <w:left w:val="single" w:sz="8" w:space="0" w:color="auto"/>
              <w:bottom w:val="single" w:sz="8" w:space="0" w:color="auto"/>
              <w:right w:val="single" w:sz="8" w:space="0" w:color="auto"/>
            </w:tcBorders>
            <w:shd w:val="clear" w:color="auto" w:fill="C6EFCE"/>
          </w:tcPr>
          <w:p w14:paraId="21DEBC8C"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4. cet.</w:t>
            </w:r>
          </w:p>
        </w:tc>
        <w:tc>
          <w:tcPr>
            <w:tcW w:w="193" w:type="pct"/>
            <w:tcBorders>
              <w:top w:val="single" w:sz="8" w:space="0" w:color="auto"/>
              <w:left w:val="single" w:sz="8" w:space="0" w:color="auto"/>
              <w:bottom w:val="single" w:sz="8" w:space="0" w:color="auto"/>
              <w:right w:val="single" w:sz="4" w:space="0" w:color="auto"/>
            </w:tcBorders>
            <w:shd w:val="clear" w:color="auto" w:fill="C6EFCE"/>
          </w:tcPr>
          <w:p w14:paraId="78F3FE9A"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2024</w:t>
            </w:r>
          </w:p>
        </w:tc>
        <w:tc>
          <w:tcPr>
            <w:tcW w:w="422" w:type="pct"/>
            <w:tcBorders>
              <w:top w:val="single" w:sz="4" w:space="0" w:color="auto"/>
              <w:left w:val="single" w:sz="4" w:space="0" w:color="auto"/>
              <w:bottom w:val="single" w:sz="4" w:space="0" w:color="auto"/>
              <w:right w:val="single" w:sz="4" w:space="0" w:color="auto"/>
            </w:tcBorders>
            <w:shd w:val="clear" w:color="auto" w:fill="C6EFCE"/>
          </w:tcPr>
          <w:p w14:paraId="437B5F8B" w14:textId="77777777" w:rsidR="001A3E6F" w:rsidRPr="00B20686" w:rsidRDefault="001A3E6F" w:rsidP="00B20686">
            <w:pPr>
              <w:widowControl w:val="0"/>
              <w:spacing w:after="0" w:line="240" w:lineRule="auto"/>
              <w:ind w:left="57" w:right="57"/>
              <w:jc w:val="both"/>
              <w:rPr>
                <w:rFonts w:ascii="Times New Roman" w:hAnsi="Times New Roman" w:cs="Calibri"/>
                <w:noProof/>
                <w:sz w:val="18"/>
                <w:szCs w:val="20"/>
              </w:rPr>
            </w:pPr>
            <w:r w:rsidRPr="00B20686">
              <w:rPr>
                <w:rFonts w:ascii="Times New Roman" w:hAnsi="Times New Roman"/>
                <w:sz w:val="18"/>
                <w:szCs w:val="20"/>
              </w:rPr>
              <w:t xml:space="preserve">Veselības ministrija </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6F0D2C3D"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p>
        </w:tc>
        <w:tc>
          <w:tcPr>
            <w:tcW w:w="918" w:type="pct"/>
            <w:tcBorders>
              <w:top w:val="single" w:sz="4" w:space="0" w:color="auto"/>
              <w:left w:val="single" w:sz="4" w:space="0" w:color="auto"/>
              <w:bottom w:val="single" w:sz="4" w:space="0" w:color="auto"/>
              <w:right w:val="single" w:sz="4" w:space="0" w:color="auto"/>
            </w:tcBorders>
            <w:shd w:val="clear" w:color="auto" w:fill="C6EFCE"/>
          </w:tcPr>
          <w:p w14:paraId="67670AB5"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 xml:space="preserve">Kopsavilkuma dokuments, kurā pienācīgi pamatots, kā tika apmierinoši sasniegts mērķis (tostarp visi būtiskie elementi), kopā ar </w:t>
            </w:r>
            <w:r w:rsidRPr="00B20686">
              <w:rPr>
                <w:rFonts w:ascii="Times New Roman" w:hAnsi="Times New Roman"/>
                <w:sz w:val="18"/>
                <w:szCs w:val="20"/>
              </w:rPr>
              <w:lastRenderedPageBreak/>
              <w:t>atbilstošām saitēm uz pamatojošajiem pierādījumiem.</w:t>
            </w:r>
          </w:p>
          <w:p w14:paraId="7712A6FB"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Šā dokumenta pielikumā iekļauj šādus dokumentārus pierādījumus – projektu sarakstu, un par katru no tiem:</w:t>
            </w:r>
          </w:p>
          <w:p w14:paraId="219CD43C" w14:textId="77777777" w:rsidR="001A3E6F" w:rsidRPr="00B20686" w:rsidRDefault="001A3E6F" w:rsidP="00B20686">
            <w:pPr>
              <w:widowControl w:val="0"/>
              <w:spacing w:after="0" w:line="240" w:lineRule="auto"/>
              <w:ind w:left="57" w:right="57"/>
              <w:rPr>
                <w:rFonts w:ascii="Times New Roman" w:hAnsi="Times New Roman"/>
                <w:noProof/>
                <w:sz w:val="18"/>
                <w:szCs w:val="20"/>
              </w:rPr>
            </w:pPr>
            <w:r w:rsidRPr="00B20686">
              <w:rPr>
                <w:rFonts w:ascii="Times New Roman" w:hAnsi="Times New Roman"/>
                <w:sz w:val="18"/>
                <w:szCs w:val="20"/>
              </w:rPr>
              <w:t>a) darbības aprakstu, kas apliecina atbilstību Padomes Īstenošanas lēmuma pielikumā sniegtajam mērķa un investīciju aprakstam, īpašu uzmanību pievēršot vismaz vienai no šādām jomām: 1) epidemioloģiskā drošība, 2) vides piekļūstamība un 3) integrēto aprūpes pakalpojumu infrastruktūra;</w:t>
            </w:r>
          </w:p>
          <w:p w14:paraId="1886CEC0"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 xml:space="preserve">b) kopiju projekta virzītāja ziņojumam par </w:t>
            </w:r>
            <w:r w:rsidRPr="00B20686">
              <w:rPr>
                <w:rFonts w:ascii="Times New Roman" w:hAnsi="Times New Roman"/>
                <w:sz w:val="18"/>
                <w:szCs w:val="20"/>
              </w:rPr>
              <w:lastRenderedPageBreak/>
              <w:t>projekta pabeigšanu un Centrālās finanšu un līgumu aģentūras apstiprinājumu par projekta pabeigšanu, kas apliecina darbu pabeigšanu un to, ka infrastruktūra un/vai aprīkojums ir darba kārtībā.</w:t>
            </w:r>
          </w:p>
        </w:tc>
        <w:tc>
          <w:tcPr>
            <w:tcW w:w="766" w:type="pct"/>
            <w:tcBorders>
              <w:top w:val="single" w:sz="4" w:space="0" w:color="auto"/>
              <w:left w:val="single" w:sz="4" w:space="0" w:color="auto"/>
              <w:bottom w:val="single" w:sz="4" w:space="0" w:color="auto"/>
              <w:right w:val="single" w:sz="4" w:space="0" w:color="auto"/>
            </w:tcBorders>
            <w:shd w:val="clear" w:color="auto" w:fill="C6EFCE"/>
          </w:tcPr>
          <w:p w14:paraId="06B66422" w14:textId="77777777" w:rsidR="001A3E6F" w:rsidRPr="00B20686" w:rsidRDefault="001A3E6F" w:rsidP="00B20686">
            <w:pPr>
              <w:widowControl w:val="0"/>
              <w:spacing w:after="0" w:line="240" w:lineRule="auto"/>
              <w:ind w:left="57" w:right="57"/>
              <w:rPr>
                <w:rFonts w:ascii="Times New Roman" w:eastAsia="Calibri" w:hAnsi="Times New Roman" w:cs="Times New Roman"/>
                <w:noProof/>
                <w:sz w:val="18"/>
                <w:szCs w:val="20"/>
              </w:rPr>
            </w:pPr>
            <w:r w:rsidRPr="00B20686">
              <w:rPr>
                <w:rFonts w:ascii="Times New Roman" w:hAnsi="Times New Roman"/>
                <w:sz w:val="18"/>
                <w:szCs w:val="20"/>
              </w:rPr>
              <w:lastRenderedPageBreak/>
              <w:t xml:space="preserve">Mērķi uzskata par sasniegtu pēc tam, kad ir pabeigti attīstības projekti sekundārās ambulatorās veselības aprūpes iestādēs, kuru </w:t>
            </w:r>
            <w:r w:rsidRPr="00B20686">
              <w:rPr>
                <w:rFonts w:ascii="Times New Roman" w:hAnsi="Times New Roman"/>
                <w:sz w:val="18"/>
                <w:szCs w:val="20"/>
              </w:rPr>
              <w:lastRenderedPageBreak/>
              <w:t>mērķis ir uzlabot 1) epidemioloģisko drošību, 2) vides piekļūstamību vai 3) integrēto aprūpes pakalpojumu infrastruktūru.</w:t>
            </w:r>
          </w:p>
        </w:tc>
      </w:tr>
      <w:tr w:rsidR="001A3E6F" w:rsidRPr="00B20686" w14:paraId="6DE4A741" w14:textId="77777777" w:rsidTr="009E7D55">
        <w:trPr>
          <w:jc w:val="center"/>
        </w:trPr>
        <w:tc>
          <w:tcPr>
            <w:tcW w:w="155" w:type="pct"/>
            <w:tcBorders>
              <w:top w:val="single" w:sz="4" w:space="0" w:color="auto"/>
              <w:left w:val="single" w:sz="4" w:space="0" w:color="auto"/>
              <w:bottom w:val="single" w:sz="4" w:space="0" w:color="auto"/>
              <w:right w:val="single" w:sz="4" w:space="0" w:color="auto"/>
            </w:tcBorders>
            <w:shd w:val="clear" w:color="auto" w:fill="C6EFCE"/>
          </w:tcPr>
          <w:p w14:paraId="2079FAE9"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lastRenderedPageBreak/>
              <w:t>142</w:t>
            </w:r>
          </w:p>
        </w:tc>
        <w:tc>
          <w:tcPr>
            <w:tcW w:w="337" w:type="pct"/>
            <w:tcBorders>
              <w:top w:val="single" w:sz="4" w:space="0" w:color="auto"/>
              <w:left w:val="single" w:sz="4" w:space="0" w:color="auto"/>
              <w:bottom w:val="single" w:sz="4" w:space="0" w:color="auto"/>
              <w:right w:val="single" w:sz="4" w:space="0" w:color="auto"/>
            </w:tcBorders>
            <w:shd w:val="clear" w:color="auto" w:fill="C6EFCE"/>
          </w:tcPr>
          <w:p w14:paraId="029B804F"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t>4.1.1.3.i.</w:t>
            </w:r>
          </w:p>
          <w:p w14:paraId="22960B00"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t>Atbalsts sekundāro ambulatoro pakalpojumu sniedzēju veselības aprūpes infrastruktūras stiprināšanai</w:t>
            </w:r>
          </w:p>
        </w:tc>
        <w:tc>
          <w:tcPr>
            <w:tcW w:w="271" w:type="pct"/>
            <w:tcBorders>
              <w:top w:val="single" w:sz="4" w:space="0" w:color="auto"/>
              <w:left w:val="single" w:sz="4" w:space="0" w:color="auto"/>
              <w:bottom w:val="single" w:sz="4" w:space="0" w:color="auto"/>
              <w:right w:val="single" w:sz="4" w:space="0" w:color="auto"/>
            </w:tcBorders>
            <w:shd w:val="clear" w:color="auto" w:fill="C6EFCE"/>
          </w:tcPr>
          <w:p w14:paraId="7130D099"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Mērķis</w:t>
            </w:r>
          </w:p>
        </w:tc>
        <w:tc>
          <w:tcPr>
            <w:tcW w:w="336" w:type="pct"/>
            <w:tcBorders>
              <w:top w:val="single" w:sz="4" w:space="0" w:color="auto"/>
              <w:left w:val="single" w:sz="4" w:space="0" w:color="auto"/>
              <w:bottom w:val="single" w:sz="4" w:space="0" w:color="auto"/>
              <w:right w:val="single" w:sz="4" w:space="0" w:color="auto"/>
            </w:tcBorders>
            <w:shd w:val="clear" w:color="auto" w:fill="C6EFCE"/>
          </w:tcPr>
          <w:p w14:paraId="78BF6701"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 xml:space="preserve">To sekundāro ambulatoro pakalpojumu sniedzēju skaits, kuriem ir uzlabota infrastruktūra </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61DF8114"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241" w:type="pct"/>
            <w:tcBorders>
              <w:top w:val="single" w:sz="8" w:space="0" w:color="auto"/>
              <w:left w:val="single" w:sz="4" w:space="0" w:color="auto"/>
              <w:bottom w:val="single" w:sz="8" w:space="0" w:color="auto"/>
              <w:right w:val="single" w:sz="8" w:space="0" w:color="auto"/>
            </w:tcBorders>
            <w:shd w:val="clear" w:color="auto" w:fill="C6EFCE"/>
          </w:tcPr>
          <w:p w14:paraId="5667D5E0"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Skaits</w:t>
            </w:r>
          </w:p>
        </w:tc>
        <w:tc>
          <w:tcPr>
            <w:tcW w:w="253" w:type="pct"/>
            <w:tcBorders>
              <w:top w:val="single" w:sz="8" w:space="0" w:color="auto"/>
              <w:left w:val="single" w:sz="8" w:space="0" w:color="auto"/>
              <w:bottom w:val="single" w:sz="8" w:space="0" w:color="auto"/>
              <w:right w:val="single" w:sz="8" w:space="0" w:color="auto"/>
            </w:tcBorders>
            <w:shd w:val="clear" w:color="auto" w:fill="C6EFCE"/>
          </w:tcPr>
          <w:p w14:paraId="6884C4A5"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20</w:t>
            </w:r>
          </w:p>
        </w:tc>
        <w:tc>
          <w:tcPr>
            <w:tcW w:w="193" w:type="pct"/>
            <w:tcBorders>
              <w:top w:val="single" w:sz="8" w:space="0" w:color="auto"/>
              <w:left w:val="single" w:sz="8" w:space="0" w:color="auto"/>
              <w:bottom w:val="single" w:sz="8" w:space="0" w:color="auto"/>
              <w:right w:val="single" w:sz="8" w:space="0" w:color="auto"/>
            </w:tcBorders>
            <w:shd w:val="clear" w:color="auto" w:fill="C6EFCE"/>
          </w:tcPr>
          <w:p w14:paraId="4878D8B7"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40</w:t>
            </w:r>
          </w:p>
        </w:tc>
        <w:tc>
          <w:tcPr>
            <w:tcW w:w="146" w:type="pct"/>
            <w:tcBorders>
              <w:top w:val="single" w:sz="8" w:space="0" w:color="auto"/>
              <w:left w:val="single" w:sz="8" w:space="0" w:color="auto"/>
              <w:bottom w:val="single" w:sz="8" w:space="0" w:color="auto"/>
              <w:right w:val="single" w:sz="8" w:space="0" w:color="auto"/>
            </w:tcBorders>
            <w:shd w:val="clear" w:color="auto" w:fill="C6EFCE"/>
          </w:tcPr>
          <w:p w14:paraId="5F1EB819"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3. cet.</w:t>
            </w:r>
          </w:p>
        </w:tc>
        <w:tc>
          <w:tcPr>
            <w:tcW w:w="193" w:type="pct"/>
            <w:tcBorders>
              <w:top w:val="single" w:sz="8" w:space="0" w:color="auto"/>
              <w:left w:val="single" w:sz="8" w:space="0" w:color="auto"/>
              <w:bottom w:val="single" w:sz="8" w:space="0" w:color="auto"/>
              <w:right w:val="single" w:sz="4" w:space="0" w:color="auto"/>
            </w:tcBorders>
            <w:shd w:val="clear" w:color="auto" w:fill="C6EFCE"/>
          </w:tcPr>
          <w:p w14:paraId="38898C32"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2026</w:t>
            </w:r>
          </w:p>
        </w:tc>
        <w:tc>
          <w:tcPr>
            <w:tcW w:w="422" w:type="pct"/>
            <w:tcBorders>
              <w:top w:val="single" w:sz="4" w:space="0" w:color="auto"/>
              <w:left w:val="single" w:sz="4" w:space="0" w:color="auto"/>
              <w:bottom w:val="single" w:sz="4" w:space="0" w:color="auto"/>
              <w:right w:val="single" w:sz="4" w:space="0" w:color="auto"/>
            </w:tcBorders>
            <w:shd w:val="clear" w:color="auto" w:fill="C6EFCE"/>
          </w:tcPr>
          <w:p w14:paraId="0FD43056" w14:textId="77777777" w:rsidR="001A3E6F" w:rsidRPr="00B20686" w:rsidRDefault="001A3E6F" w:rsidP="00B20686">
            <w:pPr>
              <w:widowControl w:val="0"/>
              <w:spacing w:after="0" w:line="240" w:lineRule="auto"/>
              <w:ind w:left="57" w:right="57"/>
              <w:jc w:val="both"/>
              <w:rPr>
                <w:rFonts w:ascii="Times New Roman" w:hAnsi="Times New Roman" w:cs="Calibri"/>
                <w:noProof/>
                <w:sz w:val="18"/>
                <w:szCs w:val="20"/>
              </w:rPr>
            </w:pPr>
            <w:r w:rsidRPr="00B20686">
              <w:rPr>
                <w:rFonts w:ascii="Times New Roman" w:hAnsi="Times New Roman"/>
                <w:sz w:val="18"/>
                <w:szCs w:val="20"/>
              </w:rPr>
              <w:t xml:space="preserve">Veselības ministrija </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5A4F025F"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p>
        </w:tc>
        <w:tc>
          <w:tcPr>
            <w:tcW w:w="918" w:type="pct"/>
            <w:tcBorders>
              <w:top w:val="single" w:sz="4" w:space="0" w:color="auto"/>
              <w:left w:val="single" w:sz="4" w:space="0" w:color="auto"/>
              <w:bottom w:val="single" w:sz="4" w:space="0" w:color="auto"/>
              <w:right w:val="single" w:sz="4" w:space="0" w:color="auto"/>
            </w:tcBorders>
            <w:shd w:val="clear" w:color="auto" w:fill="C6EFCE"/>
          </w:tcPr>
          <w:p w14:paraId="241ADA05"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352AADAF"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Šā dokumenta pielikumā iekļauj šādus dokumentārus pierādījumus – projektu sarakstu, un par katru no tiem:</w:t>
            </w:r>
          </w:p>
          <w:p w14:paraId="4155F16F" w14:textId="77777777" w:rsidR="001A3E6F" w:rsidRPr="00B20686" w:rsidRDefault="001A3E6F" w:rsidP="00B20686">
            <w:pPr>
              <w:widowControl w:val="0"/>
              <w:spacing w:after="0" w:line="240" w:lineRule="auto"/>
              <w:ind w:left="57" w:right="57"/>
              <w:rPr>
                <w:rFonts w:ascii="Times New Roman" w:hAnsi="Times New Roman"/>
                <w:noProof/>
                <w:sz w:val="18"/>
                <w:szCs w:val="20"/>
              </w:rPr>
            </w:pPr>
            <w:r w:rsidRPr="00B20686">
              <w:rPr>
                <w:rFonts w:ascii="Times New Roman" w:hAnsi="Times New Roman"/>
                <w:sz w:val="18"/>
                <w:szCs w:val="20"/>
              </w:rPr>
              <w:t xml:space="preserve">a) īsu darbības aprakstu, kas </w:t>
            </w:r>
            <w:r w:rsidRPr="00B20686">
              <w:rPr>
                <w:rFonts w:ascii="Times New Roman" w:hAnsi="Times New Roman"/>
                <w:sz w:val="18"/>
                <w:szCs w:val="20"/>
              </w:rPr>
              <w:lastRenderedPageBreak/>
              <w:t>apliecina atbilstību Padomes Īstenošanas lēmuma pielikumā sniegtajam mērķa un investīciju aprakstam, īpašu uzmanību pievēršot: 1) epidemioloģiskajai drošībai, 2) vides piekļūstamībai un 3) integrēto aprūpes pakalpojumu infrastruktūrai;</w:t>
            </w:r>
          </w:p>
          <w:p w14:paraId="191C0784"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b) pierādījumus par darbu pabeigšanu un par to, ka infrastruktūra un/vai aprīkojums ir darba kārtībā, piemēram, kopiju projekta virzītāja ziņojumam par projekta pabeigšanu un Centrālās finanšu un līgumu aģentūras apstiprinājumu par projekta pabeigšanu.</w:t>
            </w:r>
          </w:p>
        </w:tc>
        <w:tc>
          <w:tcPr>
            <w:tcW w:w="766" w:type="pct"/>
            <w:tcBorders>
              <w:top w:val="single" w:sz="4" w:space="0" w:color="auto"/>
              <w:left w:val="single" w:sz="4" w:space="0" w:color="auto"/>
              <w:bottom w:val="single" w:sz="4" w:space="0" w:color="auto"/>
              <w:right w:val="single" w:sz="4" w:space="0" w:color="auto"/>
            </w:tcBorders>
            <w:shd w:val="clear" w:color="auto" w:fill="C6EFCE"/>
          </w:tcPr>
          <w:p w14:paraId="635924C6" w14:textId="77777777" w:rsidR="001A3E6F" w:rsidRPr="00B20686" w:rsidRDefault="001A3E6F" w:rsidP="00B20686">
            <w:pPr>
              <w:widowControl w:val="0"/>
              <w:spacing w:after="0" w:line="240" w:lineRule="auto"/>
              <w:ind w:left="57" w:right="57"/>
              <w:rPr>
                <w:rFonts w:ascii="Times New Roman" w:eastAsia="Calibri" w:hAnsi="Times New Roman" w:cs="Times New Roman"/>
                <w:noProof/>
                <w:sz w:val="18"/>
                <w:szCs w:val="20"/>
              </w:rPr>
            </w:pPr>
            <w:r w:rsidRPr="00B20686">
              <w:rPr>
                <w:rFonts w:ascii="Times New Roman" w:hAnsi="Times New Roman"/>
                <w:sz w:val="18"/>
                <w:szCs w:val="20"/>
              </w:rPr>
              <w:lastRenderedPageBreak/>
              <w:t>Mērķi uzskata par sasniegtu pēc tam, kad ir pabeigti attīstības projekti vismaz 40 sekundārās ambulatorās veselības aprūpes iestādēs, kuru mērķis ir uzlabot: 1) epidemioloģisko drošību, 2) vides piekļūstamību vai 3) integrēto aprūpes pakalpojumu infrastruktūru.</w:t>
            </w:r>
          </w:p>
        </w:tc>
      </w:tr>
      <w:tr w:rsidR="001A3E6F" w:rsidRPr="00B20686" w14:paraId="5A12145E" w14:textId="77777777" w:rsidTr="009E7D55">
        <w:trPr>
          <w:jc w:val="center"/>
        </w:trPr>
        <w:tc>
          <w:tcPr>
            <w:tcW w:w="155" w:type="pct"/>
            <w:tcBorders>
              <w:top w:val="single" w:sz="4" w:space="0" w:color="auto"/>
              <w:left w:val="single" w:sz="4" w:space="0" w:color="auto"/>
              <w:bottom w:val="single" w:sz="4" w:space="0" w:color="auto"/>
              <w:right w:val="single" w:sz="4" w:space="0" w:color="auto"/>
            </w:tcBorders>
            <w:shd w:val="clear" w:color="auto" w:fill="C6EFCE"/>
          </w:tcPr>
          <w:p w14:paraId="77F154F5"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lastRenderedPageBreak/>
              <w:t>143</w:t>
            </w:r>
          </w:p>
        </w:tc>
        <w:tc>
          <w:tcPr>
            <w:tcW w:w="337" w:type="pct"/>
            <w:tcBorders>
              <w:top w:val="single" w:sz="4" w:space="0" w:color="auto"/>
              <w:left w:val="single" w:sz="4" w:space="0" w:color="auto"/>
              <w:bottom w:val="single" w:sz="4" w:space="0" w:color="auto"/>
              <w:right w:val="single" w:sz="4" w:space="0" w:color="auto"/>
            </w:tcBorders>
            <w:shd w:val="clear" w:color="auto" w:fill="C6EFCE"/>
          </w:tcPr>
          <w:p w14:paraId="00552E06"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t>4.2.1.r.</w:t>
            </w:r>
          </w:p>
          <w:p w14:paraId="5ED348C3"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t>Cilvēkresursu nodrošinājums un prasmju pilnveide</w:t>
            </w:r>
          </w:p>
        </w:tc>
        <w:tc>
          <w:tcPr>
            <w:tcW w:w="271" w:type="pct"/>
            <w:tcBorders>
              <w:top w:val="single" w:sz="4" w:space="0" w:color="auto"/>
              <w:left w:val="single" w:sz="4" w:space="0" w:color="auto"/>
              <w:bottom w:val="single" w:sz="4" w:space="0" w:color="auto"/>
              <w:right w:val="single" w:sz="4" w:space="0" w:color="auto"/>
            </w:tcBorders>
            <w:shd w:val="clear" w:color="auto" w:fill="C6EFCE"/>
          </w:tcPr>
          <w:p w14:paraId="6A9B3D9A"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Atskaites punkts</w:t>
            </w:r>
          </w:p>
        </w:tc>
        <w:tc>
          <w:tcPr>
            <w:tcW w:w="336" w:type="pct"/>
            <w:tcBorders>
              <w:top w:val="single" w:sz="4" w:space="0" w:color="auto"/>
              <w:left w:val="single" w:sz="4" w:space="0" w:color="auto"/>
              <w:bottom w:val="single" w:sz="4" w:space="0" w:color="auto"/>
              <w:right w:val="single" w:sz="4" w:space="0" w:color="auto"/>
            </w:tcBorders>
            <w:shd w:val="clear" w:color="auto" w:fill="C6EFCE"/>
          </w:tcPr>
          <w:p w14:paraId="60972039"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Cilvēkresursu attīstības stratēģija</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20BC1E66"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Latvijas iestādes ir pieņēmušas visaptverošu veselības aprūpes darbaspēka stratēģiju, kas ietver mūžizglītības un veselības aprūpes darbaspēka plānošanas modeļus</w:t>
            </w:r>
          </w:p>
        </w:tc>
        <w:tc>
          <w:tcPr>
            <w:tcW w:w="241" w:type="pct"/>
            <w:tcBorders>
              <w:top w:val="single" w:sz="8" w:space="0" w:color="auto"/>
              <w:left w:val="single" w:sz="4" w:space="0" w:color="auto"/>
              <w:bottom w:val="single" w:sz="8" w:space="0" w:color="auto"/>
              <w:right w:val="single" w:sz="8" w:space="0" w:color="auto"/>
            </w:tcBorders>
            <w:shd w:val="clear" w:color="auto" w:fill="C6EFCE"/>
          </w:tcPr>
          <w:p w14:paraId="6BE6F3E9"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253" w:type="pct"/>
            <w:tcBorders>
              <w:top w:val="single" w:sz="8" w:space="0" w:color="auto"/>
              <w:left w:val="single" w:sz="8" w:space="0" w:color="auto"/>
              <w:bottom w:val="single" w:sz="8" w:space="0" w:color="auto"/>
              <w:right w:val="single" w:sz="8" w:space="0" w:color="auto"/>
            </w:tcBorders>
            <w:shd w:val="clear" w:color="auto" w:fill="C6EFCE"/>
          </w:tcPr>
          <w:p w14:paraId="16282F14"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193" w:type="pct"/>
            <w:tcBorders>
              <w:top w:val="single" w:sz="8" w:space="0" w:color="auto"/>
              <w:left w:val="single" w:sz="8" w:space="0" w:color="auto"/>
              <w:bottom w:val="single" w:sz="8" w:space="0" w:color="auto"/>
              <w:right w:val="single" w:sz="8" w:space="0" w:color="auto"/>
            </w:tcBorders>
            <w:shd w:val="clear" w:color="auto" w:fill="C6EFCE"/>
          </w:tcPr>
          <w:p w14:paraId="1EA2C871"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146" w:type="pct"/>
            <w:tcBorders>
              <w:top w:val="single" w:sz="8" w:space="0" w:color="auto"/>
              <w:left w:val="single" w:sz="8" w:space="0" w:color="auto"/>
              <w:bottom w:val="single" w:sz="8" w:space="0" w:color="auto"/>
              <w:right w:val="single" w:sz="8" w:space="0" w:color="auto"/>
            </w:tcBorders>
            <w:shd w:val="clear" w:color="auto" w:fill="C6EFCE"/>
          </w:tcPr>
          <w:p w14:paraId="65F0570A"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2. cet.</w:t>
            </w:r>
          </w:p>
        </w:tc>
        <w:tc>
          <w:tcPr>
            <w:tcW w:w="193" w:type="pct"/>
            <w:tcBorders>
              <w:top w:val="single" w:sz="8" w:space="0" w:color="auto"/>
              <w:left w:val="single" w:sz="8" w:space="0" w:color="auto"/>
              <w:bottom w:val="single" w:sz="8" w:space="0" w:color="auto"/>
              <w:right w:val="single" w:sz="4" w:space="0" w:color="auto"/>
            </w:tcBorders>
            <w:shd w:val="clear" w:color="auto" w:fill="C6EFCE"/>
          </w:tcPr>
          <w:p w14:paraId="5047F91E"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2023</w:t>
            </w:r>
          </w:p>
        </w:tc>
        <w:tc>
          <w:tcPr>
            <w:tcW w:w="422" w:type="pct"/>
            <w:tcBorders>
              <w:top w:val="single" w:sz="4" w:space="0" w:color="auto"/>
              <w:left w:val="single" w:sz="4" w:space="0" w:color="auto"/>
              <w:bottom w:val="single" w:sz="4" w:space="0" w:color="auto"/>
              <w:right w:val="single" w:sz="4" w:space="0" w:color="auto"/>
            </w:tcBorders>
            <w:shd w:val="clear" w:color="auto" w:fill="C6EFCE"/>
          </w:tcPr>
          <w:p w14:paraId="742CCF9C" w14:textId="77777777" w:rsidR="001A3E6F" w:rsidRPr="00B20686" w:rsidRDefault="001A3E6F" w:rsidP="00B20686">
            <w:pPr>
              <w:widowControl w:val="0"/>
              <w:spacing w:after="0" w:line="240" w:lineRule="auto"/>
              <w:ind w:left="57" w:right="57"/>
              <w:jc w:val="both"/>
              <w:rPr>
                <w:rFonts w:ascii="Times New Roman" w:hAnsi="Times New Roman" w:cs="Calibri"/>
                <w:noProof/>
                <w:sz w:val="18"/>
                <w:szCs w:val="20"/>
              </w:rPr>
            </w:pPr>
            <w:r w:rsidRPr="00B20686">
              <w:rPr>
                <w:rFonts w:ascii="Times New Roman" w:hAnsi="Times New Roman"/>
                <w:sz w:val="18"/>
                <w:szCs w:val="20"/>
              </w:rPr>
              <w:t xml:space="preserve">Veselības ministrija </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76257A19"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p>
        </w:tc>
        <w:tc>
          <w:tcPr>
            <w:tcW w:w="918" w:type="pct"/>
            <w:tcBorders>
              <w:top w:val="single" w:sz="4" w:space="0" w:color="auto"/>
              <w:left w:val="single" w:sz="4" w:space="0" w:color="auto"/>
              <w:bottom w:val="single" w:sz="4" w:space="0" w:color="auto"/>
              <w:right w:val="single" w:sz="4" w:space="0" w:color="auto"/>
            </w:tcBorders>
            <w:shd w:val="clear" w:color="auto" w:fill="C6EFCE"/>
          </w:tcPr>
          <w:p w14:paraId="16C9F69D"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Veselības aprūpes darbaspēka stratēģijas publikācijas kopija un saite uz publikāciju oficiālajā izdevumā, tostarp atsauce uz noteikumu, kurā norādīta stāšanās spēkā, kam pievienots kopsavilkuma dokuments, kurā pienācīgi pamatots, kā tika apmierinoši sasniegts atskaites punkts (tostarp visi būtiskie elementi), kopā ar atbilstošām saitēm uz pamatojošajiem pierādījumiem.</w:t>
            </w:r>
          </w:p>
          <w:p w14:paraId="5D069D4E"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Šā dokumenta pielikumā iekļauj šādus dokumentārus pierādījumus:</w:t>
            </w:r>
          </w:p>
          <w:p w14:paraId="61CDA2FC" w14:textId="77777777" w:rsidR="001A3E6F" w:rsidRPr="00B20686" w:rsidRDefault="001A3E6F" w:rsidP="00B20686">
            <w:pPr>
              <w:widowControl w:val="0"/>
              <w:spacing w:after="0" w:line="240" w:lineRule="auto"/>
              <w:ind w:left="57" w:right="57"/>
              <w:rPr>
                <w:rFonts w:ascii="Times New Roman" w:hAnsi="Times New Roman"/>
                <w:noProof/>
                <w:sz w:val="18"/>
                <w:szCs w:val="20"/>
              </w:rPr>
            </w:pPr>
            <w:r w:rsidRPr="00B20686">
              <w:rPr>
                <w:rFonts w:ascii="Times New Roman" w:hAnsi="Times New Roman"/>
                <w:sz w:val="18"/>
                <w:szCs w:val="20"/>
              </w:rPr>
              <w:t xml:space="preserve">a) pierādījumu par konsultācijām ar sociālajiem partneriem un citām </w:t>
            </w:r>
            <w:r w:rsidRPr="00B20686">
              <w:rPr>
                <w:rFonts w:ascii="Times New Roman" w:hAnsi="Times New Roman"/>
                <w:sz w:val="18"/>
                <w:szCs w:val="20"/>
              </w:rPr>
              <w:lastRenderedPageBreak/>
              <w:t>ieinteresētajām personām;</w:t>
            </w:r>
          </w:p>
          <w:p w14:paraId="28F27BBC"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b) īsu aprakstu un izrakstus no attiecīgajiem noteikumiem, kas apliecina atbilstību Padomes Īstenošanas lēmuma pielikumā sniegtajam mērķa un investīciju aprakstam.</w:t>
            </w:r>
          </w:p>
        </w:tc>
        <w:tc>
          <w:tcPr>
            <w:tcW w:w="766" w:type="pct"/>
            <w:tcBorders>
              <w:top w:val="single" w:sz="4" w:space="0" w:color="auto"/>
              <w:left w:val="single" w:sz="4" w:space="0" w:color="auto"/>
              <w:bottom w:val="single" w:sz="4" w:space="0" w:color="auto"/>
              <w:right w:val="single" w:sz="4" w:space="0" w:color="auto"/>
            </w:tcBorders>
            <w:shd w:val="clear" w:color="auto" w:fill="C6EFCE"/>
          </w:tcPr>
          <w:p w14:paraId="79819B22" w14:textId="77777777" w:rsidR="001A3E6F" w:rsidRPr="00B20686" w:rsidRDefault="001A3E6F" w:rsidP="00B20686">
            <w:pPr>
              <w:widowControl w:val="0"/>
              <w:spacing w:after="0" w:line="240" w:lineRule="auto"/>
              <w:ind w:left="57" w:right="57"/>
              <w:rPr>
                <w:rFonts w:ascii="Times New Roman" w:eastAsia="Calibri" w:hAnsi="Times New Roman" w:cs="Times New Roman"/>
                <w:noProof/>
                <w:sz w:val="18"/>
                <w:szCs w:val="20"/>
              </w:rPr>
            </w:pPr>
            <w:r w:rsidRPr="00B20686">
              <w:rPr>
                <w:rFonts w:ascii="Times New Roman" w:hAnsi="Times New Roman"/>
                <w:sz w:val="18"/>
                <w:szCs w:val="20"/>
              </w:rPr>
              <w:lastRenderedPageBreak/>
              <w:t>Apspriežoties ar sociālajiem partneriem un citām ieinteresētajām personām, ir pieņemta cilvēkresursu attīstības stratēģija atbilstoši Ministru kabineta kārtības rullim.</w:t>
            </w:r>
          </w:p>
          <w:p w14:paraId="7C295E42" w14:textId="77777777" w:rsidR="001A3E6F" w:rsidRPr="00B20686" w:rsidRDefault="001A3E6F" w:rsidP="00B20686">
            <w:pPr>
              <w:widowControl w:val="0"/>
              <w:spacing w:after="0" w:line="240" w:lineRule="auto"/>
              <w:ind w:left="57" w:right="57"/>
              <w:rPr>
                <w:rFonts w:ascii="Times New Roman" w:eastAsia="Calibri" w:hAnsi="Times New Roman" w:cs="Times New Roman"/>
                <w:noProof/>
                <w:sz w:val="18"/>
                <w:szCs w:val="20"/>
              </w:rPr>
            </w:pPr>
            <w:r w:rsidRPr="00B20686">
              <w:rPr>
                <w:rFonts w:ascii="Times New Roman" w:hAnsi="Times New Roman"/>
                <w:sz w:val="18"/>
                <w:szCs w:val="20"/>
              </w:rPr>
              <w:t xml:space="preserve">Veselības aprūpes darbaspēka stratēģija nodrošina satvaru veselības aprūpes darbaspēka plānošanas mehānisma izstrādei, tostarp vajadzībai pēc augstākās izglītības līmeņa studiju un pēcdiploma studiju vietām, stabilas informācijas sistēmas, kas ietver atjauninātu informāciju individuālā līmenī par ārstniecības personu prasmju </w:t>
            </w:r>
            <w:r w:rsidRPr="00B20686">
              <w:rPr>
                <w:rFonts w:ascii="Times New Roman" w:hAnsi="Times New Roman"/>
                <w:sz w:val="18"/>
                <w:szCs w:val="20"/>
              </w:rPr>
              <w:lastRenderedPageBreak/>
              <w:t>un kompetenču pilnveidi viņu karjeras laikā, kā arī efektīvu mūžizglītības plānošanu un vadību. Stratēģijā izklāstīti arī veselības aprūpes atalgojuma modeļa principi.</w:t>
            </w:r>
          </w:p>
        </w:tc>
      </w:tr>
      <w:tr w:rsidR="001A3E6F" w:rsidRPr="00B20686" w14:paraId="7E8E047C" w14:textId="77777777" w:rsidTr="009E7D55">
        <w:trPr>
          <w:jc w:val="center"/>
        </w:trPr>
        <w:tc>
          <w:tcPr>
            <w:tcW w:w="155" w:type="pct"/>
            <w:tcBorders>
              <w:top w:val="single" w:sz="4" w:space="0" w:color="auto"/>
              <w:left w:val="single" w:sz="4" w:space="0" w:color="auto"/>
              <w:bottom w:val="single" w:sz="4" w:space="0" w:color="auto"/>
              <w:right w:val="single" w:sz="4" w:space="0" w:color="auto"/>
            </w:tcBorders>
            <w:shd w:val="clear" w:color="auto" w:fill="C6EFCE"/>
          </w:tcPr>
          <w:p w14:paraId="02A446E0"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lastRenderedPageBreak/>
              <w:t>144</w:t>
            </w:r>
          </w:p>
        </w:tc>
        <w:tc>
          <w:tcPr>
            <w:tcW w:w="337" w:type="pct"/>
            <w:tcBorders>
              <w:top w:val="single" w:sz="4" w:space="0" w:color="auto"/>
              <w:left w:val="single" w:sz="4" w:space="0" w:color="auto"/>
              <w:bottom w:val="single" w:sz="4" w:space="0" w:color="auto"/>
              <w:right w:val="single" w:sz="4" w:space="0" w:color="auto"/>
            </w:tcBorders>
            <w:shd w:val="clear" w:color="auto" w:fill="C6EFCE"/>
          </w:tcPr>
          <w:p w14:paraId="733FA1FD"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t>4.2.1.r.</w:t>
            </w:r>
          </w:p>
          <w:p w14:paraId="6B3663F7"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t>Cilvēkresursu nodrošinājums un prasmju pilnveide</w:t>
            </w:r>
          </w:p>
        </w:tc>
        <w:tc>
          <w:tcPr>
            <w:tcW w:w="271" w:type="pct"/>
            <w:tcBorders>
              <w:top w:val="single" w:sz="4" w:space="0" w:color="auto"/>
              <w:left w:val="single" w:sz="4" w:space="0" w:color="auto"/>
              <w:bottom w:val="single" w:sz="4" w:space="0" w:color="auto"/>
              <w:right w:val="single" w:sz="4" w:space="0" w:color="auto"/>
            </w:tcBorders>
            <w:shd w:val="clear" w:color="auto" w:fill="C6EFCE"/>
          </w:tcPr>
          <w:p w14:paraId="20A5F1A5"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Atskaites punkts</w:t>
            </w:r>
          </w:p>
        </w:tc>
        <w:tc>
          <w:tcPr>
            <w:tcW w:w="336" w:type="pct"/>
            <w:tcBorders>
              <w:top w:val="single" w:sz="4" w:space="0" w:color="auto"/>
              <w:left w:val="single" w:sz="4" w:space="0" w:color="auto"/>
              <w:bottom w:val="single" w:sz="4" w:space="0" w:color="auto"/>
              <w:right w:val="single" w:sz="4" w:space="0" w:color="auto"/>
            </w:tcBorders>
            <w:shd w:val="clear" w:color="auto" w:fill="C6EFCE"/>
          </w:tcPr>
          <w:p w14:paraId="1934049C"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 xml:space="preserve">Cilvēkresursu kartējuma pieņemšana veselības aprūpes jomā </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7BA19AF4"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Veselības ministrija ir izstrādājusi un apstiprinājusi cilvēkresursu kartējumu</w:t>
            </w:r>
          </w:p>
        </w:tc>
        <w:tc>
          <w:tcPr>
            <w:tcW w:w="241" w:type="pct"/>
            <w:tcBorders>
              <w:top w:val="single" w:sz="8" w:space="0" w:color="auto"/>
              <w:left w:val="single" w:sz="4" w:space="0" w:color="auto"/>
              <w:bottom w:val="single" w:sz="8" w:space="0" w:color="auto"/>
              <w:right w:val="single" w:sz="8" w:space="0" w:color="auto"/>
            </w:tcBorders>
            <w:shd w:val="clear" w:color="auto" w:fill="C6EFCE"/>
          </w:tcPr>
          <w:p w14:paraId="01C26B05"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253" w:type="pct"/>
            <w:tcBorders>
              <w:top w:val="single" w:sz="8" w:space="0" w:color="auto"/>
              <w:left w:val="single" w:sz="8" w:space="0" w:color="auto"/>
              <w:bottom w:val="single" w:sz="8" w:space="0" w:color="auto"/>
              <w:right w:val="single" w:sz="8" w:space="0" w:color="auto"/>
            </w:tcBorders>
            <w:shd w:val="clear" w:color="auto" w:fill="C6EFCE"/>
          </w:tcPr>
          <w:p w14:paraId="1A905358"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193" w:type="pct"/>
            <w:tcBorders>
              <w:top w:val="single" w:sz="8" w:space="0" w:color="auto"/>
              <w:left w:val="single" w:sz="8" w:space="0" w:color="auto"/>
              <w:bottom w:val="single" w:sz="8" w:space="0" w:color="auto"/>
              <w:right w:val="single" w:sz="8" w:space="0" w:color="auto"/>
            </w:tcBorders>
            <w:shd w:val="clear" w:color="auto" w:fill="C6EFCE"/>
          </w:tcPr>
          <w:p w14:paraId="2DDA171C"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146" w:type="pct"/>
            <w:tcBorders>
              <w:top w:val="single" w:sz="8" w:space="0" w:color="auto"/>
              <w:left w:val="single" w:sz="8" w:space="0" w:color="auto"/>
              <w:bottom w:val="single" w:sz="8" w:space="0" w:color="auto"/>
              <w:right w:val="single" w:sz="8" w:space="0" w:color="auto"/>
            </w:tcBorders>
            <w:shd w:val="clear" w:color="auto" w:fill="C6EFCE"/>
          </w:tcPr>
          <w:p w14:paraId="22B56A3C"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4. cet.</w:t>
            </w:r>
          </w:p>
        </w:tc>
        <w:tc>
          <w:tcPr>
            <w:tcW w:w="193" w:type="pct"/>
            <w:tcBorders>
              <w:top w:val="single" w:sz="8" w:space="0" w:color="auto"/>
              <w:left w:val="single" w:sz="8" w:space="0" w:color="auto"/>
              <w:bottom w:val="single" w:sz="8" w:space="0" w:color="auto"/>
              <w:right w:val="single" w:sz="4" w:space="0" w:color="auto"/>
            </w:tcBorders>
            <w:shd w:val="clear" w:color="auto" w:fill="C6EFCE"/>
          </w:tcPr>
          <w:p w14:paraId="24B94A34"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2023</w:t>
            </w:r>
          </w:p>
        </w:tc>
        <w:tc>
          <w:tcPr>
            <w:tcW w:w="422" w:type="pct"/>
            <w:tcBorders>
              <w:top w:val="single" w:sz="4" w:space="0" w:color="auto"/>
              <w:left w:val="single" w:sz="4" w:space="0" w:color="auto"/>
              <w:bottom w:val="single" w:sz="4" w:space="0" w:color="auto"/>
              <w:right w:val="single" w:sz="4" w:space="0" w:color="auto"/>
            </w:tcBorders>
            <w:shd w:val="clear" w:color="auto" w:fill="C6EFCE"/>
          </w:tcPr>
          <w:p w14:paraId="73606E86" w14:textId="77777777" w:rsidR="001A3E6F" w:rsidRPr="00B20686" w:rsidRDefault="001A3E6F" w:rsidP="00B20686">
            <w:pPr>
              <w:widowControl w:val="0"/>
              <w:spacing w:after="0" w:line="240" w:lineRule="auto"/>
              <w:ind w:left="57" w:right="57"/>
              <w:jc w:val="both"/>
              <w:rPr>
                <w:rFonts w:ascii="Times New Roman" w:hAnsi="Times New Roman" w:cs="Calibri"/>
                <w:noProof/>
                <w:sz w:val="18"/>
                <w:szCs w:val="20"/>
              </w:rPr>
            </w:pPr>
            <w:r w:rsidRPr="00B20686">
              <w:rPr>
                <w:rFonts w:ascii="Times New Roman" w:hAnsi="Times New Roman"/>
                <w:sz w:val="18"/>
                <w:szCs w:val="20"/>
              </w:rPr>
              <w:t xml:space="preserve">Veselības ministrija </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557D0F60"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Kartējumā iekļauj kopējo veselības aprūpes speciālistu skaitu valsts un privātajā sektorā.</w:t>
            </w:r>
          </w:p>
        </w:tc>
        <w:tc>
          <w:tcPr>
            <w:tcW w:w="918" w:type="pct"/>
            <w:tcBorders>
              <w:top w:val="single" w:sz="4" w:space="0" w:color="auto"/>
              <w:left w:val="single" w:sz="4" w:space="0" w:color="auto"/>
              <w:bottom w:val="single" w:sz="4" w:space="0" w:color="auto"/>
              <w:right w:val="single" w:sz="4" w:space="0" w:color="auto"/>
            </w:tcBorders>
            <w:shd w:val="clear" w:color="auto" w:fill="C6EFCE"/>
          </w:tcPr>
          <w:p w14:paraId="39C3CA17"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Kopsavilkuma dokuments, kurā pienācīgi pamatots, kā tika apmierinoši sasniegts atskaites punkts (tostarp visi būtiskie elementi), kopā ar atbilstošām saitēm uz pamatojošajiem pierādījumiem.</w:t>
            </w:r>
          </w:p>
          <w:p w14:paraId="272CA3A2"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 xml:space="preserve">Šajā dokumentā iekļauj saiti uz publikāciju, īsu ietverto tēmu aprakstu un tā pielikumā iekļauj apstiprinātā </w:t>
            </w:r>
            <w:r w:rsidRPr="00B20686">
              <w:rPr>
                <w:rFonts w:ascii="Times New Roman" w:hAnsi="Times New Roman"/>
                <w:sz w:val="18"/>
                <w:szCs w:val="20"/>
              </w:rPr>
              <w:lastRenderedPageBreak/>
              <w:t>kartējuma kopiju, kas apliecina atbilstību Padomes Īstenošanas lēmuma pielikumā sniegtajam atskaites punkta aprakstam.</w:t>
            </w:r>
          </w:p>
        </w:tc>
        <w:tc>
          <w:tcPr>
            <w:tcW w:w="766" w:type="pct"/>
            <w:tcBorders>
              <w:top w:val="single" w:sz="4" w:space="0" w:color="auto"/>
              <w:left w:val="single" w:sz="4" w:space="0" w:color="auto"/>
              <w:bottom w:val="single" w:sz="4" w:space="0" w:color="auto"/>
              <w:right w:val="single" w:sz="4" w:space="0" w:color="auto"/>
            </w:tcBorders>
            <w:shd w:val="clear" w:color="auto" w:fill="C6EFCE"/>
          </w:tcPr>
          <w:p w14:paraId="768E3811" w14:textId="77777777" w:rsidR="001A3E6F" w:rsidRPr="00B20686" w:rsidRDefault="001A3E6F" w:rsidP="00B20686">
            <w:pPr>
              <w:widowControl w:val="0"/>
              <w:spacing w:after="0" w:line="240" w:lineRule="auto"/>
              <w:ind w:left="57" w:right="57"/>
              <w:rPr>
                <w:rFonts w:ascii="Times New Roman" w:eastAsia="Calibri" w:hAnsi="Times New Roman" w:cs="Times New Roman"/>
                <w:noProof/>
                <w:sz w:val="18"/>
                <w:szCs w:val="20"/>
              </w:rPr>
            </w:pPr>
            <w:r w:rsidRPr="00B20686">
              <w:rPr>
                <w:rFonts w:ascii="Times New Roman" w:hAnsi="Times New Roman"/>
                <w:sz w:val="18"/>
                <w:szCs w:val="20"/>
              </w:rPr>
              <w:lastRenderedPageBreak/>
              <w:t>Cilvēkresursu kartēšana veselības aprūpes jomā ir pabeigta.</w:t>
            </w:r>
          </w:p>
          <w:p w14:paraId="4909E98C" w14:textId="77777777" w:rsidR="001A3E6F" w:rsidRPr="00B20686" w:rsidRDefault="001A3E6F" w:rsidP="00B20686">
            <w:pPr>
              <w:widowControl w:val="0"/>
              <w:spacing w:after="0" w:line="240" w:lineRule="auto"/>
              <w:ind w:left="57" w:right="57"/>
              <w:rPr>
                <w:rFonts w:ascii="Times New Roman" w:eastAsia="Calibri" w:hAnsi="Times New Roman" w:cs="Times New Roman"/>
                <w:noProof/>
                <w:sz w:val="18"/>
                <w:szCs w:val="20"/>
              </w:rPr>
            </w:pPr>
            <w:r w:rsidRPr="00B20686">
              <w:rPr>
                <w:rFonts w:ascii="Times New Roman" w:hAnsi="Times New Roman"/>
                <w:sz w:val="18"/>
                <w:szCs w:val="20"/>
              </w:rPr>
              <w:t>Kartējumā iekļauj detalizētu informāciju par to veselības aprūpes speciālistu skaitu, kuri strādā dažādās nozarēs valsts un privātajā sektorā visos aprūpes līmeņos.</w:t>
            </w:r>
          </w:p>
          <w:p w14:paraId="1C5185FD" w14:textId="77777777" w:rsidR="001A3E6F" w:rsidRPr="00B20686" w:rsidRDefault="001A3E6F" w:rsidP="00B20686">
            <w:pPr>
              <w:widowControl w:val="0"/>
              <w:spacing w:after="0" w:line="240" w:lineRule="auto"/>
              <w:ind w:left="57" w:right="57"/>
              <w:rPr>
                <w:rFonts w:ascii="Times New Roman" w:eastAsia="Calibri" w:hAnsi="Times New Roman" w:cs="Times New Roman"/>
                <w:noProof/>
                <w:sz w:val="18"/>
                <w:szCs w:val="20"/>
              </w:rPr>
            </w:pPr>
            <w:r w:rsidRPr="00B20686">
              <w:rPr>
                <w:rFonts w:ascii="Times New Roman" w:hAnsi="Times New Roman"/>
                <w:sz w:val="18"/>
                <w:szCs w:val="20"/>
              </w:rPr>
              <w:t xml:space="preserve">Kartējumā iekļauj arī detalizētu informāciju par veselības aprūpes speciālistu darba slodzi un </w:t>
            </w:r>
            <w:r w:rsidRPr="00B20686">
              <w:rPr>
                <w:rFonts w:ascii="Times New Roman" w:hAnsi="Times New Roman"/>
                <w:sz w:val="18"/>
                <w:szCs w:val="20"/>
              </w:rPr>
              <w:lastRenderedPageBreak/>
              <w:t>tālākizglītību, uzsverot kritiskos faktorus novērtētajos kvalifikācijas līmeņos un gatavībā nodarboties ar tehnoloģisku un organizatorisku inovāciju.</w:t>
            </w:r>
          </w:p>
        </w:tc>
      </w:tr>
      <w:tr w:rsidR="001A3E6F" w:rsidRPr="00B20686" w14:paraId="4EFCA4C3" w14:textId="77777777" w:rsidTr="009E7D55">
        <w:trPr>
          <w:jc w:val="center"/>
        </w:trPr>
        <w:tc>
          <w:tcPr>
            <w:tcW w:w="155" w:type="pct"/>
            <w:tcBorders>
              <w:top w:val="single" w:sz="4" w:space="0" w:color="auto"/>
              <w:left w:val="single" w:sz="4" w:space="0" w:color="auto"/>
              <w:bottom w:val="single" w:sz="4" w:space="0" w:color="auto"/>
              <w:right w:val="single" w:sz="4" w:space="0" w:color="auto"/>
            </w:tcBorders>
            <w:shd w:val="clear" w:color="auto" w:fill="C6EFCE"/>
          </w:tcPr>
          <w:p w14:paraId="294F177D"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lastRenderedPageBreak/>
              <w:t>145</w:t>
            </w:r>
          </w:p>
        </w:tc>
        <w:tc>
          <w:tcPr>
            <w:tcW w:w="337" w:type="pct"/>
            <w:tcBorders>
              <w:top w:val="single" w:sz="4" w:space="0" w:color="auto"/>
              <w:left w:val="single" w:sz="4" w:space="0" w:color="auto"/>
              <w:bottom w:val="single" w:sz="4" w:space="0" w:color="auto"/>
              <w:right w:val="single" w:sz="4" w:space="0" w:color="auto"/>
            </w:tcBorders>
            <w:shd w:val="clear" w:color="auto" w:fill="C6EFCE"/>
          </w:tcPr>
          <w:p w14:paraId="5A44D56C"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t>4.2.1.r.</w:t>
            </w:r>
          </w:p>
          <w:p w14:paraId="1DBC8739"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t>Cilvēkresursu nodrošinājums un prasmju pilnveide</w:t>
            </w:r>
          </w:p>
        </w:tc>
        <w:tc>
          <w:tcPr>
            <w:tcW w:w="271" w:type="pct"/>
            <w:tcBorders>
              <w:top w:val="single" w:sz="4" w:space="0" w:color="auto"/>
              <w:left w:val="single" w:sz="4" w:space="0" w:color="auto"/>
              <w:bottom w:val="single" w:sz="4" w:space="0" w:color="auto"/>
              <w:right w:val="single" w:sz="4" w:space="0" w:color="auto"/>
            </w:tcBorders>
            <w:shd w:val="clear" w:color="auto" w:fill="C6EFCE"/>
          </w:tcPr>
          <w:p w14:paraId="649C5A44"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Atskaites punkts</w:t>
            </w:r>
          </w:p>
        </w:tc>
        <w:tc>
          <w:tcPr>
            <w:tcW w:w="336" w:type="pct"/>
            <w:tcBorders>
              <w:top w:val="single" w:sz="4" w:space="0" w:color="auto"/>
              <w:left w:val="single" w:sz="4" w:space="0" w:color="auto"/>
              <w:bottom w:val="single" w:sz="4" w:space="0" w:color="auto"/>
              <w:right w:val="single" w:sz="4" w:space="0" w:color="auto"/>
            </w:tcBorders>
            <w:shd w:val="clear" w:color="auto" w:fill="C6EFCE"/>
          </w:tcPr>
          <w:p w14:paraId="5D3FC442"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Ieviests jauns veselības aprūpes darbinieku atalgojuma modelis</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725904D8"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 xml:space="preserve">Tiesību akta / noteikumu stāšanās spēkā, kas nodrošina jauna veselības aprūpes atalgojuma modeļa īstenošanu </w:t>
            </w:r>
          </w:p>
        </w:tc>
        <w:tc>
          <w:tcPr>
            <w:tcW w:w="241" w:type="pct"/>
            <w:tcBorders>
              <w:top w:val="single" w:sz="8" w:space="0" w:color="auto"/>
              <w:left w:val="single" w:sz="4" w:space="0" w:color="auto"/>
              <w:bottom w:val="single" w:sz="8" w:space="0" w:color="auto"/>
              <w:right w:val="single" w:sz="8" w:space="0" w:color="auto"/>
            </w:tcBorders>
            <w:shd w:val="clear" w:color="auto" w:fill="C6EFCE"/>
          </w:tcPr>
          <w:p w14:paraId="5C1BCFBF"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253" w:type="pct"/>
            <w:tcBorders>
              <w:top w:val="single" w:sz="8" w:space="0" w:color="auto"/>
              <w:left w:val="single" w:sz="8" w:space="0" w:color="auto"/>
              <w:bottom w:val="single" w:sz="8" w:space="0" w:color="auto"/>
              <w:right w:val="single" w:sz="8" w:space="0" w:color="auto"/>
            </w:tcBorders>
            <w:shd w:val="clear" w:color="auto" w:fill="C6EFCE"/>
          </w:tcPr>
          <w:p w14:paraId="31FDC733"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193" w:type="pct"/>
            <w:tcBorders>
              <w:top w:val="single" w:sz="8" w:space="0" w:color="auto"/>
              <w:left w:val="single" w:sz="8" w:space="0" w:color="auto"/>
              <w:bottom w:val="single" w:sz="8" w:space="0" w:color="auto"/>
              <w:right w:val="single" w:sz="8" w:space="0" w:color="auto"/>
            </w:tcBorders>
            <w:shd w:val="clear" w:color="auto" w:fill="C6EFCE"/>
          </w:tcPr>
          <w:p w14:paraId="6FCFD02F"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146" w:type="pct"/>
            <w:tcBorders>
              <w:top w:val="single" w:sz="8" w:space="0" w:color="auto"/>
              <w:left w:val="single" w:sz="8" w:space="0" w:color="auto"/>
              <w:bottom w:val="single" w:sz="8" w:space="0" w:color="auto"/>
              <w:right w:val="single" w:sz="8" w:space="0" w:color="auto"/>
            </w:tcBorders>
            <w:shd w:val="clear" w:color="auto" w:fill="C6EFCE"/>
          </w:tcPr>
          <w:p w14:paraId="1272810E"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2. cet.</w:t>
            </w:r>
          </w:p>
        </w:tc>
        <w:tc>
          <w:tcPr>
            <w:tcW w:w="193" w:type="pct"/>
            <w:tcBorders>
              <w:top w:val="single" w:sz="8" w:space="0" w:color="auto"/>
              <w:left w:val="single" w:sz="8" w:space="0" w:color="auto"/>
              <w:bottom w:val="single" w:sz="8" w:space="0" w:color="auto"/>
              <w:right w:val="single" w:sz="4" w:space="0" w:color="auto"/>
            </w:tcBorders>
            <w:shd w:val="clear" w:color="auto" w:fill="C6EFCE"/>
          </w:tcPr>
          <w:p w14:paraId="4DCDB1CE"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2024</w:t>
            </w:r>
          </w:p>
        </w:tc>
        <w:tc>
          <w:tcPr>
            <w:tcW w:w="422" w:type="pct"/>
            <w:tcBorders>
              <w:top w:val="single" w:sz="4" w:space="0" w:color="auto"/>
              <w:left w:val="single" w:sz="4" w:space="0" w:color="auto"/>
              <w:bottom w:val="single" w:sz="4" w:space="0" w:color="auto"/>
              <w:right w:val="single" w:sz="4" w:space="0" w:color="auto"/>
            </w:tcBorders>
            <w:shd w:val="clear" w:color="auto" w:fill="C6EFCE"/>
          </w:tcPr>
          <w:p w14:paraId="672AFCC2" w14:textId="77777777" w:rsidR="001A3E6F" w:rsidRPr="00B20686" w:rsidRDefault="001A3E6F" w:rsidP="00B20686">
            <w:pPr>
              <w:widowControl w:val="0"/>
              <w:spacing w:after="0" w:line="240" w:lineRule="auto"/>
              <w:ind w:left="57" w:right="57"/>
              <w:jc w:val="both"/>
              <w:rPr>
                <w:rFonts w:ascii="Times New Roman" w:hAnsi="Times New Roman" w:cs="Calibri"/>
                <w:noProof/>
                <w:sz w:val="18"/>
                <w:szCs w:val="20"/>
              </w:rPr>
            </w:pPr>
            <w:r w:rsidRPr="00B20686">
              <w:rPr>
                <w:rFonts w:ascii="Times New Roman" w:hAnsi="Times New Roman"/>
                <w:sz w:val="18"/>
                <w:szCs w:val="20"/>
              </w:rPr>
              <w:t xml:space="preserve">Veselības ministrija </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772F7EE8"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p>
        </w:tc>
        <w:tc>
          <w:tcPr>
            <w:tcW w:w="918" w:type="pct"/>
            <w:tcBorders>
              <w:top w:val="single" w:sz="4" w:space="0" w:color="auto"/>
              <w:left w:val="single" w:sz="4" w:space="0" w:color="auto"/>
              <w:bottom w:val="single" w:sz="4" w:space="0" w:color="auto"/>
              <w:right w:val="single" w:sz="4" w:space="0" w:color="auto"/>
            </w:tcBorders>
            <w:shd w:val="clear" w:color="auto" w:fill="C6EFCE"/>
          </w:tcPr>
          <w:p w14:paraId="742481B7"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 xml:space="preserve">Tāda tiesību akta / noteikumu kopija, ar ko īsteno jauno veselības aprūpes darbinieku atalgojuma modeli, un saite uz publikāciju oficiālajā izdevumā, tostarp atsauce uz noteikumu, kurā norādīta stāšanās spēkā, kopā ar dokumentu, kurā ir sniegta atsauce uz attiecīgajiem noteikumiem un kurā pienācīgi pamatots, kā tika apmierinoši sasniegts atskaites punkts (tostarp visi </w:t>
            </w:r>
            <w:r w:rsidRPr="00B20686">
              <w:rPr>
                <w:rFonts w:ascii="Times New Roman" w:hAnsi="Times New Roman"/>
                <w:sz w:val="18"/>
                <w:szCs w:val="20"/>
              </w:rPr>
              <w:lastRenderedPageBreak/>
              <w:t>būtiskie elementi), kopā ar atbilstošām saitēm uz pamatojošajiem pierādījumiem.</w:t>
            </w:r>
          </w:p>
          <w:p w14:paraId="37913800"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Šā dokumenta pielikumā iekļauj šādus dokumentārus pierādījumus:</w:t>
            </w:r>
          </w:p>
          <w:p w14:paraId="591E2ED7"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a) ziņas par pārredzamu algu aprēķina mehānismu;</w:t>
            </w:r>
          </w:p>
          <w:p w14:paraId="75F7DBF3"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b) ziņas par risinājumiem, kā nodrošināt algu pārredzamību, taisnīgumu un pakāpenisku pieaugumu.</w:t>
            </w:r>
          </w:p>
        </w:tc>
        <w:tc>
          <w:tcPr>
            <w:tcW w:w="766" w:type="pct"/>
            <w:tcBorders>
              <w:top w:val="single" w:sz="4" w:space="0" w:color="auto"/>
              <w:left w:val="single" w:sz="4" w:space="0" w:color="auto"/>
              <w:bottom w:val="single" w:sz="4" w:space="0" w:color="auto"/>
              <w:right w:val="single" w:sz="4" w:space="0" w:color="auto"/>
            </w:tcBorders>
            <w:shd w:val="clear" w:color="auto" w:fill="C6EFCE"/>
          </w:tcPr>
          <w:p w14:paraId="40BDDE0E" w14:textId="77777777" w:rsidR="001A3E6F" w:rsidRPr="00B20686" w:rsidRDefault="001A3E6F" w:rsidP="00B20686">
            <w:pPr>
              <w:widowControl w:val="0"/>
              <w:spacing w:after="0" w:line="240" w:lineRule="auto"/>
              <w:ind w:left="57" w:right="57"/>
              <w:rPr>
                <w:rFonts w:ascii="Times New Roman" w:eastAsia="Calibri" w:hAnsi="Times New Roman" w:cs="Times New Roman"/>
                <w:noProof/>
                <w:sz w:val="18"/>
                <w:szCs w:val="20"/>
              </w:rPr>
            </w:pPr>
            <w:r w:rsidRPr="00B20686">
              <w:rPr>
                <w:rFonts w:ascii="Times New Roman" w:hAnsi="Times New Roman"/>
                <w:sz w:val="18"/>
                <w:szCs w:val="20"/>
              </w:rPr>
              <w:lastRenderedPageBreak/>
              <w:t xml:space="preserve">Jaunais veselības aprūpes darbinieku atalgojuma modelis ietver pārredzamu algu aprēķināšanas mehānismu un racionalizē algas visā veselības aprūpes nozarē, risinājumus pārredzamības, taisnīguma, kā arī pakāpeniskas algu paaugstināšanas nodrošināšanai, lai uzlabotu pakalpojumu pieejamību un kvalitāti. </w:t>
            </w:r>
          </w:p>
        </w:tc>
      </w:tr>
      <w:tr w:rsidR="001A3E6F" w:rsidRPr="00B20686" w14:paraId="2D644780" w14:textId="77777777" w:rsidTr="009E7D55">
        <w:trPr>
          <w:jc w:val="center"/>
        </w:trPr>
        <w:tc>
          <w:tcPr>
            <w:tcW w:w="155" w:type="pct"/>
            <w:tcBorders>
              <w:top w:val="single" w:sz="4" w:space="0" w:color="auto"/>
              <w:left w:val="single" w:sz="4" w:space="0" w:color="auto"/>
              <w:bottom w:val="single" w:sz="4" w:space="0" w:color="auto"/>
              <w:right w:val="single" w:sz="4" w:space="0" w:color="auto"/>
            </w:tcBorders>
            <w:shd w:val="clear" w:color="auto" w:fill="C6EFCE"/>
          </w:tcPr>
          <w:p w14:paraId="4D49B956"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146</w:t>
            </w:r>
          </w:p>
        </w:tc>
        <w:tc>
          <w:tcPr>
            <w:tcW w:w="337" w:type="pct"/>
            <w:tcBorders>
              <w:top w:val="single" w:sz="4" w:space="0" w:color="auto"/>
              <w:left w:val="single" w:sz="4" w:space="0" w:color="auto"/>
              <w:bottom w:val="single" w:sz="4" w:space="0" w:color="auto"/>
              <w:right w:val="single" w:sz="4" w:space="0" w:color="auto"/>
            </w:tcBorders>
            <w:shd w:val="clear" w:color="auto" w:fill="C6EFCE"/>
          </w:tcPr>
          <w:p w14:paraId="2057F2AF"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t>4.2.1.r.</w:t>
            </w:r>
          </w:p>
          <w:p w14:paraId="6905E044"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t>Cilvēkresursu nodrošinājums un prasmju pilnveide</w:t>
            </w:r>
          </w:p>
        </w:tc>
        <w:tc>
          <w:tcPr>
            <w:tcW w:w="271" w:type="pct"/>
            <w:tcBorders>
              <w:top w:val="single" w:sz="4" w:space="0" w:color="auto"/>
              <w:left w:val="single" w:sz="4" w:space="0" w:color="auto"/>
              <w:bottom w:val="single" w:sz="4" w:space="0" w:color="auto"/>
              <w:right w:val="single" w:sz="4" w:space="0" w:color="auto"/>
            </w:tcBorders>
            <w:shd w:val="clear" w:color="auto" w:fill="C6EFCE"/>
          </w:tcPr>
          <w:p w14:paraId="21796F7D"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 xml:space="preserve">Atskaites punkts </w:t>
            </w:r>
          </w:p>
        </w:tc>
        <w:tc>
          <w:tcPr>
            <w:tcW w:w="336" w:type="pct"/>
            <w:tcBorders>
              <w:top w:val="single" w:sz="4" w:space="0" w:color="auto"/>
              <w:left w:val="single" w:sz="4" w:space="0" w:color="auto"/>
              <w:bottom w:val="single" w:sz="4" w:space="0" w:color="auto"/>
              <w:right w:val="single" w:sz="4" w:space="0" w:color="auto"/>
            </w:tcBorders>
            <w:shd w:val="clear" w:color="auto" w:fill="C6EFCE"/>
          </w:tcPr>
          <w:p w14:paraId="4AB6DFA2"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Veselības aprūpes darbaspēka plānošanas modeļa pieņemšana</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64AE1FCB"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 xml:space="preserve">Veselības aprūpes darbaspēka turpmāko vajadzību prognozēšanas modeļa pieņemšana un ieviešana </w:t>
            </w:r>
          </w:p>
        </w:tc>
        <w:tc>
          <w:tcPr>
            <w:tcW w:w="241" w:type="pct"/>
            <w:tcBorders>
              <w:top w:val="single" w:sz="8" w:space="0" w:color="auto"/>
              <w:left w:val="single" w:sz="4" w:space="0" w:color="auto"/>
              <w:bottom w:val="single" w:sz="8" w:space="0" w:color="auto"/>
              <w:right w:val="single" w:sz="8" w:space="0" w:color="auto"/>
            </w:tcBorders>
            <w:shd w:val="clear" w:color="auto" w:fill="C6EFCE"/>
          </w:tcPr>
          <w:p w14:paraId="070695B4"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253" w:type="pct"/>
            <w:tcBorders>
              <w:top w:val="single" w:sz="8" w:space="0" w:color="auto"/>
              <w:left w:val="single" w:sz="8" w:space="0" w:color="auto"/>
              <w:bottom w:val="single" w:sz="8" w:space="0" w:color="auto"/>
              <w:right w:val="single" w:sz="8" w:space="0" w:color="auto"/>
            </w:tcBorders>
            <w:shd w:val="clear" w:color="auto" w:fill="C6EFCE"/>
          </w:tcPr>
          <w:p w14:paraId="22A9BD89"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 xml:space="preserve">Neattiecas </w:t>
            </w:r>
          </w:p>
        </w:tc>
        <w:tc>
          <w:tcPr>
            <w:tcW w:w="193" w:type="pct"/>
            <w:tcBorders>
              <w:top w:val="single" w:sz="8" w:space="0" w:color="auto"/>
              <w:left w:val="single" w:sz="8" w:space="0" w:color="auto"/>
              <w:bottom w:val="single" w:sz="8" w:space="0" w:color="auto"/>
              <w:right w:val="single" w:sz="8" w:space="0" w:color="auto"/>
            </w:tcBorders>
            <w:shd w:val="clear" w:color="auto" w:fill="C6EFCE"/>
          </w:tcPr>
          <w:p w14:paraId="64D8EB83"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146" w:type="pct"/>
            <w:tcBorders>
              <w:top w:val="single" w:sz="8" w:space="0" w:color="auto"/>
              <w:left w:val="single" w:sz="8" w:space="0" w:color="auto"/>
              <w:bottom w:val="single" w:sz="8" w:space="0" w:color="auto"/>
              <w:right w:val="single" w:sz="8" w:space="0" w:color="auto"/>
            </w:tcBorders>
            <w:shd w:val="clear" w:color="auto" w:fill="C6EFCE"/>
          </w:tcPr>
          <w:p w14:paraId="70CFEA03"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4. cet.</w:t>
            </w:r>
          </w:p>
        </w:tc>
        <w:tc>
          <w:tcPr>
            <w:tcW w:w="193" w:type="pct"/>
            <w:tcBorders>
              <w:top w:val="single" w:sz="8" w:space="0" w:color="auto"/>
              <w:left w:val="single" w:sz="8" w:space="0" w:color="auto"/>
              <w:bottom w:val="single" w:sz="8" w:space="0" w:color="auto"/>
              <w:right w:val="single" w:sz="4" w:space="0" w:color="auto"/>
            </w:tcBorders>
            <w:shd w:val="clear" w:color="auto" w:fill="C6EFCE"/>
          </w:tcPr>
          <w:p w14:paraId="735164BB"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2024</w:t>
            </w:r>
          </w:p>
        </w:tc>
        <w:tc>
          <w:tcPr>
            <w:tcW w:w="422" w:type="pct"/>
            <w:tcBorders>
              <w:top w:val="single" w:sz="4" w:space="0" w:color="auto"/>
              <w:left w:val="single" w:sz="4" w:space="0" w:color="auto"/>
              <w:bottom w:val="single" w:sz="4" w:space="0" w:color="auto"/>
              <w:right w:val="single" w:sz="4" w:space="0" w:color="auto"/>
            </w:tcBorders>
            <w:shd w:val="clear" w:color="auto" w:fill="C6EFCE"/>
          </w:tcPr>
          <w:p w14:paraId="14924CA7" w14:textId="77777777" w:rsidR="001A3E6F" w:rsidRPr="00B20686" w:rsidRDefault="001A3E6F" w:rsidP="00B20686">
            <w:pPr>
              <w:widowControl w:val="0"/>
              <w:spacing w:after="0" w:line="240" w:lineRule="auto"/>
              <w:ind w:left="57" w:right="57"/>
              <w:jc w:val="both"/>
              <w:rPr>
                <w:rFonts w:ascii="Times New Roman" w:hAnsi="Times New Roman" w:cs="Calibri"/>
                <w:noProof/>
                <w:sz w:val="18"/>
                <w:szCs w:val="20"/>
              </w:rPr>
            </w:pPr>
            <w:r w:rsidRPr="00B20686">
              <w:rPr>
                <w:rFonts w:ascii="Times New Roman" w:hAnsi="Times New Roman"/>
                <w:sz w:val="18"/>
                <w:szCs w:val="20"/>
              </w:rPr>
              <w:t xml:space="preserve">Veselības ministrija </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4B9359BD"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p>
        </w:tc>
        <w:tc>
          <w:tcPr>
            <w:tcW w:w="918" w:type="pct"/>
            <w:tcBorders>
              <w:top w:val="single" w:sz="4" w:space="0" w:color="auto"/>
              <w:left w:val="single" w:sz="4" w:space="0" w:color="auto"/>
              <w:bottom w:val="single" w:sz="4" w:space="0" w:color="auto"/>
              <w:right w:val="single" w:sz="4" w:space="0" w:color="auto"/>
            </w:tcBorders>
            <w:shd w:val="clear" w:color="auto" w:fill="C6EFCE"/>
          </w:tcPr>
          <w:p w14:paraId="6EE694E7"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Kopsavilkuma dokuments, kurā pienācīgi pamatots, kā tika apmierinoši sasniegts atskaites punkts (tostarp visi būtiskie elementi), kopā ar atbilstošām saitēm uz pamatojošajiem pierādījumiem.</w:t>
            </w:r>
          </w:p>
          <w:p w14:paraId="1EEB5BAE"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lastRenderedPageBreak/>
              <w:t>Šā dokumenta pielikumā iekļauj šādus dokumentārus pierādījumus:</w:t>
            </w:r>
          </w:p>
          <w:p w14:paraId="4628DC21"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a) trešās personas sniegtu ziņojumu, kas apliecina, ka IT rīks (modelis) ir izstrādāts un darbojas un ka iestādēm ir pieejamas atskaites punktā aprakstītās aplēses;</w:t>
            </w:r>
          </w:p>
          <w:p w14:paraId="2891C77D"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b) izrakstu no IT rīka tehnisko specifikāciju attiecīgajām daļām, kas apliecina atbilstību Padomes Īstenošanas lēmuma pielikumā sniegtajam atskaites punkta un investīciju aprakstam.</w:t>
            </w:r>
          </w:p>
        </w:tc>
        <w:tc>
          <w:tcPr>
            <w:tcW w:w="766" w:type="pct"/>
            <w:tcBorders>
              <w:top w:val="single" w:sz="4" w:space="0" w:color="auto"/>
              <w:left w:val="single" w:sz="4" w:space="0" w:color="auto"/>
              <w:bottom w:val="single" w:sz="4" w:space="0" w:color="auto"/>
              <w:right w:val="single" w:sz="4" w:space="0" w:color="auto"/>
            </w:tcBorders>
            <w:shd w:val="clear" w:color="auto" w:fill="C6EFCE"/>
          </w:tcPr>
          <w:p w14:paraId="7B9ED6A8" w14:textId="77777777" w:rsidR="001A3E6F" w:rsidRPr="00B20686" w:rsidRDefault="001A3E6F" w:rsidP="00B20686">
            <w:pPr>
              <w:widowControl w:val="0"/>
              <w:spacing w:after="0" w:line="240" w:lineRule="auto"/>
              <w:ind w:left="57" w:right="57"/>
              <w:rPr>
                <w:rFonts w:ascii="Times New Roman" w:eastAsia="Calibri" w:hAnsi="Times New Roman" w:cs="Times New Roman"/>
                <w:noProof/>
                <w:sz w:val="18"/>
                <w:szCs w:val="20"/>
              </w:rPr>
            </w:pPr>
            <w:r w:rsidRPr="00B20686">
              <w:rPr>
                <w:rFonts w:ascii="Times New Roman" w:hAnsi="Times New Roman"/>
                <w:sz w:val="18"/>
                <w:szCs w:val="20"/>
              </w:rPr>
              <w:lastRenderedPageBreak/>
              <w:t xml:space="preserve">Veselības ministrijas nodrošināts un apstiprināts modelis (IT rīks), lai prognozētu veselības aprūpes darbaspēka turpmākās vajadzības. Šis modelis paredzēts izmantošanai plānošanā. Šis modelis, </w:t>
            </w:r>
            <w:r w:rsidRPr="00B20686">
              <w:rPr>
                <w:rFonts w:ascii="Times New Roman" w:hAnsi="Times New Roman"/>
                <w:sz w:val="18"/>
                <w:szCs w:val="20"/>
              </w:rPr>
              <w:lastRenderedPageBreak/>
              <w:t>pamatojoties uz prognozētajām iedzīvotāju veselības aprūpes vajadzībām un veselības aprūpes pakalpojumu sniegšanas organizāciju, sniedz aplēses par:</w:t>
            </w:r>
          </w:p>
          <w:p w14:paraId="179DD97A" w14:textId="77777777" w:rsidR="001A3E6F" w:rsidRPr="00B20686" w:rsidRDefault="001A3E6F" w:rsidP="00B20686">
            <w:pPr>
              <w:widowControl w:val="0"/>
              <w:numPr>
                <w:ilvl w:val="0"/>
                <w:numId w:val="30"/>
              </w:numPr>
              <w:spacing w:after="0" w:line="240" w:lineRule="auto"/>
              <w:ind w:left="57" w:right="57" w:firstLine="0"/>
              <w:rPr>
                <w:rFonts w:ascii="Times New Roman" w:hAnsi="Times New Roman" w:cs="Times New Roman"/>
                <w:noProof/>
                <w:sz w:val="18"/>
                <w:szCs w:val="20"/>
              </w:rPr>
            </w:pPr>
            <w:r w:rsidRPr="00B20686">
              <w:rPr>
                <w:rFonts w:ascii="Times New Roman" w:hAnsi="Times New Roman"/>
                <w:sz w:val="18"/>
                <w:szCs w:val="20"/>
              </w:rPr>
              <w:t>- vajadzību pēc veselības aprūpes speciālistiem dalījumā pēc specializācijas un ģeogrāfiskā apgabala / prakses vietas;</w:t>
            </w:r>
          </w:p>
          <w:p w14:paraId="1DACED45" w14:textId="77777777" w:rsidR="001A3E6F" w:rsidRPr="00B20686" w:rsidRDefault="001A3E6F" w:rsidP="00B20686">
            <w:pPr>
              <w:widowControl w:val="0"/>
              <w:numPr>
                <w:ilvl w:val="0"/>
                <w:numId w:val="30"/>
              </w:numPr>
              <w:spacing w:after="0" w:line="240" w:lineRule="auto"/>
              <w:ind w:left="57" w:right="57" w:firstLine="0"/>
              <w:rPr>
                <w:rFonts w:ascii="Times New Roman" w:hAnsi="Times New Roman" w:cs="Times New Roman"/>
                <w:noProof/>
                <w:sz w:val="18"/>
                <w:szCs w:val="20"/>
              </w:rPr>
            </w:pPr>
            <w:r w:rsidRPr="00B20686">
              <w:rPr>
                <w:rFonts w:ascii="Times New Roman" w:hAnsi="Times New Roman"/>
                <w:sz w:val="18"/>
                <w:szCs w:val="20"/>
              </w:rPr>
              <w:t>- vajadzību pēc veselības aprūpes speciālistu profesionālās izaugsmes;</w:t>
            </w:r>
          </w:p>
          <w:p w14:paraId="0E1742A4" w14:textId="77777777" w:rsidR="001A3E6F" w:rsidRPr="00B20686" w:rsidRDefault="001A3E6F" w:rsidP="00B20686">
            <w:pPr>
              <w:widowControl w:val="0"/>
              <w:numPr>
                <w:ilvl w:val="0"/>
                <w:numId w:val="30"/>
              </w:numPr>
              <w:spacing w:after="0" w:line="240" w:lineRule="auto"/>
              <w:ind w:left="57" w:right="57" w:firstLine="0"/>
              <w:rPr>
                <w:rFonts w:ascii="Times New Roman" w:hAnsi="Times New Roman" w:cs="Times New Roman"/>
                <w:noProof/>
                <w:sz w:val="18"/>
                <w:szCs w:val="20"/>
              </w:rPr>
            </w:pPr>
            <w:r w:rsidRPr="00B20686">
              <w:rPr>
                <w:rFonts w:ascii="Times New Roman" w:hAnsi="Times New Roman"/>
                <w:sz w:val="18"/>
                <w:szCs w:val="20"/>
              </w:rPr>
              <w:t>- paredzamo darbaspēka piedāvājuma nepietiekamību.</w:t>
            </w:r>
          </w:p>
        </w:tc>
      </w:tr>
      <w:tr w:rsidR="001A3E6F" w:rsidRPr="00B20686" w14:paraId="3F3B6D84" w14:textId="77777777" w:rsidTr="009E7D55">
        <w:trPr>
          <w:jc w:val="center"/>
        </w:trPr>
        <w:tc>
          <w:tcPr>
            <w:tcW w:w="155" w:type="pct"/>
            <w:tcBorders>
              <w:top w:val="single" w:sz="4" w:space="0" w:color="auto"/>
              <w:left w:val="single" w:sz="4" w:space="0" w:color="auto"/>
              <w:bottom w:val="single" w:sz="4" w:space="0" w:color="auto"/>
              <w:right w:val="single" w:sz="4" w:space="0" w:color="auto"/>
            </w:tcBorders>
            <w:shd w:val="clear" w:color="auto" w:fill="C6EFCE"/>
          </w:tcPr>
          <w:p w14:paraId="7B17BCA2"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lastRenderedPageBreak/>
              <w:t>147</w:t>
            </w:r>
          </w:p>
        </w:tc>
        <w:tc>
          <w:tcPr>
            <w:tcW w:w="337" w:type="pct"/>
            <w:tcBorders>
              <w:top w:val="single" w:sz="4" w:space="0" w:color="auto"/>
              <w:left w:val="single" w:sz="4" w:space="0" w:color="auto"/>
              <w:bottom w:val="single" w:sz="4" w:space="0" w:color="auto"/>
              <w:right w:val="single" w:sz="4" w:space="0" w:color="auto"/>
            </w:tcBorders>
            <w:shd w:val="clear" w:color="auto" w:fill="C6EFCE"/>
          </w:tcPr>
          <w:p w14:paraId="58AC8976"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t>4.2.1.1.i.</w:t>
            </w:r>
          </w:p>
          <w:p w14:paraId="6E226262"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t xml:space="preserve">Atbalsts cilvēkresursu attīstības sistēmas </w:t>
            </w:r>
            <w:r w:rsidRPr="00B20686">
              <w:rPr>
                <w:rFonts w:ascii="Times New Roman" w:hAnsi="Times New Roman"/>
                <w:b/>
                <w:sz w:val="18"/>
                <w:szCs w:val="20"/>
              </w:rPr>
              <w:lastRenderedPageBreak/>
              <w:t>ieviešanai</w:t>
            </w:r>
          </w:p>
        </w:tc>
        <w:tc>
          <w:tcPr>
            <w:tcW w:w="271" w:type="pct"/>
            <w:tcBorders>
              <w:top w:val="single" w:sz="4" w:space="0" w:color="auto"/>
              <w:left w:val="single" w:sz="4" w:space="0" w:color="auto"/>
              <w:bottom w:val="single" w:sz="4" w:space="0" w:color="auto"/>
              <w:right w:val="single" w:sz="4" w:space="0" w:color="auto"/>
            </w:tcBorders>
            <w:shd w:val="clear" w:color="auto" w:fill="C6EFCE"/>
          </w:tcPr>
          <w:p w14:paraId="382546BC"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lastRenderedPageBreak/>
              <w:t>Atskaites punkts</w:t>
            </w:r>
          </w:p>
        </w:tc>
        <w:tc>
          <w:tcPr>
            <w:tcW w:w="336" w:type="pct"/>
            <w:tcBorders>
              <w:top w:val="single" w:sz="4" w:space="0" w:color="auto"/>
              <w:left w:val="single" w:sz="4" w:space="0" w:color="auto"/>
              <w:bottom w:val="single" w:sz="4" w:space="0" w:color="auto"/>
              <w:right w:val="single" w:sz="4" w:space="0" w:color="auto"/>
            </w:tcBorders>
            <w:shd w:val="clear" w:color="auto" w:fill="C6EFCE"/>
          </w:tcPr>
          <w:p w14:paraId="09175AF7"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 xml:space="preserve">Ir izveidots koordinācijas mehānisms veselības aprūpes </w:t>
            </w:r>
            <w:r w:rsidRPr="00B20686">
              <w:rPr>
                <w:rFonts w:ascii="Times New Roman" w:hAnsi="Times New Roman"/>
                <w:sz w:val="18"/>
                <w:szCs w:val="20"/>
              </w:rPr>
              <w:lastRenderedPageBreak/>
              <w:t>darbinieku mācīšanai</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60095FD7"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lastRenderedPageBreak/>
              <w:t xml:space="preserve">Veselības ministrijas izveidots veselības aprūpes </w:t>
            </w:r>
            <w:r w:rsidRPr="00B20686">
              <w:rPr>
                <w:rFonts w:ascii="Times New Roman" w:hAnsi="Times New Roman"/>
                <w:sz w:val="18"/>
                <w:szCs w:val="20"/>
              </w:rPr>
              <w:lastRenderedPageBreak/>
              <w:t xml:space="preserve">darbinieku tālākizglītības koordinācijas mehānisms, kas nodrošina sadarbību starp iesaistītajām iestādēm, metodoloģisko vadību un kvalitātes kontroli </w:t>
            </w:r>
          </w:p>
        </w:tc>
        <w:tc>
          <w:tcPr>
            <w:tcW w:w="241" w:type="pct"/>
            <w:tcBorders>
              <w:top w:val="single" w:sz="8" w:space="0" w:color="auto"/>
              <w:left w:val="single" w:sz="4" w:space="0" w:color="auto"/>
              <w:bottom w:val="single" w:sz="8" w:space="0" w:color="auto"/>
              <w:right w:val="single" w:sz="8" w:space="0" w:color="auto"/>
            </w:tcBorders>
            <w:shd w:val="clear" w:color="auto" w:fill="C6EFCE"/>
          </w:tcPr>
          <w:p w14:paraId="62AE9817"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lastRenderedPageBreak/>
              <w:t>Neattiecas</w:t>
            </w:r>
          </w:p>
        </w:tc>
        <w:tc>
          <w:tcPr>
            <w:tcW w:w="253" w:type="pct"/>
            <w:tcBorders>
              <w:top w:val="single" w:sz="8" w:space="0" w:color="auto"/>
              <w:left w:val="single" w:sz="8" w:space="0" w:color="auto"/>
              <w:bottom w:val="single" w:sz="8" w:space="0" w:color="auto"/>
              <w:right w:val="single" w:sz="8" w:space="0" w:color="auto"/>
            </w:tcBorders>
            <w:shd w:val="clear" w:color="auto" w:fill="C6EFCE"/>
          </w:tcPr>
          <w:p w14:paraId="5F0D9427"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193" w:type="pct"/>
            <w:tcBorders>
              <w:top w:val="single" w:sz="8" w:space="0" w:color="auto"/>
              <w:left w:val="single" w:sz="8" w:space="0" w:color="auto"/>
              <w:bottom w:val="single" w:sz="8" w:space="0" w:color="auto"/>
              <w:right w:val="single" w:sz="8" w:space="0" w:color="auto"/>
            </w:tcBorders>
            <w:shd w:val="clear" w:color="auto" w:fill="C6EFCE"/>
          </w:tcPr>
          <w:p w14:paraId="26F9884B"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146" w:type="pct"/>
            <w:tcBorders>
              <w:top w:val="single" w:sz="8" w:space="0" w:color="auto"/>
              <w:left w:val="single" w:sz="8" w:space="0" w:color="auto"/>
              <w:bottom w:val="single" w:sz="8" w:space="0" w:color="auto"/>
              <w:right w:val="single" w:sz="8" w:space="0" w:color="auto"/>
            </w:tcBorders>
            <w:shd w:val="clear" w:color="auto" w:fill="C6EFCE"/>
          </w:tcPr>
          <w:p w14:paraId="4DEE5CD8"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4. cet.</w:t>
            </w:r>
          </w:p>
        </w:tc>
        <w:tc>
          <w:tcPr>
            <w:tcW w:w="193" w:type="pct"/>
            <w:tcBorders>
              <w:top w:val="single" w:sz="8" w:space="0" w:color="auto"/>
              <w:left w:val="single" w:sz="8" w:space="0" w:color="auto"/>
              <w:bottom w:val="single" w:sz="8" w:space="0" w:color="auto"/>
              <w:right w:val="single" w:sz="4" w:space="0" w:color="auto"/>
            </w:tcBorders>
            <w:shd w:val="clear" w:color="auto" w:fill="C6EFCE"/>
          </w:tcPr>
          <w:p w14:paraId="4C6C9BC4"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2023</w:t>
            </w:r>
          </w:p>
        </w:tc>
        <w:tc>
          <w:tcPr>
            <w:tcW w:w="422" w:type="pct"/>
            <w:tcBorders>
              <w:top w:val="single" w:sz="4" w:space="0" w:color="auto"/>
              <w:left w:val="single" w:sz="4" w:space="0" w:color="auto"/>
              <w:bottom w:val="single" w:sz="4" w:space="0" w:color="auto"/>
              <w:right w:val="single" w:sz="4" w:space="0" w:color="auto"/>
            </w:tcBorders>
            <w:shd w:val="clear" w:color="auto" w:fill="C6EFCE"/>
          </w:tcPr>
          <w:p w14:paraId="7DA08B1C" w14:textId="77777777" w:rsidR="001A3E6F" w:rsidRPr="00B20686" w:rsidRDefault="001A3E6F" w:rsidP="00B20686">
            <w:pPr>
              <w:widowControl w:val="0"/>
              <w:spacing w:after="0" w:line="240" w:lineRule="auto"/>
              <w:ind w:left="57" w:right="57"/>
              <w:jc w:val="both"/>
              <w:rPr>
                <w:rFonts w:ascii="Times New Roman" w:hAnsi="Times New Roman" w:cs="Calibri"/>
                <w:noProof/>
                <w:sz w:val="18"/>
                <w:szCs w:val="20"/>
              </w:rPr>
            </w:pPr>
            <w:r w:rsidRPr="00B20686">
              <w:rPr>
                <w:rFonts w:ascii="Times New Roman" w:hAnsi="Times New Roman"/>
                <w:sz w:val="18"/>
                <w:szCs w:val="20"/>
              </w:rPr>
              <w:t xml:space="preserve">Veselības ministrija </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1305BA5E"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p>
        </w:tc>
        <w:tc>
          <w:tcPr>
            <w:tcW w:w="918" w:type="pct"/>
            <w:tcBorders>
              <w:top w:val="single" w:sz="4" w:space="0" w:color="auto"/>
              <w:left w:val="single" w:sz="4" w:space="0" w:color="auto"/>
              <w:bottom w:val="single" w:sz="4" w:space="0" w:color="auto"/>
              <w:right w:val="single" w:sz="4" w:space="0" w:color="auto"/>
            </w:tcBorders>
            <w:shd w:val="clear" w:color="auto" w:fill="C6EFCE"/>
          </w:tcPr>
          <w:p w14:paraId="5DCB721A"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 xml:space="preserve">Kopsavilkuma dokuments, kurā pienācīgi pamatots, kā tika apmierinoši </w:t>
            </w:r>
            <w:r w:rsidRPr="00B20686">
              <w:rPr>
                <w:rFonts w:ascii="Times New Roman" w:hAnsi="Times New Roman"/>
                <w:sz w:val="18"/>
                <w:szCs w:val="20"/>
              </w:rPr>
              <w:lastRenderedPageBreak/>
              <w:t>sasniegts atskaites punkts (tostarp visi būtiskie elementi), kopā ar atbilstošām saitēm uz pamatojošajiem pierādījumiem.</w:t>
            </w:r>
          </w:p>
          <w:p w14:paraId="60E533FF"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Šā dokumenta pielikumā iekļauj šādus dokumentārus pierādījumus:</w:t>
            </w:r>
          </w:p>
          <w:p w14:paraId="5408B4B2" w14:textId="77777777" w:rsidR="001A3E6F" w:rsidRPr="00B20686" w:rsidRDefault="001A3E6F" w:rsidP="00B20686">
            <w:pPr>
              <w:widowControl w:val="0"/>
              <w:spacing w:after="0" w:line="240" w:lineRule="auto"/>
              <w:ind w:left="57" w:right="57"/>
              <w:rPr>
                <w:rFonts w:ascii="Times New Roman" w:hAnsi="Times New Roman"/>
                <w:noProof/>
                <w:sz w:val="18"/>
                <w:szCs w:val="20"/>
              </w:rPr>
            </w:pPr>
            <w:r w:rsidRPr="00B20686">
              <w:rPr>
                <w:rFonts w:ascii="Times New Roman" w:hAnsi="Times New Roman"/>
                <w:sz w:val="18"/>
                <w:szCs w:val="20"/>
              </w:rPr>
              <w:t>a) kopiju Veselības ministrijas lēmumam, kas apstiprina, ka ir izveidots koordinācijas mehānisms tālākizglītības procesa vadībai;</w:t>
            </w:r>
          </w:p>
          <w:p w14:paraId="6D09028D" w14:textId="77777777" w:rsidR="001A3E6F" w:rsidRPr="00B20686" w:rsidRDefault="001A3E6F" w:rsidP="00B20686">
            <w:pPr>
              <w:widowControl w:val="0"/>
              <w:spacing w:after="0" w:line="240" w:lineRule="auto"/>
              <w:ind w:left="57" w:right="57"/>
              <w:rPr>
                <w:rFonts w:ascii="Times New Roman" w:hAnsi="Times New Roman"/>
                <w:noProof/>
                <w:sz w:val="18"/>
                <w:szCs w:val="20"/>
              </w:rPr>
            </w:pPr>
            <w:r w:rsidRPr="00B20686">
              <w:rPr>
                <w:rFonts w:ascii="Times New Roman" w:hAnsi="Times New Roman"/>
                <w:sz w:val="18"/>
                <w:szCs w:val="20"/>
              </w:rPr>
              <w:t xml:space="preserve">b) kopiju pieņemtajam dokumentam, kurā ir noteikti tālākizglītības procesa pārvaldībai izstrādātā koordinācijas mehānisma principi, un saiti uz tīmekļvietni, kurā šis </w:t>
            </w:r>
            <w:r w:rsidRPr="00B20686">
              <w:rPr>
                <w:rFonts w:ascii="Times New Roman" w:hAnsi="Times New Roman"/>
                <w:sz w:val="18"/>
                <w:szCs w:val="20"/>
              </w:rPr>
              <w:lastRenderedPageBreak/>
              <w:t>dokuments ir pieejams;</w:t>
            </w:r>
          </w:p>
          <w:p w14:paraId="0DB3DF06" w14:textId="77777777" w:rsidR="001A3E6F" w:rsidRPr="00B20686" w:rsidRDefault="001A3E6F" w:rsidP="00B20686">
            <w:pPr>
              <w:widowControl w:val="0"/>
              <w:spacing w:after="0" w:line="240" w:lineRule="auto"/>
              <w:ind w:left="57" w:right="57"/>
              <w:rPr>
                <w:rFonts w:ascii="Times New Roman" w:hAnsi="Times New Roman"/>
                <w:noProof/>
                <w:sz w:val="18"/>
                <w:szCs w:val="20"/>
              </w:rPr>
            </w:pPr>
            <w:r w:rsidRPr="00B20686">
              <w:rPr>
                <w:rFonts w:ascii="Times New Roman" w:hAnsi="Times New Roman"/>
                <w:sz w:val="18"/>
                <w:szCs w:val="20"/>
              </w:rPr>
              <w:t xml:space="preserve">c) skaidrojumu, kas parāda atbilstību Padomes Īstenošanas lēmuma pielikumā sniegtajam atskaites punkta un investīciju aprakstam un to, kā ir izpildīti šādi būtiskie elementi: </w:t>
            </w:r>
          </w:p>
          <w:p w14:paraId="487FB023" w14:textId="77777777" w:rsidR="001A3E6F" w:rsidRPr="00B20686" w:rsidRDefault="001A3E6F" w:rsidP="00B20686">
            <w:pPr>
              <w:widowControl w:val="0"/>
              <w:spacing w:after="0" w:line="240" w:lineRule="auto"/>
              <w:ind w:left="57" w:right="57"/>
              <w:rPr>
                <w:rFonts w:ascii="Times New Roman" w:hAnsi="Times New Roman"/>
                <w:noProof/>
                <w:sz w:val="18"/>
                <w:szCs w:val="20"/>
              </w:rPr>
            </w:pPr>
            <w:r w:rsidRPr="00B20686">
              <w:rPr>
                <w:rFonts w:ascii="Times New Roman" w:hAnsi="Times New Roman"/>
                <w:sz w:val="18"/>
                <w:szCs w:val="20"/>
              </w:rPr>
              <w:t>- nodrošināta iesaistīto iestāžu sadarbība;</w:t>
            </w:r>
          </w:p>
          <w:p w14:paraId="65950914" w14:textId="77777777" w:rsidR="001A3E6F" w:rsidRPr="00B20686" w:rsidRDefault="001A3E6F" w:rsidP="00B20686">
            <w:pPr>
              <w:widowControl w:val="0"/>
              <w:spacing w:after="0" w:line="240" w:lineRule="auto"/>
              <w:ind w:left="57" w:right="57"/>
              <w:rPr>
                <w:rFonts w:ascii="Times New Roman" w:eastAsia="Calibri" w:hAnsi="Times New Roman" w:cs="Times New Roman"/>
                <w:noProof/>
                <w:sz w:val="18"/>
                <w:szCs w:val="20"/>
              </w:rPr>
            </w:pPr>
            <w:r w:rsidRPr="00B20686">
              <w:rPr>
                <w:rFonts w:ascii="Times New Roman" w:hAnsi="Times New Roman"/>
                <w:sz w:val="18"/>
                <w:szCs w:val="20"/>
              </w:rPr>
              <w:t>- metodiskā vadība;</w:t>
            </w:r>
          </w:p>
          <w:p w14:paraId="218A205B" w14:textId="77777777" w:rsidR="001A3E6F" w:rsidRPr="00B20686" w:rsidRDefault="001A3E6F" w:rsidP="00B20686">
            <w:pPr>
              <w:widowControl w:val="0"/>
              <w:spacing w:after="0" w:line="240" w:lineRule="auto"/>
              <w:ind w:left="57" w:right="57"/>
              <w:rPr>
                <w:rFonts w:ascii="Times New Roman" w:eastAsia="Calibri" w:hAnsi="Times New Roman" w:cs="Times New Roman"/>
                <w:noProof/>
                <w:sz w:val="18"/>
                <w:szCs w:val="20"/>
              </w:rPr>
            </w:pPr>
            <w:r w:rsidRPr="00B20686">
              <w:rPr>
                <w:rFonts w:ascii="Times New Roman" w:hAnsi="Times New Roman"/>
                <w:sz w:val="18"/>
                <w:szCs w:val="20"/>
              </w:rPr>
              <w:t>- kvalitātes kontrole;</w:t>
            </w:r>
          </w:p>
          <w:p w14:paraId="4B07FF9A"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d) Veselības ministrijas rīkojumus un/vai lēmumus, kuros ir uzdots izveidot koordinācijas mehānismu;</w:t>
            </w:r>
          </w:p>
          <w:p w14:paraId="0CE587CC" w14:textId="77777777" w:rsidR="001A3E6F" w:rsidRPr="00B20686" w:rsidRDefault="001A3E6F" w:rsidP="00B20686">
            <w:pPr>
              <w:widowControl w:val="0"/>
              <w:spacing w:after="0" w:line="240" w:lineRule="auto"/>
              <w:ind w:left="57" w:right="57"/>
              <w:rPr>
                <w:rFonts w:ascii="Times New Roman" w:hAnsi="Times New Roman"/>
                <w:noProof/>
                <w:sz w:val="18"/>
                <w:szCs w:val="20"/>
              </w:rPr>
            </w:pPr>
            <w:r w:rsidRPr="00B20686">
              <w:rPr>
                <w:rFonts w:ascii="Times New Roman" w:hAnsi="Times New Roman"/>
                <w:sz w:val="18"/>
                <w:szCs w:val="20"/>
              </w:rPr>
              <w:t xml:space="preserve">e) kopiju dokumentam, kas apliecina, ka ir izveidots tālākizglītības organizatoriskais modelis un ka galvenā uzmanība </w:t>
            </w:r>
            <w:r w:rsidRPr="00B20686">
              <w:rPr>
                <w:rFonts w:ascii="Times New Roman" w:hAnsi="Times New Roman"/>
                <w:sz w:val="18"/>
                <w:szCs w:val="20"/>
              </w:rPr>
              <w:lastRenderedPageBreak/>
              <w:t>ir pievērsta mācību saturam, mācību veidam, nepieciešamajām telpām un aprīkojumam (piemēram, simulācijām, virtuālās realitātes izmantošanai utt.);</w:t>
            </w:r>
          </w:p>
          <w:p w14:paraId="5C975036" w14:textId="77777777" w:rsidR="001A3E6F" w:rsidRPr="00B20686" w:rsidRDefault="001A3E6F" w:rsidP="00B20686">
            <w:pPr>
              <w:widowControl w:val="0"/>
              <w:spacing w:after="0" w:line="240" w:lineRule="auto"/>
              <w:ind w:left="57" w:right="57"/>
              <w:rPr>
                <w:rFonts w:ascii="Times New Roman" w:eastAsia="Calibri" w:hAnsi="Times New Roman" w:cs="Times New Roman"/>
                <w:noProof/>
                <w:sz w:val="18"/>
                <w:szCs w:val="20"/>
              </w:rPr>
            </w:pPr>
            <w:r w:rsidRPr="00B20686">
              <w:rPr>
                <w:rFonts w:ascii="Times New Roman" w:hAnsi="Times New Roman"/>
                <w:sz w:val="18"/>
                <w:szCs w:val="20"/>
              </w:rPr>
              <w:t>f) pamatnostādnes mācību pakalpojumu iepirkumam, kā arī mācību kvalitātes standartus un uzraudzības un novērtēšanas sistēmu.</w:t>
            </w:r>
          </w:p>
        </w:tc>
        <w:tc>
          <w:tcPr>
            <w:tcW w:w="766" w:type="pct"/>
            <w:tcBorders>
              <w:top w:val="single" w:sz="4" w:space="0" w:color="auto"/>
              <w:left w:val="single" w:sz="4" w:space="0" w:color="auto"/>
              <w:bottom w:val="single" w:sz="4" w:space="0" w:color="auto"/>
              <w:right w:val="single" w:sz="4" w:space="0" w:color="auto"/>
            </w:tcBorders>
            <w:shd w:val="clear" w:color="auto" w:fill="C6EFCE"/>
          </w:tcPr>
          <w:p w14:paraId="33ECFCD0" w14:textId="77777777" w:rsidR="001A3E6F" w:rsidRPr="00B20686" w:rsidRDefault="001A3E6F" w:rsidP="00B20686">
            <w:pPr>
              <w:widowControl w:val="0"/>
              <w:spacing w:after="0" w:line="240" w:lineRule="auto"/>
              <w:ind w:left="57" w:right="57"/>
              <w:rPr>
                <w:rFonts w:ascii="Times New Roman" w:eastAsia="Calibri" w:hAnsi="Times New Roman" w:cs="Times New Roman"/>
                <w:noProof/>
                <w:sz w:val="18"/>
                <w:szCs w:val="20"/>
              </w:rPr>
            </w:pPr>
            <w:r w:rsidRPr="00B20686">
              <w:rPr>
                <w:rFonts w:ascii="Times New Roman" w:hAnsi="Times New Roman"/>
                <w:sz w:val="18"/>
                <w:szCs w:val="20"/>
              </w:rPr>
              <w:lastRenderedPageBreak/>
              <w:t xml:space="preserve">Koordinācijas mehānisma izveide tālākizglītības procesa </w:t>
            </w:r>
            <w:r w:rsidRPr="00B20686">
              <w:rPr>
                <w:rFonts w:ascii="Times New Roman" w:hAnsi="Times New Roman"/>
                <w:sz w:val="18"/>
                <w:szCs w:val="20"/>
              </w:rPr>
              <w:lastRenderedPageBreak/>
              <w:t>pārvaldībai, ko apliecina attiecīgie Veselības ministrijas apliecinošie dokumenti (piemēram, rīkojumi, lēmumi).</w:t>
            </w:r>
          </w:p>
          <w:p w14:paraId="25AB7F32" w14:textId="77777777" w:rsidR="001A3E6F" w:rsidRPr="00B20686" w:rsidRDefault="001A3E6F" w:rsidP="00B20686">
            <w:pPr>
              <w:widowControl w:val="0"/>
              <w:spacing w:after="0" w:line="240" w:lineRule="auto"/>
              <w:ind w:left="57" w:right="57"/>
              <w:rPr>
                <w:rFonts w:ascii="Times New Roman" w:eastAsia="Calibri" w:hAnsi="Times New Roman" w:cs="Times New Roman"/>
                <w:noProof/>
                <w:sz w:val="18"/>
                <w:szCs w:val="20"/>
              </w:rPr>
            </w:pPr>
            <w:r w:rsidRPr="00B20686">
              <w:rPr>
                <w:rFonts w:ascii="Times New Roman" w:hAnsi="Times New Roman"/>
                <w:sz w:val="18"/>
                <w:szCs w:val="20"/>
              </w:rPr>
              <w:t xml:space="preserve">Izstrādāts tālākizglītības organizatoriskais modelis, galveno uzmanību pievēršot mācību saturam, mācību veidam, nepieciešamajām telpām un aprīkojumam (piemēram, simulācijām, virtuālās realitātes izmantošanai utt.), kā arī sadarbības mehānismiem starp izglītības iestādēm, klīniskajām universitātes slimnīcām, reģionālajām slimnīcām un citām būtiskām </w:t>
            </w:r>
            <w:r w:rsidRPr="00B20686">
              <w:rPr>
                <w:rFonts w:ascii="Times New Roman" w:hAnsi="Times New Roman"/>
                <w:sz w:val="18"/>
                <w:szCs w:val="20"/>
              </w:rPr>
              <w:lastRenderedPageBreak/>
              <w:t>ieinteresētajām personām. Izveidots organizatoriskais modelis, pārvaldības struktūra un skaidrs pienākumu un atbildības sadalījums. Pamatnostādnes mācību pakalpojumu iepirkumam, kā arī mācību kvalitātes standarti un uzraudzības un novērtēšanas sistēma.</w:t>
            </w:r>
          </w:p>
        </w:tc>
      </w:tr>
      <w:tr w:rsidR="001A3E6F" w:rsidRPr="00B20686" w14:paraId="39805A3E" w14:textId="77777777" w:rsidTr="009E7D55">
        <w:trPr>
          <w:jc w:val="center"/>
        </w:trPr>
        <w:tc>
          <w:tcPr>
            <w:tcW w:w="155" w:type="pct"/>
            <w:tcBorders>
              <w:top w:val="single" w:sz="4" w:space="0" w:color="auto"/>
              <w:left w:val="single" w:sz="4" w:space="0" w:color="auto"/>
              <w:bottom w:val="single" w:sz="4" w:space="0" w:color="auto"/>
              <w:right w:val="single" w:sz="4" w:space="0" w:color="auto"/>
            </w:tcBorders>
            <w:shd w:val="clear" w:color="auto" w:fill="C6EFCE"/>
          </w:tcPr>
          <w:p w14:paraId="65E53E50"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lastRenderedPageBreak/>
              <w:t>148</w:t>
            </w:r>
          </w:p>
        </w:tc>
        <w:tc>
          <w:tcPr>
            <w:tcW w:w="337" w:type="pct"/>
            <w:tcBorders>
              <w:top w:val="single" w:sz="4" w:space="0" w:color="auto"/>
              <w:left w:val="single" w:sz="4" w:space="0" w:color="auto"/>
              <w:bottom w:val="single" w:sz="4" w:space="0" w:color="auto"/>
              <w:right w:val="single" w:sz="4" w:space="0" w:color="auto"/>
            </w:tcBorders>
            <w:shd w:val="clear" w:color="auto" w:fill="C6EFCE"/>
          </w:tcPr>
          <w:p w14:paraId="26946957"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t>4.2.1.1.i.</w:t>
            </w:r>
          </w:p>
          <w:p w14:paraId="269A0620"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t>Atbalsts cilvēkresursu attīstības sistēmas ieviešanai</w:t>
            </w:r>
          </w:p>
        </w:tc>
        <w:tc>
          <w:tcPr>
            <w:tcW w:w="271" w:type="pct"/>
            <w:tcBorders>
              <w:top w:val="single" w:sz="4" w:space="0" w:color="auto"/>
              <w:left w:val="single" w:sz="4" w:space="0" w:color="auto"/>
              <w:bottom w:val="single" w:sz="4" w:space="0" w:color="auto"/>
              <w:right w:val="single" w:sz="4" w:space="0" w:color="auto"/>
            </w:tcBorders>
            <w:shd w:val="clear" w:color="auto" w:fill="C6EFCE"/>
          </w:tcPr>
          <w:p w14:paraId="7DE9B317"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Atskaites punkts</w:t>
            </w:r>
          </w:p>
        </w:tc>
        <w:tc>
          <w:tcPr>
            <w:tcW w:w="336" w:type="pct"/>
            <w:tcBorders>
              <w:top w:val="single" w:sz="4" w:space="0" w:color="auto"/>
              <w:left w:val="single" w:sz="4" w:space="0" w:color="auto"/>
              <w:bottom w:val="single" w:sz="4" w:space="0" w:color="auto"/>
              <w:right w:val="single" w:sz="4" w:space="0" w:color="auto"/>
            </w:tcBorders>
            <w:shd w:val="clear" w:color="auto" w:fill="C6EFCE"/>
          </w:tcPr>
          <w:p w14:paraId="098885C6"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 xml:space="preserve">Veselības aprūpes mācību procesā ieviesta simulācijas pieeja </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5580BFB1"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Veselības aprūpes mācību procesā ieviesta simulācijas pieeja</w:t>
            </w:r>
          </w:p>
        </w:tc>
        <w:tc>
          <w:tcPr>
            <w:tcW w:w="241" w:type="pct"/>
            <w:tcBorders>
              <w:top w:val="single" w:sz="8" w:space="0" w:color="auto"/>
              <w:left w:val="single" w:sz="4" w:space="0" w:color="auto"/>
              <w:bottom w:val="single" w:sz="8" w:space="0" w:color="auto"/>
              <w:right w:val="single" w:sz="8" w:space="0" w:color="auto"/>
            </w:tcBorders>
            <w:shd w:val="clear" w:color="auto" w:fill="C6EFCE"/>
          </w:tcPr>
          <w:p w14:paraId="4746BD12"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253" w:type="pct"/>
            <w:tcBorders>
              <w:top w:val="single" w:sz="8" w:space="0" w:color="auto"/>
              <w:left w:val="single" w:sz="8" w:space="0" w:color="auto"/>
              <w:bottom w:val="single" w:sz="8" w:space="0" w:color="auto"/>
              <w:right w:val="single" w:sz="8" w:space="0" w:color="auto"/>
            </w:tcBorders>
            <w:shd w:val="clear" w:color="auto" w:fill="C6EFCE"/>
          </w:tcPr>
          <w:p w14:paraId="7FD03839"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193" w:type="pct"/>
            <w:tcBorders>
              <w:top w:val="single" w:sz="8" w:space="0" w:color="auto"/>
              <w:left w:val="single" w:sz="8" w:space="0" w:color="auto"/>
              <w:bottom w:val="single" w:sz="8" w:space="0" w:color="auto"/>
              <w:right w:val="single" w:sz="8" w:space="0" w:color="auto"/>
            </w:tcBorders>
            <w:shd w:val="clear" w:color="auto" w:fill="C6EFCE"/>
          </w:tcPr>
          <w:p w14:paraId="7209D6FE"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146" w:type="pct"/>
            <w:tcBorders>
              <w:top w:val="single" w:sz="8" w:space="0" w:color="auto"/>
              <w:left w:val="single" w:sz="8" w:space="0" w:color="auto"/>
              <w:bottom w:val="single" w:sz="8" w:space="0" w:color="auto"/>
              <w:right w:val="single" w:sz="8" w:space="0" w:color="auto"/>
            </w:tcBorders>
            <w:shd w:val="clear" w:color="auto" w:fill="C6EFCE"/>
          </w:tcPr>
          <w:p w14:paraId="7E89CAE0"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3. cet.</w:t>
            </w:r>
          </w:p>
        </w:tc>
        <w:tc>
          <w:tcPr>
            <w:tcW w:w="193" w:type="pct"/>
            <w:tcBorders>
              <w:top w:val="single" w:sz="8" w:space="0" w:color="auto"/>
              <w:left w:val="single" w:sz="8" w:space="0" w:color="auto"/>
              <w:bottom w:val="single" w:sz="8" w:space="0" w:color="auto"/>
              <w:right w:val="single" w:sz="4" w:space="0" w:color="auto"/>
            </w:tcBorders>
            <w:shd w:val="clear" w:color="auto" w:fill="C6EFCE"/>
          </w:tcPr>
          <w:p w14:paraId="0738F647"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2026</w:t>
            </w:r>
          </w:p>
        </w:tc>
        <w:tc>
          <w:tcPr>
            <w:tcW w:w="422" w:type="pct"/>
            <w:tcBorders>
              <w:top w:val="single" w:sz="4" w:space="0" w:color="auto"/>
              <w:left w:val="single" w:sz="4" w:space="0" w:color="auto"/>
              <w:bottom w:val="single" w:sz="4" w:space="0" w:color="auto"/>
              <w:right w:val="single" w:sz="4" w:space="0" w:color="auto"/>
            </w:tcBorders>
            <w:shd w:val="clear" w:color="auto" w:fill="C6EFCE"/>
          </w:tcPr>
          <w:p w14:paraId="2F4CC1DC" w14:textId="77777777" w:rsidR="001A3E6F" w:rsidRPr="00B20686" w:rsidRDefault="001A3E6F" w:rsidP="00B20686">
            <w:pPr>
              <w:widowControl w:val="0"/>
              <w:spacing w:after="0" w:line="240" w:lineRule="auto"/>
              <w:ind w:left="57" w:right="57"/>
              <w:jc w:val="both"/>
              <w:rPr>
                <w:rFonts w:ascii="Times New Roman" w:hAnsi="Times New Roman" w:cs="Calibri"/>
                <w:noProof/>
                <w:sz w:val="18"/>
                <w:szCs w:val="20"/>
              </w:rPr>
            </w:pPr>
            <w:r w:rsidRPr="00B20686">
              <w:rPr>
                <w:rFonts w:ascii="Times New Roman" w:hAnsi="Times New Roman"/>
                <w:sz w:val="18"/>
                <w:szCs w:val="20"/>
              </w:rPr>
              <w:t xml:space="preserve">Veselības ministrija </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2EB5D403"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Simulācijas pieeja aptver visus medicīnas izglītības posmus, bet primāri ir vērsta uz mūžizglītību</w:t>
            </w:r>
          </w:p>
        </w:tc>
        <w:tc>
          <w:tcPr>
            <w:tcW w:w="918" w:type="pct"/>
            <w:tcBorders>
              <w:top w:val="single" w:sz="4" w:space="0" w:color="auto"/>
              <w:left w:val="single" w:sz="4" w:space="0" w:color="auto"/>
              <w:bottom w:val="single" w:sz="4" w:space="0" w:color="auto"/>
              <w:right w:val="single" w:sz="4" w:space="0" w:color="auto"/>
            </w:tcBorders>
            <w:shd w:val="clear" w:color="auto" w:fill="C6EFCE"/>
          </w:tcPr>
          <w:p w14:paraId="10934EAF"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 xml:space="preserve">Kopsavilkuma dokuments, kurā pienācīgi pamatots, kā tika apmierinoši sasniegts atskaites punkts (tostarp visi būtiskie elementi), kopā ar atbilstošām saitēm uz pamatojošajiem </w:t>
            </w:r>
            <w:r w:rsidRPr="00B20686">
              <w:rPr>
                <w:rFonts w:ascii="Times New Roman" w:hAnsi="Times New Roman"/>
                <w:sz w:val="18"/>
                <w:szCs w:val="20"/>
              </w:rPr>
              <w:lastRenderedPageBreak/>
              <w:t>pierādījumiem.</w:t>
            </w:r>
          </w:p>
          <w:p w14:paraId="7E3E5002" w14:textId="77777777" w:rsidR="001A3E6F" w:rsidRPr="00B20686" w:rsidRDefault="001A3E6F" w:rsidP="00B20686">
            <w:pPr>
              <w:widowControl w:val="0"/>
              <w:spacing w:after="0" w:line="240" w:lineRule="auto"/>
              <w:ind w:left="57" w:right="57"/>
              <w:rPr>
                <w:rFonts w:ascii="Times New Roman" w:hAnsi="Times New Roman"/>
                <w:noProof/>
                <w:sz w:val="18"/>
                <w:szCs w:val="20"/>
              </w:rPr>
            </w:pPr>
            <w:r w:rsidRPr="00B20686">
              <w:rPr>
                <w:rFonts w:ascii="Times New Roman" w:hAnsi="Times New Roman"/>
                <w:sz w:val="18"/>
                <w:szCs w:val="20"/>
              </w:rPr>
              <w:t>Šā dokumenta pielikumā iekļauj to Veselības ministrijas lēmumu kopijas, ar kuriem apstiprina rīcības plānu vai vadlīnijas simulāciju ieviešanai visos medicīnas izglītības posmos, un saites uz tiem.</w:t>
            </w:r>
          </w:p>
        </w:tc>
        <w:tc>
          <w:tcPr>
            <w:tcW w:w="766" w:type="pct"/>
            <w:tcBorders>
              <w:top w:val="single" w:sz="4" w:space="0" w:color="auto"/>
              <w:left w:val="single" w:sz="4" w:space="0" w:color="auto"/>
              <w:bottom w:val="single" w:sz="4" w:space="0" w:color="auto"/>
              <w:right w:val="single" w:sz="4" w:space="0" w:color="auto"/>
            </w:tcBorders>
            <w:shd w:val="clear" w:color="auto" w:fill="C6EFCE"/>
          </w:tcPr>
          <w:p w14:paraId="37906506" w14:textId="77777777" w:rsidR="001A3E6F" w:rsidRPr="00B20686" w:rsidRDefault="001A3E6F" w:rsidP="00B20686">
            <w:pPr>
              <w:widowControl w:val="0"/>
              <w:spacing w:after="0" w:line="240" w:lineRule="auto"/>
              <w:ind w:left="57" w:right="57"/>
              <w:rPr>
                <w:rFonts w:ascii="Times New Roman" w:eastAsia="Calibri" w:hAnsi="Times New Roman" w:cs="Times New Roman"/>
                <w:noProof/>
                <w:sz w:val="18"/>
                <w:szCs w:val="20"/>
              </w:rPr>
            </w:pPr>
            <w:r w:rsidRPr="00B20686">
              <w:rPr>
                <w:rFonts w:ascii="Times New Roman" w:hAnsi="Times New Roman"/>
                <w:sz w:val="18"/>
                <w:szCs w:val="20"/>
              </w:rPr>
              <w:lastRenderedPageBreak/>
              <w:t xml:space="preserve">Atskaites punktu uzskata par sasniegtu, tiklīdz Veselības ministrija ir apstiprinājusi rīcības plānu vai pamatnostādnes simulāciju ieviešanai visos medicīnas izglītības posmos. </w:t>
            </w:r>
          </w:p>
        </w:tc>
      </w:tr>
      <w:tr w:rsidR="001A3E6F" w:rsidRPr="00B20686" w14:paraId="45E2D794" w14:textId="77777777" w:rsidTr="009E7D55">
        <w:trPr>
          <w:jc w:val="center"/>
        </w:trPr>
        <w:tc>
          <w:tcPr>
            <w:tcW w:w="155" w:type="pct"/>
            <w:tcBorders>
              <w:top w:val="single" w:sz="4" w:space="0" w:color="auto"/>
              <w:left w:val="single" w:sz="4" w:space="0" w:color="auto"/>
              <w:bottom w:val="single" w:sz="4" w:space="0" w:color="auto"/>
              <w:right w:val="single" w:sz="4" w:space="0" w:color="auto"/>
            </w:tcBorders>
            <w:shd w:val="clear" w:color="auto" w:fill="C6EFCE"/>
          </w:tcPr>
          <w:p w14:paraId="0C12C5CF"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149</w:t>
            </w:r>
          </w:p>
        </w:tc>
        <w:tc>
          <w:tcPr>
            <w:tcW w:w="337" w:type="pct"/>
            <w:tcBorders>
              <w:top w:val="single" w:sz="4" w:space="0" w:color="auto"/>
              <w:left w:val="single" w:sz="4" w:space="0" w:color="auto"/>
              <w:bottom w:val="single" w:sz="4" w:space="0" w:color="auto"/>
              <w:right w:val="single" w:sz="4" w:space="0" w:color="auto"/>
            </w:tcBorders>
            <w:shd w:val="clear" w:color="auto" w:fill="C6EFCE"/>
          </w:tcPr>
          <w:p w14:paraId="473B3C0A"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t>4.3.1.r.</w:t>
            </w:r>
          </w:p>
          <w:p w14:paraId="467B1B0F"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t>Veselības aprūpes ilgtspēja, pārvaldības stiprināšana, efektīva veselības aprūpes resursu izlietošana, kopējā valsts budžeta veselības aprūpes nozarē palielinājums</w:t>
            </w:r>
          </w:p>
        </w:tc>
        <w:tc>
          <w:tcPr>
            <w:tcW w:w="271" w:type="pct"/>
            <w:tcBorders>
              <w:top w:val="single" w:sz="4" w:space="0" w:color="auto"/>
              <w:left w:val="single" w:sz="4" w:space="0" w:color="auto"/>
              <w:bottom w:val="single" w:sz="4" w:space="0" w:color="auto"/>
              <w:right w:val="single" w:sz="4" w:space="0" w:color="auto"/>
            </w:tcBorders>
            <w:shd w:val="clear" w:color="auto" w:fill="C6EFCE"/>
          </w:tcPr>
          <w:p w14:paraId="7BC9D69A"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Atskaites punkts</w:t>
            </w:r>
          </w:p>
        </w:tc>
        <w:tc>
          <w:tcPr>
            <w:tcW w:w="336" w:type="pct"/>
            <w:tcBorders>
              <w:top w:val="single" w:sz="4" w:space="0" w:color="auto"/>
              <w:left w:val="single" w:sz="4" w:space="0" w:color="auto"/>
              <w:bottom w:val="single" w:sz="4" w:space="0" w:color="auto"/>
              <w:right w:val="single" w:sz="4" w:space="0" w:color="auto"/>
            </w:tcBorders>
            <w:shd w:val="clear" w:color="auto" w:fill="C6EFCE"/>
          </w:tcPr>
          <w:p w14:paraId="093ACF14"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Koordinācijas mehānisms, kas apstiprināts, lai novērtētu, izstrādātu un ieviestu jaunus veselības aprūpes pakalpojumu sniegšanas modeļus</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3026F2EE"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Koordinācijas mehānisms jaunu veselības aprūpes pakalpojumu sniegšanas modeļu novērtēšanai un ieviešanai, ko izstrādājusi un apstiprinājusi Veselības ministrija</w:t>
            </w:r>
          </w:p>
        </w:tc>
        <w:tc>
          <w:tcPr>
            <w:tcW w:w="241" w:type="pct"/>
            <w:tcBorders>
              <w:top w:val="single" w:sz="8" w:space="0" w:color="auto"/>
              <w:left w:val="single" w:sz="4" w:space="0" w:color="auto"/>
              <w:bottom w:val="single" w:sz="8" w:space="0" w:color="auto"/>
              <w:right w:val="single" w:sz="8" w:space="0" w:color="auto"/>
            </w:tcBorders>
            <w:shd w:val="clear" w:color="auto" w:fill="C6EFCE"/>
          </w:tcPr>
          <w:p w14:paraId="614264EF"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253" w:type="pct"/>
            <w:tcBorders>
              <w:top w:val="single" w:sz="8" w:space="0" w:color="auto"/>
              <w:left w:val="single" w:sz="8" w:space="0" w:color="auto"/>
              <w:bottom w:val="single" w:sz="8" w:space="0" w:color="auto"/>
              <w:right w:val="single" w:sz="8" w:space="0" w:color="auto"/>
            </w:tcBorders>
            <w:shd w:val="clear" w:color="auto" w:fill="C6EFCE"/>
          </w:tcPr>
          <w:p w14:paraId="4B2701CF"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193" w:type="pct"/>
            <w:tcBorders>
              <w:top w:val="single" w:sz="8" w:space="0" w:color="auto"/>
              <w:left w:val="single" w:sz="8" w:space="0" w:color="auto"/>
              <w:bottom w:val="single" w:sz="8" w:space="0" w:color="auto"/>
              <w:right w:val="single" w:sz="8" w:space="0" w:color="auto"/>
            </w:tcBorders>
            <w:shd w:val="clear" w:color="auto" w:fill="C6EFCE"/>
          </w:tcPr>
          <w:p w14:paraId="327D4C00"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146" w:type="pct"/>
            <w:tcBorders>
              <w:top w:val="single" w:sz="8" w:space="0" w:color="auto"/>
              <w:left w:val="single" w:sz="8" w:space="0" w:color="auto"/>
              <w:bottom w:val="single" w:sz="8" w:space="0" w:color="auto"/>
              <w:right w:val="single" w:sz="8" w:space="0" w:color="auto"/>
            </w:tcBorders>
            <w:shd w:val="clear" w:color="auto" w:fill="C6EFCE"/>
          </w:tcPr>
          <w:p w14:paraId="0BD961C3"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4. cet.</w:t>
            </w:r>
          </w:p>
        </w:tc>
        <w:tc>
          <w:tcPr>
            <w:tcW w:w="193" w:type="pct"/>
            <w:tcBorders>
              <w:top w:val="single" w:sz="8" w:space="0" w:color="auto"/>
              <w:left w:val="single" w:sz="8" w:space="0" w:color="auto"/>
              <w:bottom w:val="single" w:sz="8" w:space="0" w:color="auto"/>
              <w:right w:val="single" w:sz="4" w:space="0" w:color="auto"/>
            </w:tcBorders>
            <w:shd w:val="clear" w:color="auto" w:fill="C6EFCE"/>
          </w:tcPr>
          <w:p w14:paraId="2D882D70"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2022</w:t>
            </w:r>
          </w:p>
        </w:tc>
        <w:tc>
          <w:tcPr>
            <w:tcW w:w="422" w:type="pct"/>
            <w:tcBorders>
              <w:top w:val="single" w:sz="4" w:space="0" w:color="auto"/>
              <w:left w:val="single" w:sz="4" w:space="0" w:color="auto"/>
              <w:bottom w:val="single" w:sz="4" w:space="0" w:color="auto"/>
              <w:right w:val="single" w:sz="4" w:space="0" w:color="auto"/>
            </w:tcBorders>
            <w:shd w:val="clear" w:color="auto" w:fill="C6EFCE"/>
          </w:tcPr>
          <w:p w14:paraId="5C43F2FC" w14:textId="77777777" w:rsidR="001A3E6F" w:rsidRPr="00B20686" w:rsidRDefault="001A3E6F" w:rsidP="00B20686">
            <w:pPr>
              <w:widowControl w:val="0"/>
              <w:spacing w:after="0" w:line="240" w:lineRule="auto"/>
              <w:ind w:left="57" w:right="57"/>
              <w:jc w:val="both"/>
              <w:rPr>
                <w:rFonts w:ascii="Times New Roman" w:hAnsi="Times New Roman" w:cs="Calibri"/>
                <w:noProof/>
                <w:sz w:val="18"/>
                <w:szCs w:val="20"/>
              </w:rPr>
            </w:pPr>
            <w:r w:rsidRPr="00B20686">
              <w:rPr>
                <w:rFonts w:ascii="Times New Roman" w:hAnsi="Times New Roman"/>
                <w:sz w:val="18"/>
                <w:szCs w:val="20"/>
              </w:rPr>
              <w:t xml:space="preserve">Veselības ministrija </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35CD8A75"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p>
        </w:tc>
        <w:tc>
          <w:tcPr>
            <w:tcW w:w="918" w:type="pct"/>
            <w:tcBorders>
              <w:top w:val="single" w:sz="4" w:space="0" w:color="auto"/>
              <w:left w:val="single" w:sz="4" w:space="0" w:color="auto"/>
              <w:bottom w:val="single" w:sz="4" w:space="0" w:color="auto"/>
              <w:right w:val="single" w:sz="4" w:space="0" w:color="auto"/>
            </w:tcBorders>
            <w:shd w:val="clear" w:color="auto" w:fill="C6EFCE"/>
          </w:tcPr>
          <w:p w14:paraId="29458D56"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Kopsavilkuma dokuments, kurā pienācīgi pamatots, kā tika apmierinoši sasniegts atskaites punkts (tostarp visi būtiskie elementi), kopā ar atbilstošām saitēm uz pamatojošajiem pierādījumiem.</w:t>
            </w:r>
          </w:p>
          <w:p w14:paraId="6C4BE61E" w14:textId="77777777" w:rsidR="001A3E6F" w:rsidRPr="00B20686" w:rsidRDefault="001A3E6F" w:rsidP="00B20686">
            <w:pPr>
              <w:widowControl w:val="0"/>
              <w:spacing w:after="0" w:line="240" w:lineRule="auto"/>
              <w:ind w:left="57" w:right="57"/>
              <w:rPr>
                <w:rFonts w:ascii="Times New Roman" w:hAnsi="Times New Roman"/>
                <w:noProof/>
                <w:sz w:val="18"/>
                <w:szCs w:val="20"/>
              </w:rPr>
            </w:pPr>
            <w:r w:rsidRPr="00B20686">
              <w:rPr>
                <w:rFonts w:ascii="Times New Roman" w:hAnsi="Times New Roman"/>
                <w:sz w:val="18"/>
                <w:szCs w:val="20"/>
              </w:rPr>
              <w:t xml:space="preserve">Šā dokumenta pielikumā iekļauj kopiju Veselības ministrijas vai tās padotībā esošās struktūras lēmumam par </w:t>
            </w:r>
            <w:r w:rsidRPr="00B20686">
              <w:rPr>
                <w:rFonts w:ascii="Times New Roman" w:hAnsi="Times New Roman"/>
                <w:sz w:val="18"/>
                <w:szCs w:val="20"/>
              </w:rPr>
              <w:lastRenderedPageBreak/>
              <w:t>koordinācijas nodaļas izveidošanu, un dokumentus, kas parāda:</w:t>
            </w:r>
          </w:p>
          <w:p w14:paraId="36C810D9"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a) nodaļas mērķi;</w:t>
            </w:r>
          </w:p>
          <w:p w14:paraId="343B29BA" w14:textId="77777777" w:rsidR="001A3E6F" w:rsidRPr="00B20686" w:rsidRDefault="001A3E6F" w:rsidP="00B20686">
            <w:pPr>
              <w:widowControl w:val="0"/>
              <w:spacing w:after="0" w:line="240" w:lineRule="auto"/>
              <w:ind w:left="57" w:right="57"/>
              <w:rPr>
                <w:rFonts w:ascii="Times New Roman" w:hAnsi="Times New Roman"/>
                <w:noProof/>
                <w:sz w:val="18"/>
                <w:szCs w:val="20"/>
              </w:rPr>
            </w:pPr>
            <w:r w:rsidRPr="00B20686">
              <w:rPr>
                <w:rFonts w:ascii="Times New Roman" w:hAnsi="Times New Roman"/>
                <w:sz w:val="18"/>
                <w:szCs w:val="20"/>
              </w:rPr>
              <w:t xml:space="preserve">b) darba grupas vai uzraudzības padomes sastāvu un apliecina, ka nozares pārstāvji ir iesaistīti priekšlikumu izstrādē ekspertu statusā, lai parādītu atbilstību Padomes Īstenošanas lēmuma pielikumā sniegtajam atskaites punkta un reformas aprakstam. </w:t>
            </w:r>
          </w:p>
        </w:tc>
        <w:tc>
          <w:tcPr>
            <w:tcW w:w="766" w:type="pct"/>
            <w:tcBorders>
              <w:top w:val="single" w:sz="4" w:space="0" w:color="auto"/>
              <w:left w:val="single" w:sz="4" w:space="0" w:color="auto"/>
              <w:bottom w:val="single" w:sz="4" w:space="0" w:color="auto"/>
              <w:right w:val="single" w:sz="4" w:space="0" w:color="auto"/>
            </w:tcBorders>
            <w:shd w:val="clear" w:color="auto" w:fill="C6EFCE"/>
          </w:tcPr>
          <w:p w14:paraId="5CBC96B1" w14:textId="77777777" w:rsidR="001A3E6F" w:rsidRPr="00B20686" w:rsidRDefault="001A3E6F" w:rsidP="00B20686">
            <w:pPr>
              <w:widowControl w:val="0"/>
              <w:spacing w:after="0" w:line="240" w:lineRule="auto"/>
              <w:ind w:left="57" w:right="57"/>
              <w:rPr>
                <w:rFonts w:ascii="Times New Roman" w:eastAsia="Calibri" w:hAnsi="Times New Roman" w:cs="Times New Roman"/>
                <w:noProof/>
                <w:sz w:val="18"/>
                <w:szCs w:val="20"/>
              </w:rPr>
            </w:pPr>
            <w:r w:rsidRPr="00B20686">
              <w:rPr>
                <w:rFonts w:ascii="Times New Roman" w:hAnsi="Times New Roman"/>
                <w:sz w:val="18"/>
                <w:szCs w:val="20"/>
              </w:rPr>
              <w:lastRenderedPageBreak/>
              <w:t>Veselības ministrijā vai tās padotībā esošā struktūrā darbojas koordinācijas nodaļa. Tā nodrošina, ka nozares pārstāvji tiek iesaistīti priekšlikumu izstrādē ekspertu statusā (piemēram, darba grupā vai uzraudzības padomē).</w:t>
            </w:r>
          </w:p>
          <w:p w14:paraId="49EDE123" w14:textId="77777777" w:rsidR="001A3E6F" w:rsidRPr="00B20686" w:rsidRDefault="001A3E6F" w:rsidP="00B20686">
            <w:pPr>
              <w:widowControl w:val="0"/>
              <w:spacing w:after="0" w:line="240" w:lineRule="auto"/>
              <w:ind w:left="57" w:right="57"/>
              <w:rPr>
                <w:rFonts w:ascii="Times New Roman" w:eastAsia="Calibri" w:hAnsi="Times New Roman" w:cs="Times New Roman"/>
                <w:noProof/>
                <w:sz w:val="18"/>
                <w:szCs w:val="20"/>
              </w:rPr>
            </w:pPr>
            <w:r w:rsidRPr="00B20686">
              <w:rPr>
                <w:rFonts w:ascii="Times New Roman" w:hAnsi="Times New Roman"/>
                <w:sz w:val="18"/>
                <w:szCs w:val="20"/>
              </w:rPr>
              <w:t xml:space="preserve">Šīs nodaļas mērķis ir koordinēt darbu, lai izstrādātu, ieviestu un </w:t>
            </w:r>
            <w:r w:rsidRPr="00B20686">
              <w:rPr>
                <w:rFonts w:ascii="Times New Roman" w:hAnsi="Times New Roman"/>
                <w:sz w:val="18"/>
                <w:szCs w:val="20"/>
              </w:rPr>
              <w:lastRenderedPageBreak/>
              <w:t>novērtētu jaunus veselības aprūpes pakalpojumu sniegšanas modeļus, kuru mērķis ir nodrošināt labāku un efektīvāku valsts finansētu veselības aprūpes pakalpojumu sniegšanu visos līmeņos, nodrošinot pakalpojumu pieejamību un kvalitāti ar sistēmas maiņas mehānismu izveidi valsts apmaksātiem pakalpojumiem.</w:t>
            </w:r>
          </w:p>
        </w:tc>
      </w:tr>
      <w:tr w:rsidR="001A3E6F" w:rsidRPr="00B20686" w14:paraId="24C4F52A" w14:textId="77777777" w:rsidTr="009E7D55">
        <w:trPr>
          <w:jc w:val="center"/>
        </w:trPr>
        <w:tc>
          <w:tcPr>
            <w:tcW w:w="155" w:type="pct"/>
            <w:tcBorders>
              <w:top w:val="single" w:sz="4" w:space="0" w:color="auto"/>
              <w:left w:val="single" w:sz="4" w:space="0" w:color="auto"/>
              <w:bottom w:val="single" w:sz="4" w:space="0" w:color="auto"/>
              <w:right w:val="single" w:sz="4" w:space="0" w:color="auto"/>
            </w:tcBorders>
            <w:shd w:val="clear" w:color="auto" w:fill="C6EFCE"/>
          </w:tcPr>
          <w:p w14:paraId="2A7516C5"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lastRenderedPageBreak/>
              <w:t>150</w:t>
            </w:r>
          </w:p>
        </w:tc>
        <w:tc>
          <w:tcPr>
            <w:tcW w:w="337" w:type="pct"/>
            <w:tcBorders>
              <w:top w:val="single" w:sz="4" w:space="0" w:color="auto"/>
              <w:left w:val="single" w:sz="4" w:space="0" w:color="auto"/>
              <w:bottom w:val="single" w:sz="4" w:space="0" w:color="auto"/>
              <w:right w:val="single" w:sz="4" w:space="0" w:color="auto"/>
            </w:tcBorders>
            <w:shd w:val="clear" w:color="auto" w:fill="C6EFCE"/>
          </w:tcPr>
          <w:p w14:paraId="68F73A69"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t>4.3.1.r.</w:t>
            </w:r>
          </w:p>
          <w:p w14:paraId="6F88CCD8"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t xml:space="preserve">Veselības aprūpes ilgtspēja, pārvaldības stiprināšana, efektīva veselības aprūpes resursu izlietošana, kopējā valsts </w:t>
            </w:r>
            <w:r w:rsidRPr="00B20686">
              <w:rPr>
                <w:rFonts w:ascii="Times New Roman" w:hAnsi="Times New Roman"/>
                <w:b/>
                <w:sz w:val="18"/>
                <w:szCs w:val="20"/>
              </w:rPr>
              <w:lastRenderedPageBreak/>
              <w:t>budžeta veselības aprūpes nozarē palielinājums</w:t>
            </w:r>
          </w:p>
        </w:tc>
        <w:tc>
          <w:tcPr>
            <w:tcW w:w="271" w:type="pct"/>
            <w:tcBorders>
              <w:top w:val="single" w:sz="4" w:space="0" w:color="auto"/>
              <w:left w:val="single" w:sz="4" w:space="0" w:color="auto"/>
              <w:bottom w:val="single" w:sz="4" w:space="0" w:color="auto"/>
              <w:right w:val="single" w:sz="4" w:space="0" w:color="auto"/>
            </w:tcBorders>
            <w:shd w:val="clear" w:color="auto" w:fill="C6EFCE"/>
          </w:tcPr>
          <w:p w14:paraId="6E278097"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lastRenderedPageBreak/>
              <w:t>Mērķis</w:t>
            </w:r>
          </w:p>
        </w:tc>
        <w:tc>
          <w:tcPr>
            <w:tcW w:w="336" w:type="pct"/>
            <w:tcBorders>
              <w:top w:val="single" w:sz="4" w:space="0" w:color="auto"/>
              <w:left w:val="single" w:sz="4" w:space="0" w:color="auto"/>
              <w:bottom w:val="single" w:sz="4" w:space="0" w:color="auto"/>
              <w:right w:val="single" w:sz="4" w:space="0" w:color="auto"/>
            </w:tcBorders>
            <w:shd w:val="clear" w:color="auto" w:fill="C6EFCE"/>
          </w:tcPr>
          <w:p w14:paraId="7C7D0016"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Jaunu veselības aprūpes pakalpojumu sniegšanas modeļu integrēšana publiski finansētos veselības aprūpes pakalpojumos</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62794719"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241" w:type="pct"/>
            <w:tcBorders>
              <w:top w:val="single" w:sz="8" w:space="0" w:color="auto"/>
              <w:left w:val="single" w:sz="4" w:space="0" w:color="auto"/>
              <w:bottom w:val="single" w:sz="8" w:space="0" w:color="auto"/>
              <w:right w:val="single" w:sz="8" w:space="0" w:color="auto"/>
            </w:tcBorders>
            <w:shd w:val="clear" w:color="auto" w:fill="C6EFCE"/>
          </w:tcPr>
          <w:p w14:paraId="61A974B4"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Skaits</w:t>
            </w:r>
          </w:p>
        </w:tc>
        <w:tc>
          <w:tcPr>
            <w:tcW w:w="253" w:type="pct"/>
            <w:tcBorders>
              <w:top w:val="single" w:sz="8" w:space="0" w:color="auto"/>
              <w:left w:val="single" w:sz="8" w:space="0" w:color="auto"/>
              <w:bottom w:val="single" w:sz="8" w:space="0" w:color="auto"/>
              <w:right w:val="single" w:sz="8" w:space="0" w:color="auto"/>
            </w:tcBorders>
            <w:shd w:val="clear" w:color="auto" w:fill="C6EFCE"/>
          </w:tcPr>
          <w:p w14:paraId="3CEF0970"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0</w:t>
            </w:r>
          </w:p>
        </w:tc>
        <w:tc>
          <w:tcPr>
            <w:tcW w:w="193" w:type="pct"/>
            <w:tcBorders>
              <w:top w:val="single" w:sz="8" w:space="0" w:color="auto"/>
              <w:left w:val="single" w:sz="8" w:space="0" w:color="auto"/>
              <w:bottom w:val="single" w:sz="8" w:space="0" w:color="auto"/>
              <w:right w:val="single" w:sz="8" w:space="0" w:color="auto"/>
            </w:tcBorders>
            <w:shd w:val="clear" w:color="auto" w:fill="C6EFCE"/>
          </w:tcPr>
          <w:p w14:paraId="3949E4AE"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10</w:t>
            </w:r>
          </w:p>
        </w:tc>
        <w:tc>
          <w:tcPr>
            <w:tcW w:w="146" w:type="pct"/>
            <w:tcBorders>
              <w:top w:val="single" w:sz="8" w:space="0" w:color="auto"/>
              <w:left w:val="single" w:sz="8" w:space="0" w:color="auto"/>
              <w:bottom w:val="single" w:sz="8" w:space="0" w:color="auto"/>
              <w:right w:val="single" w:sz="8" w:space="0" w:color="auto"/>
            </w:tcBorders>
            <w:shd w:val="clear" w:color="auto" w:fill="C6EFCE"/>
          </w:tcPr>
          <w:p w14:paraId="62D6BCA1"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3. cet.</w:t>
            </w:r>
          </w:p>
        </w:tc>
        <w:tc>
          <w:tcPr>
            <w:tcW w:w="193" w:type="pct"/>
            <w:tcBorders>
              <w:top w:val="single" w:sz="8" w:space="0" w:color="auto"/>
              <w:left w:val="single" w:sz="8" w:space="0" w:color="auto"/>
              <w:bottom w:val="single" w:sz="8" w:space="0" w:color="auto"/>
              <w:right w:val="single" w:sz="4" w:space="0" w:color="auto"/>
            </w:tcBorders>
            <w:shd w:val="clear" w:color="auto" w:fill="C6EFCE"/>
          </w:tcPr>
          <w:p w14:paraId="630F4906"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2026</w:t>
            </w:r>
          </w:p>
        </w:tc>
        <w:tc>
          <w:tcPr>
            <w:tcW w:w="422" w:type="pct"/>
            <w:tcBorders>
              <w:top w:val="single" w:sz="4" w:space="0" w:color="auto"/>
              <w:left w:val="single" w:sz="4" w:space="0" w:color="auto"/>
              <w:bottom w:val="single" w:sz="4" w:space="0" w:color="auto"/>
              <w:right w:val="single" w:sz="4" w:space="0" w:color="auto"/>
            </w:tcBorders>
            <w:shd w:val="clear" w:color="auto" w:fill="C6EFCE"/>
          </w:tcPr>
          <w:p w14:paraId="5C715188" w14:textId="77777777" w:rsidR="001A3E6F" w:rsidRPr="00B20686" w:rsidRDefault="001A3E6F" w:rsidP="00B20686">
            <w:pPr>
              <w:widowControl w:val="0"/>
              <w:spacing w:after="0" w:line="240" w:lineRule="auto"/>
              <w:ind w:left="57" w:right="57"/>
              <w:jc w:val="both"/>
              <w:rPr>
                <w:rFonts w:ascii="Times New Roman" w:hAnsi="Times New Roman" w:cs="Calibri"/>
                <w:noProof/>
                <w:sz w:val="18"/>
                <w:szCs w:val="20"/>
              </w:rPr>
            </w:pPr>
            <w:r w:rsidRPr="00B20686">
              <w:rPr>
                <w:rFonts w:ascii="Times New Roman" w:hAnsi="Times New Roman"/>
                <w:sz w:val="18"/>
                <w:szCs w:val="20"/>
              </w:rPr>
              <w:t xml:space="preserve">Veselības ministrija </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0251ACE5"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p>
        </w:tc>
        <w:tc>
          <w:tcPr>
            <w:tcW w:w="918" w:type="pct"/>
            <w:tcBorders>
              <w:top w:val="single" w:sz="4" w:space="0" w:color="auto"/>
              <w:left w:val="single" w:sz="4" w:space="0" w:color="auto"/>
              <w:bottom w:val="single" w:sz="4" w:space="0" w:color="auto"/>
              <w:right w:val="single" w:sz="4" w:space="0" w:color="auto"/>
            </w:tcBorders>
            <w:shd w:val="clear" w:color="auto" w:fill="C6EFCE"/>
          </w:tcPr>
          <w:p w14:paraId="1262828B"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 xml:space="preserve">Kopsavilkuma dokuments, kurā pienācīgi pamatots, kā tika apmierinoši sasniegts mērķis (tostarp visi būtiskie elementi), kopā ar atbilstošām saitēm uz pamatojošajiem </w:t>
            </w:r>
            <w:r w:rsidRPr="00B20686">
              <w:rPr>
                <w:rFonts w:ascii="Times New Roman" w:hAnsi="Times New Roman"/>
                <w:sz w:val="18"/>
                <w:szCs w:val="20"/>
              </w:rPr>
              <w:lastRenderedPageBreak/>
              <w:t>pierādījumiem.</w:t>
            </w:r>
          </w:p>
          <w:p w14:paraId="6836CE8F"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Šā dokumenta pielikumā iekļauj modeļu sarakstu, un par katru no tiem:</w:t>
            </w:r>
          </w:p>
          <w:p w14:paraId="199F4068"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a) kopiju iekšējiem reglamentējošajiem aktiem, kas apstiprina katru modeli, un katra modeļa īstenošanas protokolus;</w:t>
            </w:r>
          </w:p>
          <w:p w14:paraId="0D76A44F"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b) attiecībā uz katru modeli dokumentu, kas apstiprina, ka modelis ir izmēģināts;</w:t>
            </w:r>
          </w:p>
          <w:p w14:paraId="1B8A2BF7"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c) kopiju modeļu novērtējumiem atbilstoši konkrētajai situācijai, kā arī īstermiņa un ilgtermiņa ieguvumu novērtējuma kopiju;</w:t>
            </w:r>
          </w:p>
          <w:p w14:paraId="1EC55E3A"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 xml:space="preserve">d) attiecībā uz katru modeli tā tiesību akta kopiju, ar kuru izveido darba grupu, kā arī tās </w:t>
            </w:r>
            <w:r w:rsidRPr="00B20686">
              <w:rPr>
                <w:rFonts w:ascii="Times New Roman" w:hAnsi="Times New Roman"/>
                <w:sz w:val="18"/>
                <w:szCs w:val="20"/>
              </w:rPr>
              <w:lastRenderedPageBreak/>
              <w:t>sastāva un pilnvaru aprakstu;</w:t>
            </w:r>
          </w:p>
          <w:p w14:paraId="14BC9317"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e) juridiskos priekšlikumus ieviest modeli kā valsts finansētu pakalpojumu, tostarp attiecīgā gadījumā priekšlikumus par nepieciešamo valsts papildu budžetu modeļu īstenošanai (šo dokumentu kopijas un saites uz tiem). Dokumentācijā iekļauj paskaidrojumu par to, kā priekšlikumi tiek balstīti uz izmēģinājuma projektu rezultātiem.</w:t>
            </w:r>
          </w:p>
        </w:tc>
        <w:tc>
          <w:tcPr>
            <w:tcW w:w="766" w:type="pct"/>
            <w:tcBorders>
              <w:top w:val="single" w:sz="4" w:space="0" w:color="auto"/>
              <w:left w:val="single" w:sz="4" w:space="0" w:color="auto"/>
              <w:bottom w:val="single" w:sz="4" w:space="0" w:color="auto"/>
              <w:right w:val="single" w:sz="4" w:space="0" w:color="auto"/>
            </w:tcBorders>
            <w:shd w:val="clear" w:color="auto" w:fill="C6EFCE"/>
          </w:tcPr>
          <w:p w14:paraId="21639FCA" w14:textId="77777777" w:rsidR="001A3E6F" w:rsidRPr="00B20686" w:rsidRDefault="001A3E6F" w:rsidP="00B20686">
            <w:pPr>
              <w:widowControl w:val="0"/>
              <w:spacing w:after="0" w:line="240" w:lineRule="auto"/>
              <w:ind w:left="57" w:right="57"/>
              <w:rPr>
                <w:rFonts w:ascii="Times New Roman" w:eastAsia="Calibri" w:hAnsi="Times New Roman" w:cs="Times New Roman"/>
                <w:noProof/>
                <w:sz w:val="18"/>
                <w:szCs w:val="20"/>
              </w:rPr>
            </w:pPr>
            <w:r w:rsidRPr="00B20686">
              <w:rPr>
                <w:rFonts w:ascii="Times New Roman" w:hAnsi="Times New Roman"/>
                <w:sz w:val="18"/>
                <w:szCs w:val="20"/>
              </w:rPr>
              <w:lastRenderedPageBreak/>
              <w:t>Izstrādāti desmit jauni veselības aprūpes pakalpojumu sniegšanas modeļi, un tie ir integrēti valsts finansētos veselības aprūpes pakalpojumos.</w:t>
            </w:r>
          </w:p>
          <w:p w14:paraId="05F5D856" w14:textId="77777777" w:rsidR="001A3E6F" w:rsidRPr="00B20686" w:rsidRDefault="001A3E6F" w:rsidP="00B20686">
            <w:pPr>
              <w:widowControl w:val="0"/>
              <w:spacing w:after="0" w:line="240" w:lineRule="auto"/>
              <w:ind w:left="57" w:right="57"/>
              <w:rPr>
                <w:rFonts w:ascii="Times New Roman" w:eastAsia="Calibri" w:hAnsi="Times New Roman" w:cs="Times New Roman"/>
                <w:noProof/>
                <w:sz w:val="18"/>
                <w:szCs w:val="20"/>
              </w:rPr>
            </w:pPr>
            <w:r w:rsidRPr="00B20686">
              <w:rPr>
                <w:rFonts w:ascii="Times New Roman" w:hAnsi="Times New Roman"/>
                <w:sz w:val="18"/>
                <w:szCs w:val="20"/>
              </w:rPr>
              <w:t xml:space="preserve">Attiecībā uz katru modeli darba </w:t>
            </w:r>
            <w:r w:rsidRPr="00B20686">
              <w:rPr>
                <w:rFonts w:ascii="Times New Roman" w:hAnsi="Times New Roman"/>
                <w:sz w:val="18"/>
                <w:szCs w:val="20"/>
              </w:rPr>
              <w:lastRenderedPageBreak/>
              <w:t>grupa, kuras sastāvā ir Veselības ministrijas, Nacionālā veselības dienesta un citu padotības struktūru pārstāvji, kā arī citas ieinteresētās personas, ir veikusi šādus pasākumus:</w:t>
            </w:r>
          </w:p>
          <w:p w14:paraId="43790773" w14:textId="77777777" w:rsidR="001A3E6F" w:rsidRPr="00B20686" w:rsidRDefault="001A3E6F" w:rsidP="00B20686">
            <w:pPr>
              <w:widowControl w:val="0"/>
              <w:numPr>
                <w:ilvl w:val="0"/>
                <w:numId w:val="30"/>
              </w:numPr>
              <w:spacing w:after="0" w:line="240" w:lineRule="auto"/>
              <w:ind w:left="57" w:right="57" w:firstLine="0"/>
              <w:rPr>
                <w:rFonts w:ascii="Times New Roman" w:hAnsi="Times New Roman" w:cs="Times New Roman"/>
                <w:noProof/>
                <w:sz w:val="18"/>
                <w:szCs w:val="20"/>
              </w:rPr>
            </w:pPr>
            <w:r w:rsidRPr="00B20686">
              <w:rPr>
                <w:rFonts w:ascii="Times New Roman" w:hAnsi="Times New Roman"/>
                <w:sz w:val="18"/>
                <w:szCs w:val="20"/>
              </w:rPr>
              <w:t>situācijas novērtēšana;</w:t>
            </w:r>
          </w:p>
          <w:p w14:paraId="151FA710" w14:textId="77777777" w:rsidR="001A3E6F" w:rsidRPr="00B20686" w:rsidRDefault="001A3E6F" w:rsidP="00B20686">
            <w:pPr>
              <w:widowControl w:val="0"/>
              <w:numPr>
                <w:ilvl w:val="0"/>
                <w:numId w:val="30"/>
              </w:numPr>
              <w:spacing w:after="0" w:line="240" w:lineRule="auto"/>
              <w:ind w:left="57" w:right="57" w:firstLine="0"/>
              <w:rPr>
                <w:rFonts w:ascii="Times New Roman" w:hAnsi="Times New Roman" w:cs="Times New Roman"/>
                <w:noProof/>
                <w:sz w:val="18"/>
                <w:szCs w:val="20"/>
              </w:rPr>
            </w:pPr>
            <w:r w:rsidRPr="00B20686">
              <w:rPr>
                <w:rFonts w:ascii="Times New Roman" w:hAnsi="Times New Roman"/>
                <w:sz w:val="18"/>
                <w:szCs w:val="20"/>
              </w:rPr>
              <w:t>modeļa izstrāde;</w:t>
            </w:r>
          </w:p>
          <w:p w14:paraId="7A58D3F2" w14:textId="77777777" w:rsidR="001A3E6F" w:rsidRPr="00B20686" w:rsidRDefault="001A3E6F" w:rsidP="00B20686">
            <w:pPr>
              <w:widowControl w:val="0"/>
              <w:numPr>
                <w:ilvl w:val="0"/>
                <w:numId w:val="30"/>
              </w:numPr>
              <w:spacing w:after="0" w:line="240" w:lineRule="auto"/>
              <w:ind w:left="57" w:right="57" w:firstLine="0"/>
              <w:rPr>
                <w:rFonts w:ascii="Times New Roman" w:hAnsi="Times New Roman" w:cs="Times New Roman"/>
                <w:noProof/>
                <w:sz w:val="18"/>
                <w:szCs w:val="20"/>
              </w:rPr>
            </w:pPr>
            <w:r w:rsidRPr="00B20686">
              <w:rPr>
                <w:rFonts w:ascii="Times New Roman" w:hAnsi="Times New Roman"/>
                <w:sz w:val="18"/>
                <w:szCs w:val="20"/>
              </w:rPr>
              <w:t>modeļa izmēģināšana;</w:t>
            </w:r>
          </w:p>
          <w:p w14:paraId="3CC7E187" w14:textId="77777777" w:rsidR="001A3E6F" w:rsidRPr="00B20686" w:rsidRDefault="001A3E6F" w:rsidP="00B20686">
            <w:pPr>
              <w:widowControl w:val="0"/>
              <w:numPr>
                <w:ilvl w:val="0"/>
                <w:numId w:val="30"/>
              </w:numPr>
              <w:spacing w:after="0" w:line="240" w:lineRule="auto"/>
              <w:ind w:left="57" w:right="57" w:firstLine="0"/>
              <w:rPr>
                <w:rFonts w:ascii="Times New Roman" w:hAnsi="Times New Roman" w:cs="Times New Roman"/>
                <w:noProof/>
                <w:sz w:val="18"/>
                <w:szCs w:val="20"/>
              </w:rPr>
            </w:pPr>
            <w:r w:rsidRPr="00B20686">
              <w:rPr>
                <w:rFonts w:ascii="Times New Roman" w:hAnsi="Times New Roman"/>
                <w:sz w:val="18"/>
                <w:szCs w:val="20"/>
              </w:rPr>
              <w:t>īstermiņa un ilgtermiņa ieguvumu novērtējums</w:t>
            </w:r>
          </w:p>
          <w:p w14:paraId="5B23C033" w14:textId="77777777" w:rsidR="001A3E6F" w:rsidRPr="00B20686" w:rsidRDefault="001A3E6F" w:rsidP="00B20686">
            <w:pPr>
              <w:widowControl w:val="0"/>
              <w:numPr>
                <w:ilvl w:val="0"/>
                <w:numId w:val="30"/>
              </w:numPr>
              <w:spacing w:after="0" w:line="240" w:lineRule="auto"/>
              <w:ind w:left="57" w:right="57" w:firstLine="0"/>
              <w:rPr>
                <w:rFonts w:ascii="Times New Roman" w:hAnsi="Times New Roman" w:cs="Times New Roman"/>
                <w:noProof/>
                <w:sz w:val="18"/>
                <w:szCs w:val="20"/>
              </w:rPr>
            </w:pPr>
            <w:r w:rsidRPr="00B20686">
              <w:rPr>
                <w:rFonts w:ascii="Times New Roman" w:hAnsi="Times New Roman"/>
                <w:sz w:val="18"/>
                <w:szCs w:val="20"/>
              </w:rPr>
              <w:t>un īstenošanas protokoli.</w:t>
            </w:r>
          </w:p>
          <w:p w14:paraId="05913B4C" w14:textId="77777777" w:rsidR="001A3E6F" w:rsidRPr="00B20686" w:rsidRDefault="001A3E6F" w:rsidP="00B20686">
            <w:pPr>
              <w:widowControl w:val="0"/>
              <w:spacing w:after="0" w:line="240" w:lineRule="auto"/>
              <w:ind w:left="57" w:right="57"/>
              <w:rPr>
                <w:rFonts w:ascii="Times New Roman" w:eastAsia="Calibri" w:hAnsi="Times New Roman" w:cs="Times New Roman"/>
                <w:noProof/>
                <w:sz w:val="18"/>
                <w:szCs w:val="20"/>
              </w:rPr>
            </w:pPr>
          </w:p>
          <w:p w14:paraId="2F9C9320" w14:textId="77777777" w:rsidR="001A3E6F" w:rsidRPr="00B20686" w:rsidRDefault="001A3E6F" w:rsidP="00B20686">
            <w:pPr>
              <w:widowControl w:val="0"/>
              <w:spacing w:after="0" w:line="240" w:lineRule="auto"/>
              <w:ind w:left="57" w:right="57"/>
              <w:rPr>
                <w:rFonts w:ascii="Times New Roman" w:eastAsia="Calibri" w:hAnsi="Times New Roman" w:cs="Times New Roman"/>
                <w:noProof/>
                <w:sz w:val="18"/>
                <w:szCs w:val="20"/>
              </w:rPr>
            </w:pPr>
            <w:r w:rsidRPr="00B20686">
              <w:rPr>
                <w:rFonts w:ascii="Times New Roman" w:hAnsi="Times New Roman"/>
                <w:sz w:val="18"/>
                <w:szCs w:val="20"/>
              </w:rPr>
              <w:t xml:space="preserve">Pamatojoties uz izmēģinājuma projektu rezultātiem, sagatavo priekšlikumu par nepieciešamo valsts papildu budžetu attiecīgo pasākumu </w:t>
            </w:r>
            <w:r w:rsidRPr="00B20686">
              <w:rPr>
                <w:rFonts w:ascii="Times New Roman" w:hAnsi="Times New Roman"/>
                <w:sz w:val="18"/>
                <w:szCs w:val="20"/>
              </w:rPr>
              <w:lastRenderedPageBreak/>
              <w:t>īstenošanai. Valsts budžeta pieprasījumu izskata kopā ar visiem pārējiem priekšlikumiem par gada un vidēja termiņa budžetu sagatavošanas procesā.</w:t>
            </w:r>
          </w:p>
        </w:tc>
      </w:tr>
      <w:tr w:rsidR="001A3E6F" w:rsidRPr="00B20686" w14:paraId="522FA30C" w14:textId="77777777" w:rsidTr="009E7D55">
        <w:trPr>
          <w:jc w:val="center"/>
        </w:trPr>
        <w:tc>
          <w:tcPr>
            <w:tcW w:w="155" w:type="pct"/>
            <w:tcBorders>
              <w:top w:val="single" w:sz="4" w:space="0" w:color="auto"/>
              <w:left w:val="single" w:sz="4" w:space="0" w:color="auto"/>
              <w:bottom w:val="single" w:sz="4" w:space="0" w:color="auto"/>
              <w:right w:val="single" w:sz="4" w:space="0" w:color="auto"/>
            </w:tcBorders>
            <w:shd w:val="clear" w:color="auto" w:fill="C6EFCE"/>
          </w:tcPr>
          <w:p w14:paraId="32FE0B20"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lastRenderedPageBreak/>
              <w:t>151</w:t>
            </w:r>
          </w:p>
        </w:tc>
        <w:tc>
          <w:tcPr>
            <w:tcW w:w="337" w:type="pct"/>
            <w:tcBorders>
              <w:top w:val="single" w:sz="4" w:space="0" w:color="auto"/>
              <w:left w:val="single" w:sz="4" w:space="0" w:color="auto"/>
              <w:bottom w:val="single" w:sz="4" w:space="0" w:color="auto"/>
              <w:right w:val="single" w:sz="4" w:space="0" w:color="auto"/>
            </w:tcBorders>
            <w:shd w:val="clear" w:color="auto" w:fill="C6EFCE"/>
          </w:tcPr>
          <w:p w14:paraId="56FD8D4F"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t>4.3.1.1.i.</w:t>
            </w:r>
          </w:p>
          <w:p w14:paraId="582302DD"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t xml:space="preserve">Atbalsts sekundārās ambulatorās veselības aprūpes kvalitātes un pieejamības novērtēšanai un </w:t>
            </w:r>
            <w:r w:rsidRPr="00B20686">
              <w:rPr>
                <w:rFonts w:ascii="Times New Roman" w:hAnsi="Times New Roman"/>
                <w:b/>
                <w:sz w:val="18"/>
                <w:szCs w:val="20"/>
              </w:rPr>
              <w:lastRenderedPageBreak/>
              <w:t>uzlabošanai</w:t>
            </w:r>
          </w:p>
        </w:tc>
        <w:tc>
          <w:tcPr>
            <w:tcW w:w="271" w:type="pct"/>
            <w:tcBorders>
              <w:top w:val="single" w:sz="4" w:space="0" w:color="auto"/>
              <w:left w:val="single" w:sz="4" w:space="0" w:color="auto"/>
              <w:bottom w:val="single" w:sz="4" w:space="0" w:color="auto"/>
              <w:right w:val="single" w:sz="4" w:space="0" w:color="auto"/>
            </w:tcBorders>
            <w:shd w:val="clear" w:color="auto" w:fill="C6EFCE"/>
          </w:tcPr>
          <w:p w14:paraId="5231B917"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lastRenderedPageBreak/>
              <w:t>Atskaites punkts</w:t>
            </w:r>
          </w:p>
        </w:tc>
        <w:tc>
          <w:tcPr>
            <w:tcW w:w="336" w:type="pct"/>
            <w:tcBorders>
              <w:top w:val="single" w:sz="4" w:space="0" w:color="auto"/>
              <w:left w:val="single" w:sz="4" w:space="0" w:color="auto"/>
              <w:bottom w:val="single" w:sz="4" w:space="0" w:color="auto"/>
              <w:right w:val="single" w:sz="4" w:space="0" w:color="auto"/>
            </w:tcBorders>
            <w:shd w:val="clear" w:color="auto" w:fill="C6EFCE"/>
          </w:tcPr>
          <w:p w14:paraId="58969B45"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 xml:space="preserve">Metodikas pieņemšana pētījumam par sekundārās ambulatorās veselības aprūpes kvalitāti un pieejamību </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24CF7FD5"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Veselības ministrija pieņem metodiku</w:t>
            </w:r>
          </w:p>
        </w:tc>
        <w:tc>
          <w:tcPr>
            <w:tcW w:w="241" w:type="pct"/>
            <w:tcBorders>
              <w:top w:val="single" w:sz="8" w:space="0" w:color="auto"/>
              <w:left w:val="single" w:sz="4" w:space="0" w:color="auto"/>
              <w:bottom w:val="single" w:sz="8" w:space="0" w:color="auto"/>
              <w:right w:val="single" w:sz="8" w:space="0" w:color="auto"/>
            </w:tcBorders>
            <w:shd w:val="clear" w:color="auto" w:fill="C6EFCE"/>
          </w:tcPr>
          <w:p w14:paraId="4767D915"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253" w:type="pct"/>
            <w:tcBorders>
              <w:top w:val="single" w:sz="8" w:space="0" w:color="auto"/>
              <w:left w:val="single" w:sz="8" w:space="0" w:color="auto"/>
              <w:bottom w:val="single" w:sz="8" w:space="0" w:color="auto"/>
              <w:right w:val="single" w:sz="8" w:space="0" w:color="auto"/>
            </w:tcBorders>
            <w:shd w:val="clear" w:color="auto" w:fill="C6EFCE"/>
          </w:tcPr>
          <w:p w14:paraId="75FFD823"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193" w:type="pct"/>
            <w:tcBorders>
              <w:top w:val="single" w:sz="8" w:space="0" w:color="auto"/>
              <w:left w:val="single" w:sz="8" w:space="0" w:color="auto"/>
              <w:bottom w:val="single" w:sz="8" w:space="0" w:color="auto"/>
              <w:right w:val="single" w:sz="8" w:space="0" w:color="auto"/>
            </w:tcBorders>
            <w:shd w:val="clear" w:color="auto" w:fill="C6EFCE"/>
          </w:tcPr>
          <w:p w14:paraId="7313AAED"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146" w:type="pct"/>
            <w:tcBorders>
              <w:top w:val="single" w:sz="8" w:space="0" w:color="auto"/>
              <w:left w:val="single" w:sz="8" w:space="0" w:color="auto"/>
              <w:bottom w:val="single" w:sz="8" w:space="0" w:color="auto"/>
              <w:right w:val="single" w:sz="8" w:space="0" w:color="auto"/>
            </w:tcBorders>
            <w:shd w:val="clear" w:color="auto" w:fill="C6EFCE"/>
          </w:tcPr>
          <w:p w14:paraId="54913BCF"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4. cet.</w:t>
            </w:r>
          </w:p>
        </w:tc>
        <w:tc>
          <w:tcPr>
            <w:tcW w:w="193" w:type="pct"/>
            <w:tcBorders>
              <w:top w:val="single" w:sz="8" w:space="0" w:color="auto"/>
              <w:left w:val="single" w:sz="8" w:space="0" w:color="auto"/>
              <w:bottom w:val="single" w:sz="8" w:space="0" w:color="auto"/>
              <w:right w:val="single" w:sz="4" w:space="0" w:color="auto"/>
            </w:tcBorders>
            <w:shd w:val="clear" w:color="auto" w:fill="C6EFCE"/>
          </w:tcPr>
          <w:p w14:paraId="62B05BD3"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2022</w:t>
            </w:r>
          </w:p>
        </w:tc>
        <w:tc>
          <w:tcPr>
            <w:tcW w:w="422" w:type="pct"/>
            <w:tcBorders>
              <w:top w:val="single" w:sz="4" w:space="0" w:color="auto"/>
              <w:left w:val="single" w:sz="4" w:space="0" w:color="auto"/>
              <w:bottom w:val="single" w:sz="4" w:space="0" w:color="auto"/>
              <w:right w:val="single" w:sz="4" w:space="0" w:color="auto"/>
            </w:tcBorders>
            <w:shd w:val="clear" w:color="auto" w:fill="C6EFCE"/>
          </w:tcPr>
          <w:p w14:paraId="22BF8F83" w14:textId="77777777" w:rsidR="001A3E6F" w:rsidRPr="00B20686" w:rsidRDefault="001A3E6F" w:rsidP="00B20686">
            <w:pPr>
              <w:widowControl w:val="0"/>
              <w:spacing w:after="0" w:line="240" w:lineRule="auto"/>
              <w:ind w:left="57" w:right="57"/>
              <w:jc w:val="both"/>
              <w:rPr>
                <w:rFonts w:ascii="Times New Roman" w:hAnsi="Times New Roman" w:cs="Calibri"/>
                <w:noProof/>
                <w:sz w:val="18"/>
                <w:szCs w:val="20"/>
              </w:rPr>
            </w:pPr>
            <w:r w:rsidRPr="00B20686">
              <w:rPr>
                <w:rFonts w:ascii="Times New Roman" w:hAnsi="Times New Roman"/>
                <w:sz w:val="18"/>
                <w:szCs w:val="20"/>
              </w:rPr>
              <w:t>Veselības ministrija</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29F1509C"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p>
        </w:tc>
        <w:tc>
          <w:tcPr>
            <w:tcW w:w="918" w:type="pct"/>
            <w:tcBorders>
              <w:top w:val="single" w:sz="4" w:space="0" w:color="auto"/>
              <w:left w:val="single" w:sz="4" w:space="0" w:color="auto"/>
              <w:bottom w:val="single" w:sz="4" w:space="0" w:color="auto"/>
              <w:right w:val="single" w:sz="4" w:space="0" w:color="auto"/>
            </w:tcBorders>
            <w:shd w:val="clear" w:color="auto" w:fill="C6EFCE"/>
          </w:tcPr>
          <w:p w14:paraId="29AE371B" w14:textId="77777777" w:rsidR="001A3E6F" w:rsidRPr="00B20686" w:rsidRDefault="001A3E6F" w:rsidP="00B20686">
            <w:pPr>
              <w:widowControl w:val="0"/>
              <w:spacing w:after="0" w:line="240" w:lineRule="auto"/>
              <w:ind w:left="57" w:right="57"/>
              <w:rPr>
                <w:rFonts w:ascii="Times New Roman" w:hAnsi="Times New Roman"/>
                <w:noProof/>
                <w:sz w:val="18"/>
                <w:szCs w:val="20"/>
              </w:rPr>
            </w:pPr>
            <w:r w:rsidRPr="00B20686">
              <w:rPr>
                <w:rFonts w:ascii="Times New Roman" w:hAnsi="Times New Roman"/>
                <w:sz w:val="18"/>
                <w:szCs w:val="20"/>
              </w:rPr>
              <w:t xml:space="preserve">Kopsavilkuma dokuments, kurā pienācīgi pamatots, kā tika apmierinoši sasniegts atskaites punkts (tostarp visi būtiskie elementi), kopā ar </w:t>
            </w:r>
            <w:r w:rsidRPr="00B20686">
              <w:rPr>
                <w:rFonts w:ascii="Times New Roman" w:hAnsi="Times New Roman"/>
                <w:sz w:val="18"/>
                <w:szCs w:val="20"/>
              </w:rPr>
              <w:lastRenderedPageBreak/>
              <w:t>atbilstošām saitēm uz pamatojošajiem pierādījumiem, tostarp apstiprinātās pētījuma metodikas kopija un Veselības ministrijas lēmuma kopija. Šā dokumenta pielikumā iekļauj analīzi, kas parāda, ka ar šo metodiku var novērtēt sekundārās ambulatorās veselības aprūpes kvalitāti un piekļūstamību, tostarp šo pakalpojumu kartējumu un administratīvi teritoriālās reformas ietekmi.</w:t>
            </w:r>
          </w:p>
        </w:tc>
        <w:tc>
          <w:tcPr>
            <w:tcW w:w="766" w:type="pct"/>
            <w:tcBorders>
              <w:top w:val="single" w:sz="4" w:space="0" w:color="auto"/>
              <w:left w:val="single" w:sz="4" w:space="0" w:color="auto"/>
              <w:bottom w:val="single" w:sz="4" w:space="0" w:color="auto"/>
              <w:right w:val="single" w:sz="4" w:space="0" w:color="auto"/>
            </w:tcBorders>
            <w:shd w:val="clear" w:color="auto" w:fill="C6EFCE"/>
          </w:tcPr>
          <w:p w14:paraId="1B84D6C2" w14:textId="77777777" w:rsidR="001A3E6F" w:rsidRPr="00B20686" w:rsidRDefault="001A3E6F" w:rsidP="00B20686">
            <w:pPr>
              <w:widowControl w:val="0"/>
              <w:spacing w:after="0" w:line="240" w:lineRule="auto"/>
              <w:ind w:left="57" w:right="57"/>
              <w:rPr>
                <w:rFonts w:ascii="Times New Roman" w:eastAsia="Calibri" w:hAnsi="Times New Roman" w:cs="Times New Roman"/>
                <w:noProof/>
                <w:sz w:val="18"/>
                <w:szCs w:val="20"/>
              </w:rPr>
            </w:pPr>
            <w:r w:rsidRPr="00B20686">
              <w:rPr>
                <w:rFonts w:ascii="Times New Roman" w:hAnsi="Times New Roman"/>
                <w:sz w:val="18"/>
                <w:szCs w:val="20"/>
              </w:rPr>
              <w:lastRenderedPageBreak/>
              <w:t xml:space="preserve">Atskaites punktu uzskata par sasniegtu pēc tam, kad Veselības ministrija ir apstiprinājusi metodiku, kas vajadzīga, lai veiktu pētījumu, </w:t>
            </w:r>
            <w:r w:rsidRPr="00B20686">
              <w:rPr>
                <w:rFonts w:ascii="Times New Roman" w:hAnsi="Times New Roman"/>
                <w:sz w:val="18"/>
                <w:szCs w:val="20"/>
              </w:rPr>
              <w:lastRenderedPageBreak/>
              <w:t>kura mērķis ir novērtēt veselības aprūpes kvalitāti un piekļūstamību, t. sk. sekundārās ambulatorās veselības aprūpes līmeņa kartējumu un administratīvi teritoriālās reformas ietekmi.</w:t>
            </w:r>
          </w:p>
        </w:tc>
      </w:tr>
      <w:tr w:rsidR="001A3E6F" w:rsidRPr="00B20686" w14:paraId="3DC38B6F" w14:textId="77777777" w:rsidTr="009E7D55">
        <w:trPr>
          <w:jc w:val="center"/>
        </w:trPr>
        <w:tc>
          <w:tcPr>
            <w:tcW w:w="155" w:type="pct"/>
            <w:tcBorders>
              <w:top w:val="single" w:sz="4" w:space="0" w:color="auto"/>
              <w:left w:val="single" w:sz="4" w:space="0" w:color="auto"/>
              <w:bottom w:val="single" w:sz="4" w:space="0" w:color="auto"/>
              <w:right w:val="single" w:sz="4" w:space="0" w:color="auto"/>
            </w:tcBorders>
            <w:shd w:val="clear" w:color="auto" w:fill="C6EFCE"/>
          </w:tcPr>
          <w:p w14:paraId="088EE3A5"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lastRenderedPageBreak/>
              <w:t>152</w:t>
            </w:r>
          </w:p>
        </w:tc>
        <w:tc>
          <w:tcPr>
            <w:tcW w:w="337" w:type="pct"/>
            <w:tcBorders>
              <w:top w:val="single" w:sz="4" w:space="0" w:color="auto"/>
              <w:left w:val="single" w:sz="4" w:space="0" w:color="auto"/>
              <w:bottom w:val="single" w:sz="4" w:space="0" w:color="auto"/>
              <w:right w:val="single" w:sz="4" w:space="0" w:color="auto"/>
            </w:tcBorders>
            <w:shd w:val="clear" w:color="auto" w:fill="C6EFCE"/>
          </w:tcPr>
          <w:p w14:paraId="6CBFF413"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t>4.3.1.1.i.</w:t>
            </w:r>
          </w:p>
          <w:p w14:paraId="1B037384"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t xml:space="preserve">Atbalsts sekundārās ambulatorās veselības aprūpes kvalitātes un pieejamības </w:t>
            </w:r>
            <w:r w:rsidRPr="00B20686">
              <w:rPr>
                <w:rFonts w:ascii="Times New Roman" w:hAnsi="Times New Roman"/>
                <w:b/>
                <w:sz w:val="18"/>
                <w:szCs w:val="20"/>
              </w:rPr>
              <w:lastRenderedPageBreak/>
              <w:t>novērtēšanai un uzlabošanai</w:t>
            </w:r>
          </w:p>
        </w:tc>
        <w:tc>
          <w:tcPr>
            <w:tcW w:w="271" w:type="pct"/>
            <w:tcBorders>
              <w:top w:val="single" w:sz="4" w:space="0" w:color="auto"/>
              <w:left w:val="single" w:sz="4" w:space="0" w:color="auto"/>
              <w:bottom w:val="single" w:sz="4" w:space="0" w:color="auto"/>
              <w:right w:val="single" w:sz="4" w:space="0" w:color="auto"/>
            </w:tcBorders>
            <w:shd w:val="clear" w:color="auto" w:fill="C6EFCE"/>
          </w:tcPr>
          <w:p w14:paraId="6E73571B"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lastRenderedPageBreak/>
              <w:t>Atskaites punkts</w:t>
            </w:r>
          </w:p>
        </w:tc>
        <w:tc>
          <w:tcPr>
            <w:tcW w:w="336" w:type="pct"/>
            <w:tcBorders>
              <w:top w:val="single" w:sz="4" w:space="0" w:color="auto"/>
              <w:left w:val="single" w:sz="4" w:space="0" w:color="auto"/>
              <w:bottom w:val="single" w:sz="4" w:space="0" w:color="auto"/>
              <w:right w:val="single" w:sz="4" w:space="0" w:color="auto"/>
            </w:tcBorders>
            <w:shd w:val="clear" w:color="auto" w:fill="C6EFCE"/>
          </w:tcPr>
          <w:p w14:paraId="59E1A3F0"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 xml:space="preserve">Pētījums par sekundārās ambulatorās veselības aprūpes kvalitāti, piekļūstamību un pieejamību </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405B1537"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 xml:space="preserve">Veselības ministrijas publicēts pētījums par sekundārās ambulatorās veselības aprūpes </w:t>
            </w:r>
            <w:r w:rsidRPr="00B20686">
              <w:rPr>
                <w:rFonts w:ascii="Times New Roman" w:hAnsi="Times New Roman"/>
                <w:sz w:val="18"/>
                <w:szCs w:val="20"/>
              </w:rPr>
              <w:lastRenderedPageBreak/>
              <w:t xml:space="preserve">kvalitāti, piekļūstamību un pieejamību </w:t>
            </w:r>
          </w:p>
        </w:tc>
        <w:tc>
          <w:tcPr>
            <w:tcW w:w="241" w:type="pct"/>
            <w:tcBorders>
              <w:top w:val="single" w:sz="8" w:space="0" w:color="auto"/>
              <w:left w:val="single" w:sz="4" w:space="0" w:color="auto"/>
              <w:bottom w:val="single" w:sz="8" w:space="0" w:color="auto"/>
              <w:right w:val="single" w:sz="8" w:space="0" w:color="auto"/>
            </w:tcBorders>
            <w:shd w:val="clear" w:color="auto" w:fill="C6EFCE"/>
          </w:tcPr>
          <w:p w14:paraId="0149AF75"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lastRenderedPageBreak/>
              <w:t>Neattiecas</w:t>
            </w:r>
          </w:p>
        </w:tc>
        <w:tc>
          <w:tcPr>
            <w:tcW w:w="253" w:type="pct"/>
            <w:tcBorders>
              <w:top w:val="single" w:sz="8" w:space="0" w:color="auto"/>
              <w:left w:val="single" w:sz="8" w:space="0" w:color="auto"/>
              <w:bottom w:val="single" w:sz="8" w:space="0" w:color="auto"/>
              <w:right w:val="single" w:sz="8" w:space="0" w:color="auto"/>
            </w:tcBorders>
            <w:shd w:val="clear" w:color="auto" w:fill="C6EFCE"/>
          </w:tcPr>
          <w:p w14:paraId="02DCD221"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193" w:type="pct"/>
            <w:tcBorders>
              <w:top w:val="single" w:sz="8" w:space="0" w:color="auto"/>
              <w:left w:val="single" w:sz="8" w:space="0" w:color="auto"/>
              <w:bottom w:val="single" w:sz="8" w:space="0" w:color="auto"/>
              <w:right w:val="single" w:sz="8" w:space="0" w:color="auto"/>
            </w:tcBorders>
            <w:shd w:val="clear" w:color="auto" w:fill="C6EFCE"/>
          </w:tcPr>
          <w:p w14:paraId="6C75FF6C"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146" w:type="pct"/>
            <w:tcBorders>
              <w:top w:val="single" w:sz="8" w:space="0" w:color="auto"/>
              <w:left w:val="single" w:sz="8" w:space="0" w:color="auto"/>
              <w:bottom w:val="single" w:sz="8" w:space="0" w:color="auto"/>
              <w:right w:val="single" w:sz="8" w:space="0" w:color="auto"/>
            </w:tcBorders>
            <w:shd w:val="clear" w:color="auto" w:fill="C6EFCE"/>
          </w:tcPr>
          <w:p w14:paraId="05D4C9DC"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4. cet.</w:t>
            </w:r>
          </w:p>
        </w:tc>
        <w:tc>
          <w:tcPr>
            <w:tcW w:w="193" w:type="pct"/>
            <w:tcBorders>
              <w:top w:val="single" w:sz="8" w:space="0" w:color="auto"/>
              <w:left w:val="single" w:sz="8" w:space="0" w:color="auto"/>
              <w:bottom w:val="single" w:sz="8" w:space="0" w:color="auto"/>
              <w:right w:val="single" w:sz="4" w:space="0" w:color="auto"/>
            </w:tcBorders>
            <w:shd w:val="clear" w:color="auto" w:fill="C6EFCE"/>
          </w:tcPr>
          <w:p w14:paraId="4F50AC33"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2023</w:t>
            </w:r>
          </w:p>
        </w:tc>
        <w:tc>
          <w:tcPr>
            <w:tcW w:w="422" w:type="pct"/>
            <w:tcBorders>
              <w:top w:val="single" w:sz="4" w:space="0" w:color="auto"/>
              <w:left w:val="single" w:sz="4" w:space="0" w:color="auto"/>
              <w:bottom w:val="single" w:sz="4" w:space="0" w:color="auto"/>
              <w:right w:val="single" w:sz="4" w:space="0" w:color="auto"/>
            </w:tcBorders>
            <w:shd w:val="clear" w:color="auto" w:fill="C6EFCE"/>
          </w:tcPr>
          <w:p w14:paraId="64EB11F8" w14:textId="77777777" w:rsidR="001A3E6F" w:rsidRPr="00B20686" w:rsidRDefault="001A3E6F" w:rsidP="00B20686">
            <w:pPr>
              <w:widowControl w:val="0"/>
              <w:spacing w:after="0" w:line="240" w:lineRule="auto"/>
              <w:ind w:left="57" w:right="57"/>
              <w:jc w:val="both"/>
              <w:rPr>
                <w:rFonts w:ascii="Times New Roman" w:hAnsi="Times New Roman" w:cs="Calibri"/>
                <w:noProof/>
                <w:sz w:val="18"/>
                <w:szCs w:val="20"/>
              </w:rPr>
            </w:pPr>
            <w:r w:rsidRPr="00B20686">
              <w:rPr>
                <w:rFonts w:ascii="Times New Roman" w:hAnsi="Times New Roman"/>
                <w:sz w:val="18"/>
                <w:szCs w:val="20"/>
              </w:rPr>
              <w:t xml:space="preserve">Veselības ministrija </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291D3116"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p>
        </w:tc>
        <w:tc>
          <w:tcPr>
            <w:tcW w:w="918" w:type="pct"/>
            <w:tcBorders>
              <w:top w:val="single" w:sz="4" w:space="0" w:color="auto"/>
              <w:left w:val="single" w:sz="4" w:space="0" w:color="auto"/>
              <w:bottom w:val="single" w:sz="4" w:space="0" w:color="auto"/>
              <w:right w:val="single" w:sz="4" w:space="0" w:color="auto"/>
            </w:tcBorders>
            <w:shd w:val="clear" w:color="auto" w:fill="C6EFCE"/>
          </w:tcPr>
          <w:p w14:paraId="5FF0D23C"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 xml:space="preserve">Kopsavilkuma dokuments, kurā pienācīgi pamatots, kā tika apmierinoši sasniegts atskaites punkts (tostarp visi </w:t>
            </w:r>
            <w:r w:rsidRPr="00B20686">
              <w:rPr>
                <w:rFonts w:ascii="Times New Roman" w:hAnsi="Times New Roman"/>
                <w:sz w:val="18"/>
                <w:szCs w:val="20"/>
              </w:rPr>
              <w:lastRenderedPageBreak/>
              <w:t>būtiskie elementi), kopā ar atbilstošām saitēm uz pamatojošajiem pierādījumiem.</w:t>
            </w:r>
          </w:p>
          <w:p w14:paraId="34BE3F4F"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Šā dokumenta pielikumā iekļauj šādus dokumentārus pierādījumus:</w:t>
            </w:r>
          </w:p>
          <w:p w14:paraId="018F88AE"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a) Veselības ministrijas tīmekļvietnē publicētā pētījuma kopiju un saiti uz to;</w:t>
            </w:r>
          </w:p>
          <w:p w14:paraId="7A7B198E"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 xml:space="preserve">b) attiecīgos izrakstus no veselības aprūpes sistēmas novērtējuma un priekšlikumus sistēmiskiem uzlabojumiem. </w:t>
            </w:r>
          </w:p>
        </w:tc>
        <w:tc>
          <w:tcPr>
            <w:tcW w:w="766" w:type="pct"/>
            <w:tcBorders>
              <w:top w:val="single" w:sz="4" w:space="0" w:color="auto"/>
              <w:left w:val="single" w:sz="4" w:space="0" w:color="auto"/>
              <w:bottom w:val="single" w:sz="4" w:space="0" w:color="auto"/>
              <w:right w:val="single" w:sz="4" w:space="0" w:color="auto"/>
            </w:tcBorders>
            <w:shd w:val="clear" w:color="auto" w:fill="C6EFCE"/>
          </w:tcPr>
          <w:p w14:paraId="5F904C14" w14:textId="77777777" w:rsidR="001A3E6F" w:rsidRPr="00B20686" w:rsidRDefault="001A3E6F" w:rsidP="00B20686">
            <w:pPr>
              <w:widowControl w:val="0"/>
              <w:spacing w:after="0" w:line="240" w:lineRule="auto"/>
              <w:ind w:left="57" w:right="57"/>
              <w:rPr>
                <w:rFonts w:ascii="Times New Roman" w:eastAsia="Calibri" w:hAnsi="Times New Roman" w:cs="Times New Roman"/>
                <w:noProof/>
                <w:sz w:val="18"/>
                <w:szCs w:val="20"/>
              </w:rPr>
            </w:pPr>
            <w:r w:rsidRPr="00B20686">
              <w:rPr>
                <w:rFonts w:ascii="Times New Roman" w:hAnsi="Times New Roman"/>
                <w:sz w:val="18"/>
                <w:szCs w:val="20"/>
              </w:rPr>
              <w:lastRenderedPageBreak/>
              <w:t xml:space="preserve">Veselības ministrijas veikts un publicēts pētījums, kas aptver sekundārās ambulatorās aprūpes kvalitātes, </w:t>
            </w:r>
            <w:r w:rsidRPr="00B20686">
              <w:rPr>
                <w:rFonts w:ascii="Times New Roman" w:hAnsi="Times New Roman"/>
                <w:sz w:val="18"/>
                <w:szCs w:val="20"/>
              </w:rPr>
              <w:lastRenderedPageBreak/>
              <w:t>pieejamības un piekļūstamības novērtējumu, ietverot sekundārās ambulatorās veselības aprūpes līmeņa kartējumu un administratīvi teritoriālās reformas ietekmi. Pētījums ietver veselības aprūpes sistēmas novērtējumu un priekšlikumus sistēmiskiem uzlabojumiem.</w:t>
            </w:r>
          </w:p>
        </w:tc>
      </w:tr>
      <w:tr w:rsidR="001A3E6F" w:rsidRPr="00B20686" w14:paraId="54330194" w14:textId="77777777" w:rsidTr="009E7D55">
        <w:trPr>
          <w:jc w:val="center"/>
        </w:trPr>
        <w:tc>
          <w:tcPr>
            <w:tcW w:w="155" w:type="pct"/>
            <w:tcBorders>
              <w:top w:val="single" w:sz="4" w:space="0" w:color="auto"/>
              <w:left w:val="single" w:sz="4" w:space="0" w:color="auto"/>
              <w:bottom w:val="single" w:sz="4" w:space="0" w:color="auto"/>
              <w:right w:val="single" w:sz="4" w:space="0" w:color="auto"/>
            </w:tcBorders>
            <w:shd w:val="clear" w:color="auto" w:fill="C6EFCE"/>
          </w:tcPr>
          <w:p w14:paraId="11C8F7F2"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lastRenderedPageBreak/>
              <w:t>153</w:t>
            </w:r>
          </w:p>
        </w:tc>
        <w:tc>
          <w:tcPr>
            <w:tcW w:w="337" w:type="pct"/>
            <w:tcBorders>
              <w:top w:val="single" w:sz="4" w:space="0" w:color="auto"/>
              <w:left w:val="single" w:sz="4" w:space="0" w:color="auto"/>
              <w:bottom w:val="single" w:sz="4" w:space="0" w:color="auto"/>
              <w:right w:val="single" w:sz="4" w:space="0" w:color="auto"/>
            </w:tcBorders>
            <w:shd w:val="clear" w:color="auto" w:fill="C6EFCE"/>
          </w:tcPr>
          <w:p w14:paraId="65DCB17D"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t>4.3.1.1.i.</w:t>
            </w:r>
          </w:p>
          <w:p w14:paraId="5E91F98D"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b/>
                <w:noProof/>
                <w:sz w:val="18"/>
                <w:szCs w:val="20"/>
              </w:rPr>
            </w:pPr>
            <w:r w:rsidRPr="00B20686">
              <w:rPr>
                <w:rFonts w:ascii="Times New Roman" w:hAnsi="Times New Roman"/>
                <w:b/>
                <w:sz w:val="18"/>
                <w:szCs w:val="20"/>
              </w:rPr>
              <w:t>Atbalsts sekundārās ambulatorās veselības aprūpes kvalitātes un pieejamības novērtēšanai un uzlabošanai</w:t>
            </w:r>
          </w:p>
        </w:tc>
        <w:tc>
          <w:tcPr>
            <w:tcW w:w="271" w:type="pct"/>
            <w:tcBorders>
              <w:top w:val="single" w:sz="4" w:space="0" w:color="auto"/>
              <w:left w:val="single" w:sz="4" w:space="0" w:color="auto"/>
              <w:bottom w:val="single" w:sz="4" w:space="0" w:color="auto"/>
              <w:right w:val="single" w:sz="4" w:space="0" w:color="auto"/>
            </w:tcBorders>
            <w:shd w:val="clear" w:color="auto" w:fill="C6EFCE"/>
          </w:tcPr>
          <w:p w14:paraId="211F7AB4"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Atskaites punkts</w:t>
            </w:r>
          </w:p>
        </w:tc>
        <w:tc>
          <w:tcPr>
            <w:tcW w:w="336" w:type="pct"/>
            <w:tcBorders>
              <w:top w:val="single" w:sz="4" w:space="0" w:color="auto"/>
              <w:left w:val="single" w:sz="4" w:space="0" w:color="auto"/>
              <w:bottom w:val="single" w:sz="4" w:space="0" w:color="auto"/>
              <w:right w:val="single" w:sz="4" w:space="0" w:color="auto"/>
            </w:tcBorders>
            <w:shd w:val="clear" w:color="auto" w:fill="C6EFCE"/>
          </w:tcPr>
          <w:p w14:paraId="4FB3151F"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 xml:space="preserve">Sekundārās ambulatorās aprūpes kvalitātes, pieejamības un piekļūstamības pētījuma rezultātu integrēšana veselības politikas </w:t>
            </w:r>
            <w:r w:rsidRPr="00B20686">
              <w:rPr>
                <w:rFonts w:ascii="Times New Roman" w:hAnsi="Times New Roman"/>
                <w:sz w:val="18"/>
                <w:szCs w:val="20"/>
              </w:rPr>
              <w:lastRenderedPageBreak/>
              <w:t xml:space="preserve">attīstībā </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243E15EA" w14:textId="77777777" w:rsidR="001A3E6F" w:rsidRPr="00B20686" w:rsidRDefault="001A3E6F" w:rsidP="00B20686">
            <w:pPr>
              <w:widowControl w:val="0"/>
              <w:spacing w:after="0" w:line="240" w:lineRule="auto"/>
              <w:ind w:left="57" w:right="57"/>
              <w:jc w:val="both"/>
              <w:rPr>
                <w:rFonts w:ascii="Times New Roman" w:hAnsi="Times New Roman" w:cs="Times New Roman"/>
                <w:noProof/>
                <w:sz w:val="18"/>
                <w:szCs w:val="20"/>
              </w:rPr>
            </w:pPr>
            <w:r w:rsidRPr="00B20686">
              <w:rPr>
                <w:rFonts w:ascii="Times New Roman" w:hAnsi="Times New Roman"/>
                <w:sz w:val="18"/>
                <w:szCs w:val="20"/>
              </w:rPr>
              <w:lastRenderedPageBreak/>
              <w:t xml:space="preserve">Tādu tiesību aktu grozījumu stāšanās spēkā, kuru mērķis ir uzlabot sekundārās ambulatorās aprūpes kvalitāti, </w:t>
            </w:r>
            <w:r w:rsidRPr="00B20686">
              <w:rPr>
                <w:rFonts w:ascii="Times New Roman" w:hAnsi="Times New Roman"/>
                <w:sz w:val="18"/>
                <w:szCs w:val="20"/>
              </w:rPr>
              <w:lastRenderedPageBreak/>
              <w:t xml:space="preserve">pieejamību un piekļūstamību </w:t>
            </w:r>
          </w:p>
        </w:tc>
        <w:tc>
          <w:tcPr>
            <w:tcW w:w="241" w:type="pct"/>
            <w:tcBorders>
              <w:top w:val="single" w:sz="8" w:space="0" w:color="auto"/>
              <w:left w:val="single" w:sz="4" w:space="0" w:color="auto"/>
              <w:bottom w:val="single" w:sz="8" w:space="0" w:color="auto"/>
              <w:right w:val="single" w:sz="8" w:space="0" w:color="auto"/>
            </w:tcBorders>
            <w:shd w:val="clear" w:color="auto" w:fill="C6EFCE"/>
          </w:tcPr>
          <w:p w14:paraId="7CDB68B4"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lastRenderedPageBreak/>
              <w:t>Neattiecas</w:t>
            </w:r>
          </w:p>
        </w:tc>
        <w:tc>
          <w:tcPr>
            <w:tcW w:w="253" w:type="pct"/>
            <w:tcBorders>
              <w:top w:val="single" w:sz="8" w:space="0" w:color="auto"/>
              <w:left w:val="single" w:sz="8" w:space="0" w:color="auto"/>
              <w:bottom w:val="single" w:sz="8" w:space="0" w:color="auto"/>
              <w:right w:val="single" w:sz="8" w:space="0" w:color="auto"/>
            </w:tcBorders>
            <w:shd w:val="clear" w:color="auto" w:fill="C6EFCE"/>
          </w:tcPr>
          <w:p w14:paraId="084CB229"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193" w:type="pct"/>
            <w:tcBorders>
              <w:top w:val="single" w:sz="8" w:space="0" w:color="auto"/>
              <w:left w:val="single" w:sz="8" w:space="0" w:color="auto"/>
              <w:bottom w:val="single" w:sz="8" w:space="0" w:color="auto"/>
              <w:right w:val="single" w:sz="8" w:space="0" w:color="auto"/>
            </w:tcBorders>
            <w:shd w:val="clear" w:color="auto" w:fill="C6EFCE"/>
          </w:tcPr>
          <w:p w14:paraId="015B909C"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Neattiecas</w:t>
            </w:r>
          </w:p>
        </w:tc>
        <w:tc>
          <w:tcPr>
            <w:tcW w:w="146" w:type="pct"/>
            <w:tcBorders>
              <w:top w:val="single" w:sz="8" w:space="0" w:color="auto"/>
              <w:left w:val="single" w:sz="8" w:space="0" w:color="auto"/>
              <w:bottom w:val="single" w:sz="8" w:space="0" w:color="auto"/>
              <w:right w:val="single" w:sz="8" w:space="0" w:color="auto"/>
            </w:tcBorders>
            <w:shd w:val="clear" w:color="auto" w:fill="C6EFCE"/>
          </w:tcPr>
          <w:p w14:paraId="30C76F9D"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4. cet.</w:t>
            </w:r>
          </w:p>
        </w:tc>
        <w:tc>
          <w:tcPr>
            <w:tcW w:w="193" w:type="pct"/>
            <w:tcBorders>
              <w:top w:val="single" w:sz="8" w:space="0" w:color="auto"/>
              <w:left w:val="single" w:sz="8" w:space="0" w:color="auto"/>
              <w:bottom w:val="single" w:sz="8" w:space="0" w:color="auto"/>
              <w:right w:val="single" w:sz="4" w:space="0" w:color="auto"/>
            </w:tcBorders>
            <w:shd w:val="clear" w:color="auto" w:fill="C6EFCE"/>
          </w:tcPr>
          <w:p w14:paraId="6E11A3B0"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r w:rsidRPr="00B20686">
              <w:rPr>
                <w:rFonts w:ascii="Times New Roman" w:hAnsi="Times New Roman"/>
                <w:sz w:val="18"/>
                <w:szCs w:val="20"/>
              </w:rPr>
              <w:t>2024</w:t>
            </w:r>
          </w:p>
        </w:tc>
        <w:tc>
          <w:tcPr>
            <w:tcW w:w="422" w:type="pct"/>
            <w:tcBorders>
              <w:top w:val="single" w:sz="4" w:space="0" w:color="auto"/>
              <w:left w:val="single" w:sz="4" w:space="0" w:color="auto"/>
              <w:bottom w:val="single" w:sz="4" w:space="0" w:color="auto"/>
              <w:right w:val="single" w:sz="4" w:space="0" w:color="auto"/>
            </w:tcBorders>
            <w:shd w:val="clear" w:color="auto" w:fill="C6EFCE"/>
          </w:tcPr>
          <w:p w14:paraId="35C1917C" w14:textId="77777777" w:rsidR="001A3E6F" w:rsidRPr="00B20686" w:rsidRDefault="001A3E6F" w:rsidP="00B20686">
            <w:pPr>
              <w:widowControl w:val="0"/>
              <w:spacing w:after="0" w:line="240" w:lineRule="auto"/>
              <w:ind w:left="57" w:right="57"/>
              <w:jc w:val="both"/>
              <w:rPr>
                <w:rFonts w:ascii="Times New Roman" w:hAnsi="Times New Roman" w:cs="Calibri"/>
                <w:noProof/>
                <w:sz w:val="18"/>
                <w:szCs w:val="20"/>
              </w:rPr>
            </w:pPr>
            <w:r w:rsidRPr="00B20686">
              <w:rPr>
                <w:rFonts w:ascii="Times New Roman" w:hAnsi="Times New Roman"/>
                <w:sz w:val="18"/>
                <w:szCs w:val="20"/>
              </w:rPr>
              <w:t xml:space="preserve">Veselības ministrija </w:t>
            </w:r>
          </w:p>
        </w:tc>
        <w:tc>
          <w:tcPr>
            <w:tcW w:w="384" w:type="pct"/>
            <w:tcBorders>
              <w:top w:val="single" w:sz="4" w:space="0" w:color="auto"/>
              <w:left w:val="single" w:sz="4" w:space="0" w:color="auto"/>
              <w:bottom w:val="single" w:sz="4" w:space="0" w:color="auto"/>
              <w:right w:val="single" w:sz="4" w:space="0" w:color="auto"/>
            </w:tcBorders>
            <w:shd w:val="clear" w:color="auto" w:fill="C6EFCE"/>
          </w:tcPr>
          <w:p w14:paraId="5DF70B8D" w14:textId="77777777" w:rsidR="001A3E6F" w:rsidRPr="00B20686" w:rsidRDefault="001A3E6F" w:rsidP="00B20686">
            <w:pPr>
              <w:widowControl w:val="0"/>
              <w:spacing w:after="0" w:line="240" w:lineRule="auto"/>
              <w:ind w:left="57" w:right="57"/>
              <w:jc w:val="both"/>
              <w:rPr>
                <w:rFonts w:ascii="Times New Roman" w:eastAsia="Calibri" w:hAnsi="Times New Roman" w:cs="Times New Roman"/>
                <w:noProof/>
                <w:sz w:val="18"/>
                <w:szCs w:val="20"/>
              </w:rPr>
            </w:pPr>
          </w:p>
        </w:tc>
        <w:tc>
          <w:tcPr>
            <w:tcW w:w="918" w:type="pct"/>
            <w:tcBorders>
              <w:top w:val="single" w:sz="4" w:space="0" w:color="auto"/>
              <w:left w:val="single" w:sz="4" w:space="0" w:color="auto"/>
              <w:bottom w:val="single" w:sz="4" w:space="0" w:color="auto"/>
              <w:right w:val="single" w:sz="4" w:space="0" w:color="auto"/>
            </w:tcBorders>
            <w:shd w:val="clear" w:color="auto" w:fill="C6EFCE"/>
          </w:tcPr>
          <w:p w14:paraId="69830154" w14:textId="77777777" w:rsidR="001A3E6F" w:rsidRPr="00B20686" w:rsidRDefault="001A3E6F" w:rsidP="00B20686">
            <w:pPr>
              <w:widowControl w:val="0"/>
              <w:spacing w:after="0" w:line="240" w:lineRule="auto"/>
              <w:ind w:left="57" w:right="57"/>
              <w:rPr>
                <w:rFonts w:ascii="Times New Roman" w:hAnsi="Times New Roman" w:cs="Calibri"/>
                <w:noProof/>
                <w:sz w:val="18"/>
                <w:szCs w:val="20"/>
              </w:rPr>
            </w:pPr>
            <w:r w:rsidRPr="00B20686">
              <w:rPr>
                <w:rFonts w:ascii="Times New Roman" w:hAnsi="Times New Roman"/>
                <w:sz w:val="18"/>
                <w:szCs w:val="20"/>
              </w:rPr>
              <w:t xml:space="preserve">Tiesību aktu grozījumu kopija un saite uz to publikāciju oficiālajā izdevumā kopā ar atsauci uz attiecīgajiem noteikumiem, kuros norādīta stāšanās spēkā, </w:t>
            </w:r>
            <w:r w:rsidRPr="00B20686">
              <w:rPr>
                <w:rFonts w:ascii="Times New Roman" w:hAnsi="Times New Roman"/>
                <w:sz w:val="18"/>
                <w:szCs w:val="20"/>
              </w:rPr>
              <w:lastRenderedPageBreak/>
              <w:t>un dokumentu, kurā pienācīgi pamatots, kā tika apmierinoši sasniegts atskaites punkts (tostarp visi būtiskie elementi), kopā ar atbilstošām saitēm uz pamatojošajiem pierādījumiem.</w:t>
            </w:r>
          </w:p>
          <w:p w14:paraId="61D6DCF0" w14:textId="77777777" w:rsidR="001A3E6F" w:rsidRPr="00B20686" w:rsidRDefault="001A3E6F" w:rsidP="00B20686">
            <w:pPr>
              <w:widowControl w:val="0"/>
              <w:spacing w:after="0" w:line="240" w:lineRule="auto"/>
              <w:ind w:left="57" w:right="57"/>
              <w:rPr>
                <w:rFonts w:ascii="Times New Roman" w:hAnsi="Times New Roman"/>
                <w:noProof/>
                <w:sz w:val="18"/>
                <w:szCs w:val="20"/>
              </w:rPr>
            </w:pPr>
            <w:r w:rsidRPr="00B20686">
              <w:rPr>
                <w:rFonts w:ascii="Times New Roman" w:hAnsi="Times New Roman"/>
                <w:sz w:val="18"/>
                <w:szCs w:val="20"/>
              </w:rPr>
              <w:t>Šajā dokumentā iekļauj kopijas pētījumu rezultātiem par sekundārās ambulatorās aprūpes kvalitāti, pieejamību un piekļūstamību (un saites uz tiem), kā arī paskaidrojumu par to, kā tika ņemti vērā pētījuma rezultāti, sagatavojot tiesību aktus.</w:t>
            </w:r>
          </w:p>
        </w:tc>
        <w:tc>
          <w:tcPr>
            <w:tcW w:w="766" w:type="pct"/>
            <w:tcBorders>
              <w:top w:val="single" w:sz="4" w:space="0" w:color="auto"/>
              <w:left w:val="single" w:sz="4" w:space="0" w:color="auto"/>
              <w:bottom w:val="single" w:sz="4" w:space="0" w:color="auto"/>
              <w:right w:val="single" w:sz="4" w:space="0" w:color="auto"/>
            </w:tcBorders>
            <w:shd w:val="clear" w:color="auto" w:fill="C6EFCE"/>
          </w:tcPr>
          <w:p w14:paraId="0AE6D2D6" w14:textId="77777777" w:rsidR="001A3E6F" w:rsidRPr="00B20686" w:rsidRDefault="001A3E6F" w:rsidP="00B20686">
            <w:pPr>
              <w:widowControl w:val="0"/>
              <w:spacing w:after="0" w:line="240" w:lineRule="auto"/>
              <w:ind w:left="57" w:right="57"/>
              <w:rPr>
                <w:rFonts w:ascii="Times New Roman" w:eastAsia="Calibri" w:hAnsi="Times New Roman" w:cs="Times New Roman"/>
                <w:noProof/>
                <w:sz w:val="18"/>
                <w:szCs w:val="20"/>
              </w:rPr>
            </w:pPr>
            <w:r w:rsidRPr="00B20686">
              <w:rPr>
                <w:rFonts w:ascii="Times New Roman" w:hAnsi="Times New Roman"/>
                <w:sz w:val="18"/>
                <w:szCs w:val="20"/>
              </w:rPr>
              <w:lastRenderedPageBreak/>
              <w:t xml:space="preserve">Pamatojoties uz sekundārās ambulatorās aprūpes kvalitātes, pieejamības un piekļūstamības izpētes rezultātiem, stājas spēkā grozījumi tiesību aktos, kas </w:t>
            </w:r>
            <w:r w:rsidRPr="00B20686">
              <w:rPr>
                <w:rFonts w:ascii="Times New Roman" w:hAnsi="Times New Roman"/>
                <w:sz w:val="18"/>
                <w:szCs w:val="20"/>
              </w:rPr>
              <w:lastRenderedPageBreak/>
              <w:t>saistīti ar sabiedrības veselības politiku, ieteikumi slimnīcām un pakalpojumu sniegšanas plānošanas dokumenti.</w:t>
            </w:r>
          </w:p>
        </w:tc>
      </w:tr>
    </w:tbl>
    <w:p w14:paraId="43D0808E" w14:textId="77777777" w:rsidR="001A3E6F" w:rsidRPr="00481482" w:rsidRDefault="001A3E6F" w:rsidP="001A3E6F">
      <w:pPr>
        <w:widowControl w:val="0"/>
        <w:spacing w:after="0" w:line="240" w:lineRule="auto"/>
        <w:jc w:val="both"/>
        <w:rPr>
          <w:rFonts w:ascii="Times New Roman" w:hAnsi="Times New Roman" w:cs="Times New Roman"/>
          <w:noProof/>
          <w:sz w:val="24"/>
        </w:rPr>
      </w:pPr>
    </w:p>
    <w:p w14:paraId="4CB505A4" w14:textId="77777777" w:rsidR="00B20686" w:rsidRDefault="00B20686">
      <w:pPr>
        <w:rPr>
          <w:rFonts w:ascii="Times New Roman" w:hAnsi="Times New Roman"/>
          <w:b/>
          <w:sz w:val="24"/>
        </w:rPr>
      </w:pPr>
      <w:r>
        <w:rPr>
          <w:rFonts w:ascii="Times New Roman" w:hAnsi="Times New Roman"/>
          <w:b/>
          <w:sz w:val="24"/>
        </w:rPr>
        <w:br w:type="page"/>
      </w:r>
    </w:p>
    <w:p w14:paraId="30E08FBE" w14:textId="789379CF" w:rsidR="001A3E6F" w:rsidRDefault="001A3E6F" w:rsidP="001A3E6F">
      <w:pPr>
        <w:widowControl w:val="0"/>
        <w:spacing w:after="0" w:line="240" w:lineRule="auto"/>
        <w:ind w:left="567"/>
        <w:rPr>
          <w:rFonts w:ascii="Times New Roman" w:hAnsi="Times New Roman" w:cs="Times New Roman"/>
          <w:b/>
          <w:bCs/>
          <w:noProof/>
          <w:sz w:val="24"/>
          <w:szCs w:val="26"/>
        </w:rPr>
      </w:pPr>
      <w:r>
        <w:rPr>
          <w:rFonts w:ascii="Times New Roman" w:hAnsi="Times New Roman"/>
          <w:b/>
          <w:sz w:val="24"/>
        </w:rPr>
        <w:lastRenderedPageBreak/>
        <w:t>E. KOMPONENTS NR. 5. EKONOMIKAS PĀRVEIDE UN PRODUKTIVITĀTES REFORMA</w:t>
      </w:r>
    </w:p>
    <w:p w14:paraId="31F742CB" w14:textId="77777777" w:rsidR="001A3E6F" w:rsidRPr="00481482" w:rsidRDefault="001A3E6F" w:rsidP="001A3E6F">
      <w:pPr>
        <w:widowControl w:val="0"/>
        <w:spacing w:after="0" w:line="240" w:lineRule="auto"/>
        <w:ind w:left="567"/>
        <w:rPr>
          <w:rFonts w:ascii="Times New Roman" w:hAnsi="Times New Roman" w:cs="Times New Roman"/>
          <w:b/>
          <w:bCs/>
          <w:noProof/>
          <w:sz w:val="24"/>
          <w:szCs w:val="26"/>
        </w:rPr>
      </w:pPr>
    </w:p>
    <w:tbl>
      <w:tblPr>
        <w:tblW w:w="5000" w:type="pct"/>
        <w:jc w:val="center"/>
        <w:tblCellMar>
          <w:top w:w="28" w:type="dxa"/>
          <w:left w:w="28" w:type="dxa"/>
          <w:bottom w:w="28" w:type="dxa"/>
          <w:right w:w="28" w:type="dxa"/>
        </w:tblCellMar>
        <w:tblLook w:val="04A0" w:firstRow="1" w:lastRow="0" w:firstColumn="1" w:lastColumn="0" w:noHBand="0" w:noVBand="1"/>
      </w:tblPr>
      <w:tblGrid>
        <w:gridCol w:w="403"/>
        <w:gridCol w:w="1572"/>
        <w:gridCol w:w="798"/>
        <w:gridCol w:w="1122"/>
        <w:gridCol w:w="1140"/>
        <w:gridCol w:w="1086"/>
        <w:gridCol w:w="833"/>
        <w:gridCol w:w="833"/>
        <w:gridCol w:w="915"/>
        <w:gridCol w:w="519"/>
        <w:gridCol w:w="968"/>
        <w:gridCol w:w="1283"/>
        <w:gridCol w:w="1247"/>
        <w:gridCol w:w="1274"/>
      </w:tblGrid>
      <w:tr w:rsidR="001A3E6F" w:rsidRPr="008C5D88" w14:paraId="05803987" w14:textId="77777777" w:rsidTr="009E7D55">
        <w:trPr>
          <w:tblHeader/>
          <w:jc w:val="center"/>
        </w:trPr>
        <w:tc>
          <w:tcPr>
            <w:tcW w:w="148" w:type="pct"/>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5CA2642" w14:textId="77777777" w:rsidR="001A3E6F" w:rsidRPr="008C5D88" w:rsidRDefault="001A3E6F" w:rsidP="00A116F8">
            <w:pPr>
              <w:widowControl w:val="0"/>
              <w:spacing w:after="0" w:line="240" w:lineRule="auto"/>
              <w:ind w:left="57" w:right="57"/>
              <w:jc w:val="center"/>
              <w:rPr>
                <w:rFonts w:ascii="Times New Roman" w:eastAsia="Times New Roman" w:hAnsi="Times New Roman" w:cs="Times New Roman"/>
                <w:b/>
                <w:bCs/>
                <w:noProof/>
                <w:sz w:val="18"/>
                <w:szCs w:val="20"/>
              </w:rPr>
            </w:pPr>
            <w:r w:rsidRPr="008C5D88">
              <w:rPr>
                <w:rFonts w:ascii="Times New Roman" w:hAnsi="Times New Roman"/>
                <w:b/>
                <w:sz w:val="18"/>
                <w:szCs w:val="20"/>
              </w:rPr>
              <w:t>#</w:t>
            </w:r>
          </w:p>
        </w:tc>
        <w:tc>
          <w:tcPr>
            <w:tcW w:w="325" w:type="pct"/>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72A9AE0" w14:textId="77777777" w:rsidR="001A3E6F" w:rsidRPr="008C5D88" w:rsidRDefault="001A3E6F" w:rsidP="00A116F8">
            <w:pPr>
              <w:widowControl w:val="0"/>
              <w:spacing w:after="0" w:line="240" w:lineRule="auto"/>
              <w:ind w:left="57" w:right="57"/>
              <w:jc w:val="center"/>
              <w:rPr>
                <w:rFonts w:ascii="Times New Roman" w:eastAsia="Times New Roman" w:hAnsi="Times New Roman" w:cs="Times New Roman"/>
                <w:b/>
                <w:bCs/>
                <w:noProof/>
                <w:sz w:val="18"/>
                <w:szCs w:val="20"/>
              </w:rPr>
            </w:pPr>
            <w:r w:rsidRPr="008C5D88">
              <w:rPr>
                <w:rFonts w:ascii="Times New Roman" w:hAnsi="Times New Roman"/>
                <w:b/>
                <w:sz w:val="18"/>
                <w:szCs w:val="20"/>
              </w:rPr>
              <w:t>Saistītais pasākums (reforma vai investīcija)</w:t>
            </w:r>
          </w:p>
        </w:tc>
        <w:tc>
          <w:tcPr>
            <w:tcW w:w="265" w:type="pct"/>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884689A" w14:textId="77777777" w:rsidR="001A3E6F" w:rsidRPr="008C5D88" w:rsidRDefault="001A3E6F" w:rsidP="00A116F8">
            <w:pPr>
              <w:widowControl w:val="0"/>
              <w:spacing w:after="0" w:line="240" w:lineRule="auto"/>
              <w:ind w:left="57" w:right="57"/>
              <w:jc w:val="center"/>
              <w:rPr>
                <w:rFonts w:ascii="Times New Roman" w:eastAsia="Times New Roman" w:hAnsi="Times New Roman" w:cs="Times New Roman"/>
                <w:b/>
                <w:bCs/>
                <w:noProof/>
                <w:sz w:val="18"/>
                <w:szCs w:val="20"/>
              </w:rPr>
            </w:pPr>
            <w:r w:rsidRPr="008C5D88">
              <w:rPr>
                <w:rFonts w:ascii="Times New Roman" w:hAnsi="Times New Roman"/>
                <w:b/>
                <w:sz w:val="18"/>
                <w:szCs w:val="20"/>
              </w:rPr>
              <w:t>Atskaites punkts / mērķis</w:t>
            </w:r>
          </w:p>
        </w:tc>
        <w:tc>
          <w:tcPr>
            <w:tcW w:w="329" w:type="pct"/>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AADC4FF" w14:textId="77777777" w:rsidR="001A3E6F" w:rsidRPr="008C5D88" w:rsidRDefault="001A3E6F" w:rsidP="00A116F8">
            <w:pPr>
              <w:widowControl w:val="0"/>
              <w:spacing w:after="0" w:line="240" w:lineRule="auto"/>
              <w:ind w:left="57" w:right="57"/>
              <w:jc w:val="center"/>
              <w:rPr>
                <w:rFonts w:ascii="Times New Roman" w:eastAsia="Times New Roman" w:hAnsi="Times New Roman" w:cs="Times New Roman"/>
                <w:b/>
                <w:bCs/>
                <w:noProof/>
                <w:sz w:val="18"/>
                <w:szCs w:val="20"/>
              </w:rPr>
            </w:pPr>
            <w:r w:rsidRPr="008C5D88">
              <w:rPr>
                <w:rFonts w:ascii="Times New Roman" w:hAnsi="Times New Roman"/>
                <w:b/>
                <w:sz w:val="18"/>
                <w:szCs w:val="20"/>
              </w:rPr>
              <w:t>Nosaukums</w:t>
            </w:r>
          </w:p>
        </w:tc>
        <w:tc>
          <w:tcPr>
            <w:tcW w:w="376" w:type="pct"/>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76B3770" w14:textId="77777777" w:rsidR="001A3E6F" w:rsidRPr="008C5D88" w:rsidRDefault="001A3E6F" w:rsidP="00A116F8">
            <w:pPr>
              <w:widowControl w:val="0"/>
              <w:spacing w:after="0" w:line="240" w:lineRule="auto"/>
              <w:ind w:left="57" w:right="57"/>
              <w:jc w:val="center"/>
              <w:rPr>
                <w:rFonts w:ascii="Times New Roman" w:eastAsia="Times New Roman" w:hAnsi="Times New Roman" w:cs="Times New Roman"/>
                <w:b/>
                <w:noProof/>
                <w:sz w:val="18"/>
                <w:szCs w:val="20"/>
              </w:rPr>
            </w:pPr>
            <w:r w:rsidRPr="008C5D88">
              <w:rPr>
                <w:rFonts w:ascii="Times New Roman" w:hAnsi="Times New Roman"/>
                <w:b/>
                <w:sz w:val="18"/>
                <w:szCs w:val="20"/>
              </w:rPr>
              <w:t>Kvalitatīvie rādītāji</w:t>
            </w:r>
          </w:p>
          <w:p w14:paraId="273AA47F" w14:textId="77777777" w:rsidR="001A3E6F" w:rsidRPr="008C5D88" w:rsidRDefault="001A3E6F" w:rsidP="00A116F8">
            <w:pPr>
              <w:widowControl w:val="0"/>
              <w:spacing w:after="0" w:line="240" w:lineRule="auto"/>
              <w:ind w:left="57" w:right="57"/>
              <w:jc w:val="center"/>
              <w:rPr>
                <w:rFonts w:ascii="Times New Roman" w:eastAsia="Times New Roman" w:hAnsi="Times New Roman" w:cs="Times New Roman"/>
                <w:b/>
                <w:noProof/>
                <w:sz w:val="18"/>
                <w:szCs w:val="20"/>
              </w:rPr>
            </w:pPr>
            <w:r w:rsidRPr="008C5D88">
              <w:rPr>
                <w:rFonts w:ascii="Times New Roman" w:hAnsi="Times New Roman"/>
                <w:b/>
                <w:sz w:val="18"/>
                <w:szCs w:val="20"/>
              </w:rPr>
              <w:t>(atskaites punktiem)</w:t>
            </w:r>
          </w:p>
        </w:tc>
        <w:tc>
          <w:tcPr>
            <w:tcW w:w="748" w:type="pct"/>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FC569B1" w14:textId="77777777" w:rsidR="001A3E6F" w:rsidRPr="008C5D88" w:rsidRDefault="001A3E6F" w:rsidP="00A116F8">
            <w:pPr>
              <w:widowControl w:val="0"/>
              <w:spacing w:after="0" w:line="240" w:lineRule="auto"/>
              <w:ind w:left="57" w:right="57"/>
              <w:jc w:val="center"/>
              <w:rPr>
                <w:rFonts w:ascii="Times New Roman" w:eastAsia="Times New Roman" w:hAnsi="Times New Roman" w:cs="Times New Roman"/>
                <w:b/>
                <w:noProof/>
                <w:sz w:val="18"/>
                <w:szCs w:val="20"/>
              </w:rPr>
            </w:pPr>
            <w:r w:rsidRPr="008C5D88">
              <w:rPr>
                <w:rFonts w:ascii="Times New Roman" w:hAnsi="Times New Roman"/>
                <w:b/>
                <w:sz w:val="18"/>
                <w:szCs w:val="20"/>
              </w:rPr>
              <w:t>Kvantitatīvie rādītāji</w:t>
            </w:r>
          </w:p>
          <w:p w14:paraId="23745EB4" w14:textId="77777777" w:rsidR="001A3E6F" w:rsidRPr="008C5D88" w:rsidRDefault="001A3E6F" w:rsidP="00A116F8">
            <w:pPr>
              <w:widowControl w:val="0"/>
              <w:spacing w:after="0" w:line="240" w:lineRule="auto"/>
              <w:ind w:left="57" w:right="57"/>
              <w:jc w:val="center"/>
              <w:rPr>
                <w:rFonts w:ascii="Times New Roman" w:eastAsia="Times New Roman" w:hAnsi="Times New Roman" w:cs="Times New Roman"/>
                <w:b/>
                <w:noProof/>
                <w:sz w:val="18"/>
                <w:szCs w:val="20"/>
              </w:rPr>
            </w:pPr>
            <w:r w:rsidRPr="008C5D88">
              <w:rPr>
                <w:rFonts w:ascii="Times New Roman" w:hAnsi="Times New Roman"/>
                <w:b/>
                <w:sz w:val="18"/>
                <w:szCs w:val="20"/>
              </w:rPr>
              <w:t>(mērķiem)</w:t>
            </w:r>
          </w:p>
        </w:tc>
        <w:tc>
          <w:tcPr>
            <w:tcW w:w="333" w:type="pct"/>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4261EA18" w14:textId="77777777" w:rsidR="001A3E6F" w:rsidRPr="008C5D88" w:rsidRDefault="001A3E6F" w:rsidP="00A116F8">
            <w:pPr>
              <w:widowControl w:val="0"/>
              <w:spacing w:after="0" w:line="240" w:lineRule="auto"/>
              <w:ind w:left="57" w:right="57"/>
              <w:jc w:val="center"/>
              <w:rPr>
                <w:rFonts w:ascii="Times New Roman" w:eastAsia="Times New Roman" w:hAnsi="Times New Roman" w:cs="Times New Roman"/>
                <w:b/>
                <w:bCs/>
                <w:noProof/>
                <w:sz w:val="18"/>
                <w:szCs w:val="20"/>
              </w:rPr>
            </w:pPr>
            <w:r w:rsidRPr="008C5D88">
              <w:rPr>
                <w:rFonts w:ascii="Times New Roman" w:hAnsi="Times New Roman"/>
                <w:b/>
                <w:sz w:val="18"/>
                <w:szCs w:val="20"/>
              </w:rPr>
              <w:t>Orientējošs pabeigšanas grafiks</w:t>
            </w:r>
          </w:p>
        </w:tc>
        <w:tc>
          <w:tcPr>
            <w:tcW w:w="411" w:type="pct"/>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415E783B" w14:textId="77777777" w:rsidR="001A3E6F" w:rsidRPr="008C5D88" w:rsidRDefault="001A3E6F" w:rsidP="00A116F8">
            <w:pPr>
              <w:widowControl w:val="0"/>
              <w:spacing w:after="0" w:line="240" w:lineRule="auto"/>
              <w:ind w:left="57" w:right="57"/>
              <w:jc w:val="center"/>
              <w:rPr>
                <w:rFonts w:ascii="Times New Roman" w:hAnsi="Times New Roman" w:cs="Calibri"/>
                <w:b/>
                <w:noProof/>
                <w:sz w:val="18"/>
                <w:szCs w:val="20"/>
              </w:rPr>
            </w:pPr>
            <w:r w:rsidRPr="008C5D88">
              <w:rPr>
                <w:rFonts w:ascii="Times New Roman" w:hAnsi="Times New Roman"/>
                <w:b/>
                <w:sz w:val="18"/>
                <w:szCs w:val="20"/>
              </w:rPr>
              <w:t>Atbildība par ziņošanu un īstenošanu</w:t>
            </w:r>
          </w:p>
        </w:tc>
        <w:tc>
          <w:tcPr>
            <w:tcW w:w="367" w:type="pct"/>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60373D48" w14:textId="77777777" w:rsidR="001A3E6F" w:rsidRPr="008C5D88" w:rsidRDefault="001A3E6F" w:rsidP="00A116F8">
            <w:pPr>
              <w:widowControl w:val="0"/>
              <w:spacing w:after="0" w:line="240" w:lineRule="auto"/>
              <w:ind w:left="57" w:right="57"/>
              <w:jc w:val="center"/>
              <w:rPr>
                <w:rFonts w:ascii="Times New Roman" w:hAnsi="Times New Roman" w:cs="Calibri"/>
                <w:b/>
                <w:noProof/>
                <w:sz w:val="18"/>
                <w:szCs w:val="20"/>
              </w:rPr>
            </w:pPr>
            <w:r w:rsidRPr="008C5D88">
              <w:rPr>
                <w:rFonts w:ascii="Times New Roman" w:hAnsi="Times New Roman"/>
                <w:b/>
                <w:sz w:val="18"/>
                <w:szCs w:val="20"/>
              </w:rPr>
              <w:t>Precizējums (ja nepieciešams)</w:t>
            </w:r>
          </w:p>
        </w:tc>
        <w:tc>
          <w:tcPr>
            <w:tcW w:w="815" w:type="pct"/>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4236E8CB" w14:textId="77777777" w:rsidR="001A3E6F" w:rsidRPr="008C5D88" w:rsidRDefault="001A3E6F" w:rsidP="00A116F8">
            <w:pPr>
              <w:widowControl w:val="0"/>
              <w:spacing w:after="0" w:line="240" w:lineRule="auto"/>
              <w:ind w:left="57" w:right="57"/>
              <w:jc w:val="center"/>
              <w:rPr>
                <w:rFonts w:ascii="Times New Roman" w:eastAsia="Times New Roman" w:hAnsi="Times New Roman" w:cs="Times New Roman"/>
                <w:b/>
                <w:noProof/>
                <w:sz w:val="18"/>
                <w:szCs w:val="20"/>
              </w:rPr>
            </w:pPr>
            <w:r w:rsidRPr="008C5D88">
              <w:rPr>
                <w:rFonts w:ascii="Times New Roman" w:hAnsi="Times New Roman"/>
                <w:b/>
                <w:sz w:val="18"/>
                <w:szCs w:val="20"/>
              </w:rPr>
              <w:t>Pārbaudes mehānisms</w:t>
            </w:r>
          </w:p>
        </w:tc>
        <w:tc>
          <w:tcPr>
            <w:tcW w:w="883" w:type="pct"/>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F8D9454" w14:textId="77777777" w:rsidR="001A3E6F" w:rsidRPr="008C5D88" w:rsidRDefault="001A3E6F" w:rsidP="00A116F8">
            <w:pPr>
              <w:widowControl w:val="0"/>
              <w:spacing w:after="0" w:line="240" w:lineRule="auto"/>
              <w:ind w:left="57" w:right="57"/>
              <w:jc w:val="center"/>
              <w:rPr>
                <w:rFonts w:ascii="Times New Roman" w:eastAsia="Times New Roman" w:hAnsi="Times New Roman" w:cs="Times New Roman"/>
                <w:b/>
                <w:noProof/>
                <w:sz w:val="18"/>
                <w:szCs w:val="20"/>
              </w:rPr>
            </w:pPr>
            <w:r w:rsidRPr="008C5D88">
              <w:rPr>
                <w:rFonts w:ascii="Times New Roman" w:hAnsi="Times New Roman"/>
                <w:b/>
                <w:sz w:val="18"/>
                <w:szCs w:val="20"/>
              </w:rPr>
              <w:t>Atskaites punkta un mērķa apraksts</w:t>
            </w:r>
          </w:p>
        </w:tc>
      </w:tr>
      <w:tr w:rsidR="001A3E6F" w:rsidRPr="008C5D88" w14:paraId="5445DCFA" w14:textId="77777777" w:rsidTr="009E7D55">
        <w:trPr>
          <w:jc w:val="center"/>
        </w:trPr>
        <w:tc>
          <w:tcPr>
            <w:tcW w:w="148" w:type="pct"/>
            <w:vMerge/>
            <w:vAlign w:val="center"/>
            <w:hideMark/>
          </w:tcPr>
          <w:p w14:paraId="232BAFCF"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b/>
                <w:bCs/>
                <w:noProof/>
                <w:sz w:val="18"/>
                <w:szCs w:val="20"/>
                <w:lang w:eastAsia="en-GB"/>
              </w:rPr>
            </w:pPr>
          </w:p>
        </w:tc>
        <w:tc>
          <w:tcPr>
            <w:tcW w:w="325" w:type="pct"/>
            <w:vMerge/>
            <w:vAlign w:val="center"/>
            <w:hideMark/>
          </w:tcPr>
          <w:p w14:paraId="5E0461C7"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b/>
                <w:bCs/>
                <w:noProof/>
                <w:sz w:val="18"/>
                <w:szCs w:val="20"/>
                <w:lang w:eastAsia="en-GB"/>
              </w:rPr>
            </w:pPr>
          </w:p>
        </w:tc>
        <w:tc>
          <w:tcPr>
            <w:tcW w:w="265" w:type="pct"/>
            <w:vMerge/>
            <w:vAlign w:val="center"/>
            <w:hideMark/>
          </w:tcPr>
          <w:p w14:paraId="6927F75E"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b/>
                <w:bCs/>
                <w:noProof/>
                <w:sz w:val="18"/>
                <w:szCs w:val="20"/>
                <w:lang w:eastAsia="en-GB"/>
              </w:rPr>
            </w:pPr>
          </w:p>
        </w:tc>
        <w:tc>
          <w:tcPr>
            <w:tcW w:w="329" w:type="pct"/>
            <w:vMerge/>
            <w:vAlign w:val="center"/>
            <w:hideMark/>
          </w:tcPr>
          <w:p w14:paraId="3D49B674"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b/>
                <w:bCs/>
                <w:noProof/>
                <w:sz w:val="18"/>
                <w:szCs w:val="20"/>
                <w:lang w:eastAsia="en-GB"/>
              </w:rPr>
            </w:pPr>
          </w:p>
        </w:tc>
        <w:tc>
          <w:tcPr>
            <w:tcW w:w="376" w:type="pct"/>
            <w:vMerge/>
            <w:vAlign w:val="center"/>
            <w:hideMark/>
          </w:tcPr>
          <w:p w14:paraId="4FE949CB"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b/>
                <w:bCs/>
                <w:noProof/>
                <w:sz w:val="18"/>
                <w:szCs w:val="20"/>
                <w:lang w:eastAsia="en-GB"/>
              </w:rPr>
            </w:pPr>
          </w:p>
        </w:tc>
        <w:tc>
          <w:tcPr>
            <w:tcW w:w="236" w:type="pct"/>
            <w:tcBorders>
              <w:top w:val="single" w:sz="4" w:space="0" w:color="auto"/>
              <w:left w:val="single" w:sz="4" w:space="0" w:color="auto"/>
              <w:bottom w:val="single" w:sz="4" w:space="0" w:color="auto"/>
              <w:right w:val="single" w:sz="4" w:space="0" w:color="auto"/>
            </w:tcBorders>
            <w:shd w:val="clear" w:color="auto" w:fill="BDD7EE"/>
            <w:vAlign w:val="center"/>
            <w:hideMark/>
          </w:tcPr>
          <w:p w14:paraId="43C0DFCA" w14:textId="77777777" w:rsidR="001A3E6F" w:rsidRPr="008C5D88" w:rsidRDefault="001A3E6F" w:rsidP="00A116F8">
            <w:pPr>
              <w:widowControl w:val="0"/>
              <w:spacing w:after="0" w:line="240" w:lineRule="auto"/>
              <w:ind w:left="57" w:right="57"/>
              <w:jc w:val="center"/>
              <w:rPr>
                <w:rFonts w:ascii="Times New Roman" w:eastAsia="Times New Roman" w:hAnsi="Times New Roman" w:cs="Times New Roman"/>
                <w:b/>
                <w:bCs/>
                <w:noProof/>
                <w:sz w:val="18"/>
                <w:szCs w:val="20"/>
              </w:rPr>
            </w:pPr>
            <w:r w:rsidRPr="008C5D88">
              <w:rPr>
                <w:rFonts w:ascii="Times New Roman" w:hAnsi="Times New Roman"/>
                <w:b/>
                <w:sz w:val="18"/>
                <w:szCs w:val="20"/>
              </w:rPr>
              <w:t>Mērvienība</w:t>
            </w:r>
          </w:p>
        </w:tc>
        <w:tc>
          <w:tcPr>
            <w:tcW w:w="247" w:type="pct"/>
            <w:tcBorders>
              <w:top w:val="single" w:sz="4" w:space="0" w:color="auto"/>
              <w:left w:val="single" w:sz="4" w:space="0" w:color="auto"/>
              <w:bottom w:val="single" w:sz="4" w:space="0" w:color="auto"/>
              <w:right w:val="single" w:sz="4" w:space="0" w:color="auto"/>
            </w:tcBorders>
            <w:shd w:val="clear" w:color="auto" w:fill="BDD7EE"/>
            <w:vAlign w:val="center"/>
            <w:hideMark/>
          </w:tcPr>
          <w:p w14:paraId="59562990" w14:textId="77777777" w:rsidR="001A3E6F" w:rsidRPr="008C5D88" w:rsidRDefault="001A3E6F" w:rsidP="00A116F8">
            <w:pPr>
              <w:widowControl w:val="0"/>
              <w:spacing w:after="0" w:line="240" w:lineRule="auto"/>
              <w:ind w:left="57" w:right="57"/>
              <w:jc w:val="center"/>
              <w:rPr>
                <w:rFonts w:ascii="Times New Roman" w:eastAsia="Times New Roman" w:hAnsi="Times New Roman" w:cs="Times New Roman"/>
                <w:b/>
                <w:bCs/>
                <w:noProof/>
                <w:sz w:val="18"/>
                <w:szCs w:val="20"/>
              </w:rPr>
            </w:pPr>
            <w:r w:rsidRPr="008C5D88">
              <w:rPr>
                <w:rFonts w:ascii="Times New Roman" w:hAnsi="Times New Roman"/>
                <w:b/>
                <w:sz w:val="18"/>
                <w:szCs w:val="20"/>
              </w:rPr>
              <w:t>Bāze</w:t>
            </w:r>
          </w:p>
        </w:tc>
        <w:tc>
          <w:tcPr>
            <w:tcW w:w="265" w:type="pct"/>
            <w:tcBorders>
              <w:top w:val="single" w:sz="4" w:space="0" w:color="auto"/>
              <w:left w:val="single" w:sz="4" w:space="0" w:color="auto"/>
              <w:bottom w:val="single" w:sz="4" w:space="0" w:color="auto"/>
              <w:right w:val="single" w:sz="4" w:space="0" w:color="auto"/>
            </w:tcBorders>
            <w:shd w:val="clear" w:color="auto" w:fill="BDD7EE"/>
            <w:vAlign w:val="center"/>
            <w:hideMark/>
          </w:tcPr>
          <w:p w14:paraId="598569B4" w14:textId="77777777" w:rsidR="001A3E6F" w:rsidRPr="008C5D88" w:rsidRDefault="001A3E6F" w:rsidP="00A116F8">
            <w:pPr>
              <w:widowControl w:val="0"/>
              <w:spacing w:after="0" w:line="240" w:lineRule="auto"/>
              <w:ind w:left="57" w:right="57"/>
              <w:jc w:val="center"/>
              <w:rPr>
                <w:rFonts w:ascii="Times New Roman" w:eastAsia="Times New Roman" w:hAnsi="Times New Roman" w:cs="Times New Roman"/>
                <w:b/>
                <w:bCs/>
                <w:noProof/>
                <w:sz w:val="18"/>
                <w:szCs w:val="20"/>
              </w:rPr>
            </w:pPr>
            <w:r w:rsidRPr="008C5D88">
              <w:rPr>
                <w:rFonts w:ascii="Times New Roman" w:hAnsi="Times New Roman"/>
                <w:b/>
                <w:sz w:val="18"/>
                <w:szCs w:val="20"/>
              </w:rPr>
              <w:t>Mērķis</w:t>
            </w:r>
          </w:p>
        </w:tc>
        <w:tc>
          <w:tcPr>
            <w:tcW w:w="143" w:type="pct"/>
            <w:tcBorders>
              <w:top w:val="single" w:sz="4" w:space="0" w:color="auto"/>
              <w:left w:val="single" w:sz="4" w:space="0" w:color="auto"/>
              <w:bottom w:val="single" w:sz="4" w:space="0" w:color="auto"/>
              <w:right w:val="single" w:sz="4" w:space="0" w:color="auto"/>
            </w:tcBorders>
            <w:shd w:val="clear" w:color="auto" w:fill="BDD7EE"/>
            <w:vAlign w:val="center"/>
            <w:hideMark/>
          </w:tcPr>
          <w:p w14:paraId="6E3509E9" w14:textId="77777777" w:rsidR="001A3E6F" w:rsidRPr="008C5D88" w:rsidRDefault="001A3E6F" w:rsidP="00A116F8">
            <w:pPr>
              <w:widowControl w:val="0"/>
              <w:spacing w:after="0" w:line="240" w:lineRule="auto"/>
              <w:ind w:left="57" w:right="57"/>
              <w:jc w:val="center"/>
              <w:rPr>
                <w:rFonts w:ascii="Times New Roman" w:eastAsia="Times New Roman" w:hAnsi="Times New Roman" w:cs="Times New Roman"/>
                <w:b/>
                <w:bCs/>
                <w:noProof/>
                <w:sz w:val="18"/>
                <w:szCs w:val="20"/>
              </w:rPr>
            </w:pPr>
            <w:r w:rsidRPr="008C5D88">
              <w:rPr>
                <w:rFonts w:ascii="Times New Roman" w:hAnsi="Times New Roman"/>
                <w:b/>
                <w:sz w:val="18"/>
                <w:szCs w:val="20"/>
              </w:rPr>
              <w:t>Ceturksnis</w:t>
            </w:r>
          </w:p>
        </w:tc>
        <w:tc>
          <w:tcPr>
            <w:tcW w:w="190" w:type="pct"/>
            <w:tcBorders>
              <w:top w:val="single" w:sz="4" w:space="0" w:color="auto"/>
              <w:left w:val="single" w:sz="4" w:space="0" w:color="auto"/>
              <w:bottom w:val="single" w:sz="4" w:space="0" w:color="auto"/>
              <w:right w:val="single" w:sz="4" w:space="0" w:color="auto"/>
            </w:tcBorders>
            <w:shd w:val="clear" w:color="auto" w:fill="BDD7EE"/>
            <w:vAlign w:val="center"/>
            <w:hideMark/>
          </w:tcPr>
          <w:p w14:paraId="03CA2297" w14:textId="77777777" w:rsidR="001A3E6F" w:rsidRPr="008C5D88" w:rsidRDefault="001A3E6F" w:rsidP="00A116F8">
            <w:pPr>
              <w:widowControl w:val="0"/>
              <w:spacing w:after="0" w:line="240" w:lineRule="auto"/>
              <w:ind w:left="57" w:right="57"/>
              <w:jc w:val="center"/>
              <w:rPr>
                <w:rFonts w:ascii="Times New Roman" w:eastAsia="Times New Roman" w:hAnsi="Times New Roman" w:cs="Times New Roman"/>
                <w:b/>
                <w:bCs/>
                <w:noProof/>
                <w:sz w:val="18"/>
                <w:szCs w:val="20"/>
              </w:rPr>
            </w:pPr>
            <w:r w:rsidRPr="008C5D88">
              <w:rPr>
                <w:rFonts w:ascii="Times New Roman" w:hAnsi="Times New Roman"/>
                <w:b/>
                <w:sz w:val="18"/>
                <w:szCs w:val="20"/>
              </w:rPr>
              <w:t>Gads</w:t>
            </w:r>
          </w:p>
        </w:tc>
        <w:tc>
          <w:tcPr>
            <w:tcW w:w="411" w:type="pct"/>
            <w:vMerge/>
          </w:tcPr>
          <w:p w14:paraId="7C9DA08B"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b/>
                <w:bCs/>
                <w:noProof/>
                <w:sz w:val="18"/>
                <w:szCs w:val="20"/>
                <w:lang w:eastAsia="en-GB"/>
              </w:rPr>
            </w:pPr>
          </w:p>
        </w:tc>
        <w:tc>
          <w:tcPr>
            <w:tcW w:w="367" w:type="pct"/>
            <w:vMerge/>
          </w:tcPr>
          <w:p w14:paraId="4624DC59"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b/>
                <w:bCs/>
                <w:noProof/>
                <w:sz w:val="18"/>
                <w:szCs w:val="20"/>
                <w:lang w:eastAsia="en-GB"/>
              </w:rPr>
            </w:pPr>
          </w:p>
        </w:tc>
        <w:tc>
          <w:tcPr>
            <w:tcW w:w="815" w:type="pct"/>
            <w:vMerge/>
          </w:tcPr>
          <w:p w14:paraId="0F2612E2"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b/>
                <w:bCs/>
                <w:noProof/>
                <w:color w:val="4F6228" w:themeColor="accent3" w:themeShade="80"/>
                <w:sz w:val="18"/>
                <w:szCs w:val="20"/>
                <w:lang w:eastAsia="en-GB"/>
              </w:rPr>
            </w:pPr>
          </w:p>
        </w:tc>
        <w:tc>
          <w:tcPr>
            <w:tcW w:w="883" w:type="pct"/>
            <w:vMerge/>
            <w:vAlign w:val="center"/>
            <w:hideMark/>
          </w:tcPr>
          <w:p w14:paraId="42AF25B1"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b/>
                <w:bCs/>
                <w:noProof/>
                <w:sz w:val="18"/>
                <w:szCs w:val="20"/>
                <w:lang w:eastAsia="en-GB"/>
              </w:rPr>
            </w:pPr>
          </w:p>
        </w:tc>
      </w:tr>
      <w:tr w:rsidR="001A3E6F" w:rsidRPr="008C5D88" w14:paraId="288E11EE" w14:textId="77777777" w:rsidTr="009E7D55">
        <w:trPr>
          <w:jc w:val="center"/>
        </w:trPr>
        <w:tc>
          <w:tcPr>
            <w:tcW w:w="148" w:type="pct"/>
            <w:tcBorders>
              <w:top w:val="single" w:sz="4" w:space="0" w:color="auto"/>
              <w:left w:val="single" w:sz="4" w:space="0" w:color="auto"/>
              <w:bottom w:val="single" w:sz="4" w:space="0" w:color="auto"/>
              <w:right w:val="single" w:sz="4" w:space="0" w:color="auto"/>
            </w:tcBorders>
            <w:shd w:val="clear" w:color="auto" w:fill="C6EFCE"/>
            <w:hideMark/>
          </w:tcPr>
          <w:p w14:paraId="173B4F52"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154</w:t>
            </w:r>
          </w:p>
        </w:tc>
        <w:tc>
          <w:tcPr>
            <w:tcW w:w="325" w:type="pct"/>
            <w:tcBorders>
              <w:top w:val="single" w:sz="4" w:space="0" w:color="auto"/>
              <w:left w:val="nil"/>
              <w:bottom w:val="single" w:sz="4" w:space="0" w:color="auto"/>
              <w:right w:val="single" w:sz="4" w:space="0" w:color="auto"/>
            </w:tcBorders>
            <w:shd w:val="clear" w:color="auto" w:fill="C6EFCE"/>
            <w:hideMark/>
          </w:tcPr>
          <w:p w14:paraId="595EB0DD"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b/>
                <w:bCs/>
                <w:noProof/>
                <w:sz w:val="18"/>
                <w:szCs w:val="20"/>
              </w:rPr>
            </w:pPr>
            <w:r w:rsidRPr="008C5D88">
              <w:rPr>
                <w:rFonts w:ascii="Times New Roman" w:hAnsi="Times New Roman"/>
                <w:b/>
                <w:sz w:val="18"/>
                <w:szCs w:val="20"/>
              </w:rPr>
              <w:t>5.1.r. Inovāciju pārvaldība un privāto pētniecības un izstrādes| investīciju motivācija</w:t>
            </w:r>
          </w:p>
        </w:tc>
        <w:tc>
          <w:tcPr>
            <w:tcW w:w="265" w:type="pct"/>
            <w:tcBorders>
              <w:top w:val="single" w:sz="4" w:space="0" w:color="auto"/>
              <w:left w:val="nil"/>
              <w:bottom w:val="single" w:sz="4" w:space="0" w:color="auto"/>
              <w:right w:val="single" w:sz="4" w:space="0" w:color="auto"/>
            </w:tcBorders>
            <w:shd w:val="clear" w:color="auto" w:fill="C6EFCE"/>
            <w:hideMark/>
          </w:tcPr>
          <w:p w14:paraId="20B3F158"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Atskaites punkts</w:t>
            </w:r>
          </w:p>
        </w:tc>
        <w:tc>
          <w:tcPr>
            <w:tcW w:w="329" w:type="pct"/>
            <w:tcBorders>
              <w:top w:val="single" w:sz="4" w:space="0" w:color="auto"/>
              <w:left w:val="nil"/>
              <w:bottom w:val="single" w:sz="4" w:space="0" w:color="auto"/>
              <w:right w:val="single" w:sz="4" w:space="0" w:color="auto"/>
            </w:tcBorders>
            <w:shd w:val="clear" w:color="auto" w:fill="C6EFCE"/>
            <w:hideMark/>
          </w:tcPr>
          <w:p w14:paraId="323E7564"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Valsts ilgtermiņa stratēģijas izstrāde katrai RIS3 jomai un stratēģiskās padomes izveide katrai RIS3 jomai</w:t>
            </w:r>
          </w:p>
        </w:tc>
        <w:tc>
          <w:tcPr>
            <w:tcW w:w="376" w:type="pct"/>
            <w:tcBorders>
              <w:top w:val="single" w:sz="4" w:space="0" w:color="auto"/>
              <w:left w:val="nil"/>
              <w:bottom w:val="single" w:sz="4" w:space="0" w:color="auto"/>
              <w:right w:val="single" w:sz="4" w:space="0" w:color="auto"/>
            </w:tcBorders>
            <w:shd w:val="clear" w:color="auto" w:fill="C6EFCE"/>
            <w:hideMark/>
          </w:tcPr>
          <w:p w14:paraId="212A4E8D"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Stratēģija ir saskaņota ar visām ieinteresētajām personām un ir apstiprināta. Ir izveidotas RIS3 stratēģiskās padomes un ievēlēti to pārstāvji</w:t>
            </w:r>
          </w:p>
        </w:tc>
        <w:tc>
          <w:tcPr>
            <w:tcW w:w="236" w:type="pct"/>
            <w:tcBorders>
              <w:top w:val="single" w:sz="4" w:space="0" w:color="auto"/>
              <w:left w:val="nil"/>
              <w:bottom w:val="single" w:sz="4" w:space="0" w:color="auto"/>
              <w:right w:val="single" w:sz="4" w:space="0" w:color="auto"/>
            </w:tcBorders>
            <w:shd w:val="clear" w:color="auto" w:fill="C6EFCE"/>
            <w:hideMark/>
          </w:tcPr>
          <w:p w14:paraId="6F144D2A"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Neattiecas</w:t>
            </w:r>
          </w:p>
        </w:tc>
        <w:tc>
          <w:tcPr>
            <w:tcW w:w="247" w:type="pct"/>
            <w:tcBorders>
              <w:top w:val="single" w:sz="4" w:space="0" w:color="auto"/>
              <w:left w:val="nil"/>
              <w:bottom w:val="single" w:sz="4" w:space="0" w:color="auto"/>
              <w:right w:val="single" w:sz="4" w:space="0" w:color="auto"/>
            </w:tcBorders>
            <w:shd w:val="clear" w:color="auto" w:fill="C6EFCE"/>
            <w:hideMark/>
          </w:tcPr>
          <w:p w14:paraId="78E12B35"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Neattiecas</w:t>
            </w:r>
          </w:p>
        </w:tc>
        <w:tc>
          <w:tcPr>
            <w:tcW w:w="265" w:type="pct"/>
            <w:tcBorders>
              <w:top w:val="single" w:sz="4" w:space="0" w:color="auto"/>
              <w:left w:val="nil"/>
              <w:bottom w:val="single" w:sz="4" w:space="0" w:color="auto"/>
              <w:right w:val="single" w:sz="4" w:space="0" w:color="auto"/>
            </w:tcBorders>
            <w:shd w:val="clear" w:color="auto" w:fill="C6EFCE"/>
            <w:hideMark/>
          </w:tcPr>
          <w:p w14:paraId="71438045"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Neattiecas</w:t>
            </w:r>
          </w:p>
        </w:tc>
        <w:tc>
          <w:tcPr>
            <w:tcW w:w="143" w:type="pct"/>
            <w:tcBorders>
              <w:top w:val="single" w:sz="4" w:space="0" w:color="auto"/>
              <w:left w:val="nil"/>
              <w:bottom w:val="single" w:sz="4" w:space="0" w:color="auto"/>
              <w:right w:val="single" w:sz="4" w:space="0" w:color="auto"/>
            </w:tcBorders>
            <w:shd w:val="clear" w:color="auto" w:fill="C6EFCE"/>
            <w:hideMark/>
          </w:tcPr>
          <w:p w14:paraId="459CC62F"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4. cet.</w:t>
            </w:r>
          </w:p>
        </w:tc>
        <w:tc>
          <w:tcPr>
            <w:tcW w:w="190" w:type="pct"/>
            <w:tcBorders>
              <w:top w:val="single" w:sz="4" w:space="0" w:color="auto"/>
              <w:left w:val="nil"/>
              <w:bottom w:val="single" w:sz="4" w:space="0" w:color="auto"/>
              <w:right w:val="single" w:sz="4" w:space="0" w:color="auto"/>
            </w:tcBorders>
            <w:shd w:val="clear" w:color="auto" w:fill="C6EFCE"/>
            <w:hideMark/>
          </w:tcPr>
          <w:p w14:paraId="2A6BE14D"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2022</w:t>
            </w:r>
          </w:p>
        </w:tc>
        <w:tc>
          <w:tcPr>
            <w:tcW w:w="411" w:type="pct"/>
            <w:tcBorders>
              <w:top w:val="single" w:sz="4" w:space="0" w:color="auto"/>
              <w:left w:val="single" w:sz="4" w:space="0" w:color="auto"/>
              <w:bottom w:val="single" w:sz="4" w:space="0" w:color="auto"/>
              <w:right w:val="single" w:sz="4" w:space="0" w:color="auto"/>
            </w:tcBorders>
            <w:shd w:val="clear" w:color="auto" w:fill="C6EFCE"/>
          </w:tcPr>
          <w:p w14:paraId="07AF13DA" w14:textId="77777777" w:rsidR="001A3E6F" w:rsidRPr="008C5D88" w:rsidRDefault="001A3E6F" w:rsidP="00A116F8">
            <w:pPr>
              <w:widowControl w:val="0"/>
              <w:spacing w:after="0" w:line="240" w:lineRule="auto"/>
              <w:ind w:left="57" w:right="57"/>
              <w:jc w:val="both"/>
              <w:rPr>
                <w:rFonts w:ascii="Times New Roman" w:hAnsi="Times New Roman" w:cs="Calibri"/>
                <w:noProof/>
                <w:sz w:val="18"/>
                <w:szCs w:val="20"/>
              </w:rPr>
            </w:pPr>
            <w:r w:rsidRPr="008C5D88">
              <w:rPr>
                <w:rFonts w:ascii="Times New Roman" w:hAnsi="Times New Roman"/>
                <w:sz w:val="18"/>
                <w:szCs w:val="20"/>
              </w:rPr>
              <w:t>Latvijas Investīciju un attīstības aģentūra (LIAA), Ekonomikas ministrija</w:t>
            </w:r>
          </w:p>
        </w:tc>
        <w:tc>
          <w:tcPr>
            <w:tcW w:w="367" w:type="pct"/>
            <w:tcBorders>
              <w:top w:val="single" w:sz="4" w:space="0" w:color="auto"/>
              <w:left w:val="single" w:sz="4" w:space="0" w:color="auto"/>
              <w:bottom w:val="single" w:sz="4" w:space="0" w:color="auto"/>
              <w:right w:val="single" w:sz="4" w:space="0" w:color="auto"/>
            </w:tcBorders>
            <w:shd w:val="clear" w:color="auto" w:fill="C6EFCE"/>
          </w:tcPr>
          <w:p w14:paraId="6299539B"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lang w:eastAsia="en-GB"/>
              </w:rPr>
            </w:pPr>
          </w:p>
        </w:tc>
        <w:tc>
          <w:tcPr>
            <w:tcW w:w="815" w:type="pct"/>
            <w:tcBorders>
              <w:top w:val="single" w:sz="4" w:space="0" w:color="auto"/>
              <w:left w:val="single" w:sz="4" w:space="0" w:color="auto"/>
              <w:bottom w:val="single" w:sz="4" w:space="0" w:color="auto"/>
              <w:right w:val="single" w:sz="4" w:space="0" w:color="auto"/>
            </w:tcBorders>
            <w:shd w:val="clear" w:color="auto" w:fill="C6EFCE"/>
          </w:tcPr>
          <w:p w14:paraId="2F29511A" w14:textId="77777777" w:rsidR="001A3E6F" w:rsidRPr="008C5D88" w:rsidRDefault="001A3E6F" w:rsidP="00A116F8">
            <w:pPr>
              <w:widowControl w:val="0"/>
              <w:spacing w:after="0" w:line="240" w:lineRule="auto"/>
              <w:ind w:left="57" w:right="57"/>
              <w:rPr>
                <w:rFonts w:ascii="Times New Roman" w:hAnsi="Times New Roman" w:cs="Calibri"/>
                <w:noProof/>
                <w:sz w:val="18"/>
                <w:szCs w:val="20"/>
              </w:rPr>
            </w:pPr>
            <w:r w:rsidRPr="008C5D88">
              <w:rPr>
                <w:rFonts w:ascii="Times New Roman" w:hAnsi="Times New Roman"/>
                <w:sz w:val="18"/>
                <w:szCs w:val="20"/>
              </w:rPr>
              <w:t>Kopsavilkuma dokuments, kurā pienācīgi pamatots, kā tika apmierinoši sasniegts atskaites punkts (tostarp visi būtiskie elementi), kopā ar atbilstošām saitēm uz pamatojošajiem pierādījumiem.</w:t>
            </w:r>
          </w:p>
          <w:p w14:paraId="5F192C95" w14:textId="77777777" w:rsidR="001A3E6F" w:rsidRPr="008C5D88" w:rsidRDefault="001A3E6F" w:rsidP="00A116F8">
            <w:pPr>
              <w:widowControl w:val="0"/>
              <w:spacing w:after="0" w:line="240" w:lineRule="auto"/>
              <w:ind w:left="57" w:right="57"/>
              <w:rPr>
                <w:rFonts w:ascii="Times New Roman" w:hAnsi="Times New Roman" w:cs="Calibri"/>
                <w:noProof/>
                <w:sz w:val="18"/>
                <w:szCs w:val="20"/>
              </w:rPr>
            </w:pPr>
            <w:r w:rsidRPr="008C5D88">
              <w:rPr>
                <w:rFonts w:ascii="Times New Roman" w:hAnsi="Times New Roman"/>
                <w:sz w:val="18"/>
                <w:szCs w:val="20"/>
              </w:rPr>
              <w:t xml:space="preserve">Šā dokumenta pielikumā iekļauj kopiju attiecīgo tiesību aktu grozījumiem, kas saistīti ar LIAA, stratēģisko padomju un Ekonomikas ministrijas funkcijām attiecībā uz atskaites punkta </w:t>
            </w:r>
            <w:r w:rsidRPr="008C5D88">
              <w:rPr>
                <w:rFonts w:ascii="Times New Roman" w:hAnsi="Times New Roman"/>
                <w:sz w:val="18"/>
                <w:szCs w:val="20"/>
              </w:rPr>
              <w:lastRenderedPageBreak/>
              <w:t>sasniegšanu, tostarp atsauci uz noteikumiem, kuros norādīta stāšanās spēkā.</w:t>
            </w:r>
          </w:p>
        </w:tc>
        <w:tc>
          <w:tcPr>
            <w:tcW w:w="883" w:type="pct"/>
            <w:tcBorders>
              <w:top w:val="single" w:sz="4" w:space="0" w:color="auto"/>
              <w:left w:val="single" w:sz="4" w:space="0" w:color="auto"/>
              <w:bottom w:val="single" w:sz="4" w:space="0" w:color="auto"/>
              <w:right w:val="single" w:sz="4" w:space="0" w:color="auto"/>
            </w:tcBorders>
            <w:shd w:val="clear" w:color="auto" w:fill="C6EFCE"/>
            <w:hideMark/>
          </w:tcPr>
          <w:p w14:paraId="63D03DAC"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lastRenderedPageBreak/>
              <w:t>Spēkā stājas attiecīgo tiesību aktu grozījumi, kas konkrētajām iestādēm piešķir šādas funkcijas:</w:t>
            </w:r>
          </w:p>
          <w:p w14:paraId="46DADEC1"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Latvijas Investīciju un attīstības aģentūra (LIAA) ir atbildīga par:</w:t>
            </w:r>
          </w:p>
          <w:p w14:paraId="55A061D6"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 ilgtermiņa stratēģiju izstrādi valsts līmenī katrai RIS3 jomai;</w:t>
            </w:r>
          </w:p>
          <w:p w14:paraId="04D632C7"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 gada rīcības plānu izstrādi katrai RIS3 jomai;</w:t>
            </w:r>
          </w:p>
          <w:p w14:paraId="28669C37"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 stratēģiskās padomes izveidi katrai RIS3 jomai;</w:t>
            </w:r>
          </w:p>
          <w:p w14:paraId="0383ABFF"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 izveidoto padomju vadīšanu un koordinēšanu;</w:t>
            </w:r>
          </w:p>
          <w:p w14:paraId="6D6A0A16"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 xml:space="preserve">— metodikas izstrādi aktīvu vērtības ķēžu </w:t>
            </w:r>
            <w:r w:rsidRPr="008C5D88">
              <w:rPr>
                <w:rFonts w:ascii="Times New Roman" w:hAnsi="Times New Roman"/>
                <w:sz w:val="18"/>
                <w:szCs w:val="20"/>
              </w:rPr>
              <w:lastRenderedPageBreak/>
              <w:t>atlasīšanai, tostarp par kvantitatīvu kritēriju noteikšanu vērtības ķēžu likvidēšanai.</w:t>
            </w:r>
          </w:p>
          <w:p w14:paraId="1811CD87"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Stratēģiskā padome katrā RIS3 jomā:</w:t>
            </w:r>
          </w:p>
          <w:p w14:paraId="7E067E4B"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 nodrošina plānoto investīciju saderību ar RIS3 specializācijas stratēģijām, valsts konkurences priekšrocībām;</w:t>
            </w:r>
          </w:p>
          <w:p w14:paraId="5A2803AC" w14:textId="77777777" w:rsidR="001A3E6F" w:rsidRPr="008C5D88" w:rsidRDefault="001A3E6F" w:rsidP="00A116F8">
            <w:pPr>
              <w:widowControl w:val="0"/>
              <w:spacing w:after="0" w:line="240" w:lineRule="auto"/>
              <w:ind w:left="57" w:right="57"/>
              <w:rPr>
                <w:rFonts w:ascii="Times New Roman" w:hAnsi="Times New Roman" w:cs="Times New Roman"/>
                <w:noProof/>
                <w:sz w:val="18"/>
                <w:szCs w:val="20"/>
              </w:rPr>
            </w:pPr>
            <w:r w:rsidRPr="008C5D88">
              <w:rPr>
                <w:rFonts w:ascii="Times New Roman" w:hAnsi="Times New Roman"/>
                <w:sz w:val="18"/>
                <w:szCs w:val="20"/>
              </w:rPr>
              <w:t>— sastāv no galvenajiem privātajiem, publiskajiem un pētniecības dalībniekiem;</w:t>
            </w:r>
          </w:p>
          <w:p w14:paraId="4C21C436"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 to ievēlē LIAA, vienojoties ar iesaistītajām ministrijām. Stratēģiskā padome tiek ievēlēta atkārtoti reizi gadā;</w:t>
            </w:r>
          </w:p>
          <w:p w14:paraId="46712694" w14:textId="77777777" w:rsidR="001A3E6F" w:rsidRPr="008C5D88" w:rsidRDefault="001A3E6F" w:rsidP="00A116F8">
            <w:pPr>
              <w:widowControl w:val="0"/>
              <w:spacing w:after="0" w:line="240" w:lineRule="auto"/>
              <w:ind w:left="57" w:right="57"/>
              <w:rPr>
                <w:rFonts w:ascii="Times New Roman" w:hAnsi="Times New Roman" w:cs="Times New Roman"/>
                <w:noProof/>
                <w:sz w:val="18"/>
                <w:szCs w:val="20"/>
              </w:rPr>
            </w:pPr>
            <w:r w:rsidRPr="008C5D88">
              <w:rPr>
                <w:rFonts w:ascii="Times New Roman" w:hAnsi="Times New Roman"/>
                <w:sz w:val="18"/>
                <w:szCs w:val="20"/>
              </w:rPr>
              <w:t xml:space="preserve">̶— stratēģiskā </w:t>
            </w:r>
            <w:r w:rsidRPr="008C5D88">
              <w:rPr>
                <w:rFonts w:ascii="Times New Roman" w:hAnsi="Times New Roman"/>
                <w:sz w:val="18"/>
                <w:szCs w:val="20"/>
              </w:rPr>
              <w:lastRenderedPageBreak/>
              <w:t>padome ir atbildīga par stratēģiju apstiprināšanu RIS3 specializācijas jomās.</w:t>
            </w:r>
          </w:p>
          <w:p w14:paraId="7DE1E93B" w14:textId="77777777" w:rsidR="001A3E6F" w:rsidRPr="008C5D88" w:rsidRDefault="001A3E6F" w:rsidP="00A116F8">
            <w:pPr>
              <w:widowControl w:val="0"/>
              <w:spacing w:after="0" w:line="240" w:lineRule="auto"/>
              <w:ind w:left="57" w:right="57"/>
              <w:rPr>
                <w:rFonts w:ascii="Times New Roman" w:hAnsi="Times New Roman" w:cs="Times New Roman"/>
                <w:noProof/>
                <w:sz w:val="18"/>
                <w:szCs w:val="20"/>
              </w:rPr>
            </w:pPr>
            <w:r w:rsidRPr="008C5D88">
              <w:rPr>
                <w:rFonts w:ascii="Times New Roman" w:hAnsi="Times New Roman"/>
                <w:sz w:val="18"/>
                <w:szCs w:val="20"/>
              </w:rPr>
              <w:t>Ekonomikas ministrija ir atbildīga par:</w:t>
            </w:r>
          </w:p>
          <w:p w14:paraId="5EBD8B18"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 analītikas un uzraudzības sistēmas izstrādi uzņēmējdarbības sektoram RIS3 specializācijas jomās, uzraudzības ziņojumu izstrādi.</w:t>
            </w:r>
          </w:p>
        </w:tc>
      </w:tr>
      <w:tr w:rsidR="001A3E6F" w:rsidRPr="008C5D88" w14:paraId="7BA3429A" w14:textId="77777777" w:rsidTr="009E7D55">
        <w:trPr>
          <w:jc w:val="center"/>
        </w:trPr>
        <w:tc>
          <w:tcPr>
            <w:tcW w:w="148" w:type="pct"/>
            <w:tcBorders>
              <w:top w:val="single" w:sz="4" w:space="0" w:color="auto"/>
              <w:left w:val="single" w:sz="4" w:space="0" w:color="auto"/>
              <w:bottom w:val="single" w:sz="4" w:space="0" w:color="auto"/>
              <w:right w:val="single" w:sz="4" w:space="0" w:color="auto"/>
            </w:tcBorders>
            <w:shd w:val="clear" w:color="auto" w:fill="C6EFCE"/>
            <w:hideMark/>
          </w:tcPr>
          <w:p w14:paraId="6D5294C0"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lastRenderedPageBreak/>
              <w:t>155</w:t>
            </w:r>
          </w:p>
        </w:tc>
        <w:tc>
          <w:tcPr>
            <w:tcW w:w="325" w:type="pct"/>
            <w:tcBorders>
              <w:top w:val="single" w:sz="4" w:space="0" w:color="auto"/>
              <w:left w:val="nil"/>
              <w:bottom w:val="single" w:sz="4" w:space="0" w:color="auto"/>
              <w:right w:val="single" w:sz="4" w:space="0" w:color="auto"/>
            </w:tcBorders>
            <w:shd w:val="clear" w:color="auto" w:fill="C6EFCE"/>
            <w:hideMark/>
          </w:tcPr>
          <w:p w14:paraId="142179EC"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b/>
                <w:bCs/>
                <w:noProof/>
                <w:sz w:val="18"/>
                <w:szCs w:val="20"/>
              </w:rPr>
            </w:pPr>
            <w:r w:rsidRPr="008C5D88">
              <w:rPr>
                <w:rFonts w:ascii="Times New Roman" w:hAnsi="Times New Roman"/>
                <w:b/>
                <w:sz w:val="18"/>
                <w:szCs w:val="20"/>
              </w:rPr>
              <w:t>5.1.1.1.i. Pilnvērtīga inovāciju sistēmas pārvaldības modeļa operacionalizācija</w:t>
            </w:r>
          </w:p>
        </w:tc>
        <w:tc>
          <w:tcPr>
            <w:tcW w:w="265" w:type="pct"/>
            <w:tcBorders>
              <w:top w:val="single" w:sz="4" w:space="0" w:color="auto"/>
              <w:left w:val="nil"/>
              <w:bottom w:val="single" w:sz="4" w:space="0" w:color="auto"/>
              <w:right w:val="single" w:sz="4" w:space="0" w:color="auto"/>
            </w:tcBorders>
            <w:shd w:val="clear" w:color="auto" w:fill="C6EFCE"/>
            <w:hideMark/>
          </w:tcPr>
          <w:p w14:paraId="634F0310"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 xml:space="preserve">Mērķis </w:t>
            </w:r>
          </w:p>
        </w:tc>
        <w:tc>
          <w:tcPr>
            <w:tcW w:w="329" w:type="pct"/>
            <w:tcBorders>
              <w:top w:val="single" w:sz="4" w:space="0" w:color="auto"/>
              <w:left w:val="nil"/>
              <w:bottom w:val="single" w:sz="4" w:space="0" w:color="auto"/>
              <w:right w:val="single" w:sz="4" w:space="0" w:color="auto"/>
            </w:tcBorders>
            <w:shd w:val="clear" w:color="auto" w:fill="C6EFCE"/>
            <w:hideMark/>
          </w:tcPr>
          <w:p w14:paraId="69355CB8"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 xml:space="preserve"> Nepieciešamo cilvēkresursu nolīgšana vai iecelšana</w:t>
            </w:r>
          </w:p>
        </w:tc>
        <w:tc>
          <w:tcPr>
            <w:tcW w:w="376" w:type="pct"/>
            <w:tcBorders>
              <w:top w:val="single" w:sz="4" w:space="0" w:color="auto"/>
              <w:left w:val="nil"/>
              <w:bottom w:val="single" w:sz="4" w:space="0" w:color="auto"/>
              <w:right w:val="single" w:sz="4" w:space="0" w:color="auto"/>
            </w:tcBorders>
            <w:shd w:val="clear" w:color="auto" w:fill="C6EFCE"/>
            <w:hideMark/>
          </w:tcPr>
          <w:p w14:paraId="3F32EBDD"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Neattiecas</w:t>
            </w:r>
          </w:p>
        </w:tc>
        <w:tc>
          <w:tcPr>
            <w:tcW w:w="236" w:type="pct"/>
            <w:tcBorders>
              <w:top w:val="nil"/>
              <w:left w:val="nil"/>
              <w:bottom w:val="single" w:sz="4" w:space="0" w:color="auto"/>
              <w:right w:val="single" w:sz="4" w:space="0" w:color="auto"/>
            </w:tcBorders>
            <w:shd w:val="clear" w:color="auto" w:fill="C6EFCE"/>
            <w:hideMark/>
          </w:tcPr>
          <w:p w14:paraId="1F8F6224"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Cilvēku skaits</w:t>
            </w:r>
          </w:p>
        </w:tc>
        <w:tc>
          <w:tcPr>
            <w:tcW w:w="247" w:type="pct"/>
            <w:tcBorders>
              <w:top w:val="nil"/>
              <w:left w:val="nil"/>
              <w:bottom w:val="single" w:sz="4" w:space="0" w:color="auto"/>
              <w:right w:val="single" w:sz="4" w:space="0" w:color="auto"/>
            </w:tcBorders>
            <w:shd w:val="clear" w:color="auto" w:fill="C6EFCE"/>
            <w:hideMark/>
          </w:tcPr>
          <w:p w14:paraId="5AB4C549"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0</w:t>
            </w:r>
          </w:p>
        </w:tc>
        <w:tc>
          <w:tcPr>
            <w:tcW w:w="265" w:type="pct"/>
            <w:tcBorders>
              <w:top w:val="nil"/>
              <w:left w:val="nil"/>
              <w:bottom w:val="single" w:sz="4" w:space="0" w:color="auto"/>
              <w:right w:val="single" w:sz="4" w:space="0" w:color="auto"/>
            </w:tcBorders>
            <w:shd w:val="clear" w:color="auto" w:fill="C6EFCE"/>
            <w:hideMark/>
          </w:tcPr>
          <w:p w14:paraId="640162ED"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19</w:t>
            </w:r>
          </w:p>
        </w:tc>
        <w:tc>
          <w:tcPr>
            <w:tcW w:w="143" w:type="pct"/>
            <w:tcBorders>
              <w:top w:val="nil"/>
              <w:left w:val="nil"/>
              <w:bottom w:val="single" w:sz="4" w:space="0" w:color="auto"/>
              <w:right w:val="single" w:sz="4" w:space="0" w:color="auto"/>
            </w:tcBorders>
            <w:shd w:val="clear" w:color="auto" w:fill="C6EFCE"/>
            <w:hideMark/>
          </w:tcPr>
          <w:p w14:paraId="243CFD09"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4. cet.</w:t>
            </w:r>
          </w:p>
        </w:tc>
        <w:tc>
          <w:tcPr>
            <w:tcW w:w="190" w:type="pct"/>
            <w:tcBorders>
              <w:top w:val="nil"/>
              <w:left w:val="nil"/>
              <w:bottom w:val="single" w:sz="4" w:space="0" w:color="auto"/>
              <w:right w:val="single" w:sz="4" w:space="0" w:color="auto"/>
            </w:tcBorders>
            <w:shd w:val="clear" w:color="auto" w:fill="C6EFCE"/>
            <w:hideMark/>
          </w:tcPr>
          <w:p w14:paraId="52C3FB10"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2023</w:t>
            </w:r>
          </w:p>
        </w:tc>
        <w:tc>
          <w:tcPr>
            <w:tcW w:w="411" w:type="pct"/>
            <w:tcBorders>
              <w:top w:val="single" w:sz="4" w:space="0" w:color="auto"/>
              <w:left w:val="single" w:sz="4" w:space="0" w:color="auto"/>
              <w:bottom w:val="single" w:sz="4" w:space="0" w:color="auto"/>
              <w:right w:val="single" w:sz="4" w:space="0" w:color="auto"/>
            </w:tcBorders>
            <w:shd w:val="clear" w:color="auto" w:fill="C6EFCE"/>
          </w:tcPr>
          <w:p w14:paraId="438388E0" w14:textId="77777777" w:rsidR="001A3E6F" w:rsidRPr="008C5D88" w:rsidRDefault="001A3E6F" w:rsidP="00A116F8">
            <w:pPr>
              <w:widowControl w:val="0"/>
              <w:spacing w:after="0" w:line="240" w:lineRule="auto"/>
              <w:ind w:left="57" w:right="57"/>
              <w:jc w:val="both"/>
              <w:rPr>
                <w:rFonts w:ascii="Times New Roman" w:hAnsi="Times New Roman" w:cs="Calibri"/>
                <w:noProof/>
                <w:sz w:val="18"/>
                <w:szCs w:val="20"/>
              </w:rPr>
            </w:pPr>
            <w:r w:rsidRPr="008C5D88">
              <w:rPr>
                <w:rFonts w:ascii="Times New Roman" w:hAnsi="Times New Roman"/>
                <w:sz w:val="18"/>
                <w:szCs w:val="20"/>
              </w:rPr>
              <w:t>Ekonomikas ministrija, Latvijas Investīciju un attīstības aģentūra</w:t>
            </w:r>
          </w:p>
        </w:tc>
        <w:tc>
          <w:tcPr>
            <w:tcW w:w="367" w:type="pct"/>
            <w:tcBorders>
              <w:top w:val="single" w:sz="4" w:space="0" w:color="auto"/>
              <w:left w:val="single" w:sz="4" w:space="0" w:color="auto"/>
              <w:bottom w:val="single" w:sz="4" w:space="0" w:color="auto"/>
              <w:right w:val="single" w:sz="4" w:space="0" w:color="auto"/>
            </w:tcBorders>
            <w:shd w:val="clear" w:color="auto" w:fill="C6EFCE"/>
          </w:tcPr>
          <w:p w14:paraId="2826E114"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lang w:eastAsia="en-GB"/>
              </w:rPr>
            </w:pPr>
          </w:p>
        </w:tc>
        <w:tc>
          <w:tcPr>
            <w:tcW w:w="815" w:type="pct"/>
            <w:tcBorders>
              <w:top w:val="single" w:sz="4" w:space="0" w:color="auto"/>
              <w:left w:val="single" w:sz="4" w:space="0" w:color="auto"/>
              <w:bottom w:val="single" w:sz="4" w:space="0" w:color="auto"/>
              <w:right w:val="single" w:sz="4" w:space="0" w:color="auto"/>
            </w:tcBorders>
            <w:shd w:val="clear" w:color="auto" w:fill="C6EFCE"/>
          </w:tcPr>
          <w:p w14:paraId="76957EB9" w14:textId="77777777" w:rsidR="001A3E6F" w:rsidRPr="008C5D88" w:rsidRDefault="001A3E6F" w:rsidP="00A116F8">
            <w:pPr>
              <w:widowControl w:val="0"/>
              <w:spacing w:after="0" w:line="240" w:lineRule="auto"/>
              <w:ind w:left="57" w:right="57"/>
              <w:rPr>
                <w:rFonts w:ascii="Times New Roman" w:hAnsi="Times New Roman" w:cs="Calibri"/>
                <w:noProof/>
                <w:sz w:val="18"/>
                <w:szCs w:val="20"/>
              </w:rPr>
            </w:pPr>
            <w:r w:rsidRPr="008C5D88">
              <w:rPr>
                <w:rFonts w:ascii="Times New Roman" w:hAnsi="Times New Roman"/>
                <w:sz w:val="18"/>
                <w:szCs w:val="20"/>
              </w:rPr>
              <w:t>Kopsavilkuma dokuments, kurā pienācīgi pamatots, kā tika apmierinoši sasniegts mērķis (tostarp visi būtiskie elementi), kopā ar atbilstošām saitēm uz pamatojošajie</w:t>
            </w:r>
            <w:r w:rsidRPr="008C5D88">
              <w:rPr>
                <w:rFonts w:ascii="Times New Roman" w:hAnsi="Times New Roman"/>
                <w:sz w:val="18"/>
                <w:szCs w:val="20"/>
              </w:rPr>
              <w:lastRenderedPageBreak/>
              <w:t>m pierādījumiem.</w:t>
            </w:r>
          </w:p>
          <w:p w14:paraId="602B83D4" w14:textId="77777777" w:rsidR="001A3E6F" w:rsidRPr="008C5D88" w:rsidRDefault="001A3E6F" w:rsidP="00A116F8">
            <w:pPr>
              <w:widowControl w:val="0"/>
              <w:spacing w:after="0" w:line="240" w:lineRule="auto"/>
              <w:ind w:left="57" w:right="57"/>
              <w:rPr>
                <w:rFonts w:ascii="Times New Roman" w:hAnsi="Times New Roman" w:cs="Calibri"/>
                <w:noProof/>
                <w:sz w:val="18"/>
                <w:szCs w:val="20"/>
              </w:rPr>
            </w:pPr>
            <w:r w:rsidRPr="008C5D88">
              <w:rPr>
                <w:rFonts w:ascii="Times New Roman" w:hAnsi="Times New Roman"/>
                <w:sz w:val="18"/>
                <w:szCs w:val="20"/>
              </w:rPr>
              <w:t>Šā dokumenta pielikumā iekļauj 19 Ekonomikas ministrijā un Latvijas Investīciju un attīstības aģentūrā nolīgto vai iecelto darbinieku pienākumu apraksta (amata apraksta) kopiju.</w:t>
            </w:r>
          </w:p>
        </w:tc>
        <w:tc>
          <w:tcPr>
            <w:tcW w:w="883" w:type="pct"/>
            <w:tcBorders>
              <w:top w:val="single" w:sz="4" w:space="0" w:color="auto"/>
              <w:left w:val="single" w:sz="4" w:space="0" w:color="auto"/>
              <w:bottom w:val="single" w:sz="4" w:space="0" w:color="auto"/>
              <w:right w:val="single" w:sz="4" w:space="0" w:color="auto"/>
            </w:tcBorders>
            <w:shd w:val="clear" w:color="auto" w:fill="C6EFCE"/>
            <w:hideMark/>
          </w:tcPr>
          <w:p w14:paraId="006D4957"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lastRenderedPageBreak/>
              <w:t xml:space="preserve">Ekonomikas ministrija un Latvijas Investīciju un attīstības aģentūra nolīgst vai ieceļ vismaz 19 cilvēkus, lai nodrošinātu šīm iestādēm uzticēto funkciju izpildi inovācijas </w:t>
            </w:r>
            <w:r w:rsidRPr="008C5D88">
              <w:rPr>
                <w:rFonts w:ascii="Times New Roman" w:hAnsi="Times New Roman"/>
                <w:sz w:val="18"/>
                <w:szCs w:val="20"/>
              </w:rPr>
              <w:lastRenderedPageBreak/>
              <w:t>pārvaldības jomā.</w:t>
            </w:r>
          </w:p>
        </w:tc>
      </w:tr>
      <w:tr w:rsidR="001A3E6F" w:rsidRPr="008C5D88" w14:paraId="0F7F8BF7" w14:textId="77777777" w:rsidTr="009E7D55">
        <w:trPr>
          <w:jc w:val="center"/>
        </w:trPr>
        <w:tc>
          <w:tcPr>
            <w:tcW w:w="148" w:type="pct"/>
            <w:tcBorders>
              <w:top w:val="single" w:sz="4" w:space="0" w:color="auto"/>
              <w:left w:val="single" w:sz="4" w:space="0" w:color="auto"/>
              <w:bottom w:val="single" w:sz="4" w:space="0" w:color="auto"/>
              <w:right w:val="single" w:sz="4" w:space="0" w:color="auto"/>
            </w:tcBorders>
            <w:shd w:val="clear" w:color="auto" w:fill="C6EFCE"/>
            <w:hideMark/>
          </w:tcPr>
          <w:p w14:paraId="413F1066"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lastRenderedPageBreak/>
              <w:t>156</w:t>
            </w:r>
          </w:p>
        </w:tc>
        <w:tc>
          <w:tcPr>
            <w:tcW w:w="325" w:type="pct"/>
            <w:tcBorders>
              <w:top w:val="single" w:sz="4" w:space="0" w:color="auto"/>
              <w:left w:val="nil"/>
              <w:bottom w:val="single" w:sz="4" w:space="0" w:color="auto"/>
              <w:right w:val="single" w:sz="4" w:space="0" w:color="auto"/>
            </w:tcBorders>
            <w:shd w:val="clear" w:color="auto" w:fill="C6EFCE"/>
            <w:hideMark/>
          </w:tcPr>
          <w:p w14:paraId="2B64E136"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b/>
                <w:bCs/>
                <w:noProof/>
                <w:sz w:val="18"/>
                <w:szCs w:val="20"/>
              </w:rPr>
            </w:pPr>
            <w:r w:rsidRPr="008C5D88">
              <w:rPr>
                <w:rFonts w:ascii="Times New Roman" w:hAnsi="Times New Roman"/>
                <w:b/>
                <w:sz w:val="18"/>
                <w:szCs w:val="20"/>
              </w:rPr>
              <w:t>5.1.1.1.i. Pilnvērtīga inovāciju sistēmas pārvaldības modeļa operacionalizācija</w:t>
            </w:r>
          </w:p>
        </w:tc>
        <w:tc>
          <w:tcPr>
            <w:tcW w:w="265" w:type="pct"/>
            <w:tcBorders>
              <w:top w:val="single" w:sz="4" w:space="0" w:color="auto"/>
              <w:left w:val="nil"/>
              <w:bottom w:val="single" w:sz="4" w:space="0" w:color="auto"/>
              <w:right w:val="single" w:sz="4" w:space="0" w:color="auto"/>
            </w:tcBorders>
            <w:shd w:val="clear" w:color="auto" w:fill="C6EFCE"/>
            <w:hideMark/>
          </w:tcPr>
          <w:p w14:paraId="5820AB62"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Atskaites punkts</w:t>
            </w:r>
          </w:p>
        </w:tc>
        <w:tc>
          <w:tcPr>
            <w:tcW w:w="329" w:type="pct"/>
            <w:tcBorders>
              <w:top w:val="single" w:sz="4" w:space="0" w:color="auto"/>
              <w:left w:val="nil"/>
              <w:bottom w:val="single" w:sz="4" w:space="0" w:color="auto"/>
              <w:right w:val="single" w:sz="4" w:space="0" w:color="auto"/>
            </w:tcBorders>
            <w:shd w:val="clear" w:color="auto" w:fill="C6EFCE"/>
            <w:hideMark/>
          </w:tcPr>
          <w:p w14:paraId="785BB57A"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 xml:space="preserve">Tāda uzraudzības ziņojuma publicēšana, kurā sniegta informācija par katru RIS3 jomu un inovācijas pārvaldības modeļa darbību. </w:t>
            </w:r>
          </w:p>
        </w:tc>
        <w:tc>
          <w:tcPr>
            <w:tcW w:w="376" w:type="pct"/>
            <w:tcBorders>
              <w:top w:val="single" w:sz="4" w:space="0" w:color="auto"/>
              <w:left w:val="nil"/>
              <w:bottom w:val="single" w:sz="4" w:space="0" w:color="auto"/>
              <w:right w:val="single" w:sz="4" w:space="0" w:color="auto"/>
            </w:tcBorders>
            <w:shd w:val="clear" w:color="auto" w:fill="C6EFCE"/>
            <w:hideMark/>
          </w:tcPr>
          <w:p w14:paraId="714DF238"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Publicēts analītisks uzraudzības ziņojums, ko apstiprinājušas RIS3 specializācijas jomu stratēģiskās padomes.</w:t>
            </w:r>
          </w:p>
        </w:tc>
        <w:tc>
          <w:tcPr>
            <w:tcW w:w="236" w:type="pct"/>
            <w:tcBorders>
              <w:top w:val="nil"/>
              <w:left w:val="nil"/>
              <w:bottom w:val="single" w:sz="4" w:space="0" w:color="auto"/>
              <w:right w:val="single" w:sz="4" w:space="0" w:color="auto"/>
            </w:tcBorders>
            <w:shd w:val="clear" w:color="auto" w:fill="C6EFCE"/>
            <w:hideMark/>
          </w:tcPr>
          <w:p w14:paraId="56523392"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Neattiecas</w:t>
            </w:r>
          </w:p>
        </w:tc>
        <w:tc>
          <w:tcPr>
            <w:tcW w:w="247" w:type="pct"/>
            <w:tcBorders>
              <w:top w:val="nil"/>
              <w:left w:val="nil"/>
              <w:bottom w:val="single" w:sz="4" w:space="0" w:color="auto"/>
              <w:right w:val="single" w:sz="4" w:space="0" w:color="auto"/>
            </w:tcBorders>
            <w:shd w:val="clear" w:color="auto" w:fill="C6EFCE"/>
            <w:hideMark/>
          </w:tcPr>
          <w:p w14:paraId="2A91512A"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Neattiecas</w:t>
            </w:r>
          </w:p>
        </w:tc>
        <w:tc>
          <w:tcPr>
            <w:tcW w:w="265" w:type="pct"/>
            <w:tcBorders>
              <w:top w:val="nil"/>
              <w:left w:val="nil"/>
              <w:bottom w:val="single" w:sz="4" w:space="0" w:color="auto"/>
              <w:right w:val="single" w:sz="4" w:space="0" w:color="auto"/>
            </w:tcBorders>
            <w:shd w:val="clear" w:color="auto" w:fill="C6EFCE"/>
            <w:hideMark/>
          </w:tcPr>
          <w:p w14:paraId="23E38C08"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Neattiecas</w:t>
            </w:r>
          </w:p>
        </w:tc>
        <w:tc>
          <w:tcPr>
            <w:tcW w:w="143" w:type="pct"/>
            <w:tcBorders>
              <w:top w:val="nil"/>
              <w:left w:val="nil"/>
              <w:bottom w:val="single" w:sz="4" w:space="0" w:color="auto"/>
              <w:right w:val="single" w:sz="4" w:space="0" w:color="auto"/>
            </w:tcBorders>
            <w:shd w:val="clear" w:color="auto" w:fill="C6EFCE"/>
            <w:hideMark/>
          </w:tcPr>
          <w:p w14:paraId="6B7FC53A"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3. cet.</w:t>
            </w:r>
          </w:p>
        </w:tc>
        <w:tc>
          <w:tcPr>
            <w:tcW w:w="190" w:type="pct"/>
            <w:tcBorders>
              <w:top w:val="nil"/>
              <w:left w:val="nil"/>
              <w:bottom w:val="single" w:sz="4" w:space="0" w:color="auto"/>
              <w:right w:val="single" w:sz="4" w:space="0" w:color="auto"/>
            </w:tcBorders>
            <w:shd w:val="clear" w:color="auto" w:fill="C6EFCE"/>
            <w:hideMark/>
          </w:tcPr>
          <w:p w14:paraId="1FBE365C"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2026</w:t>
            </w:r>
          </w:p>
        </w:tc>
        <w:tc>
          <w:tcPr>
            <w:tcW w:w="411" w:type="pct"/>
            <w:tcBorders>
              <w:top w:val="single" w:sz="4" w:space="0" w:color="auto"/>
              <w:left w:val="single" w:sz="4" w:space="0" w:color="auto"/>
              <w:bottom w:val="single" w:sz="4" w:space="0" w:color="auto"/>
              <w:right w:val="single" w:sz="4" w:space="0" w:color="auto"/>
            </w:tcBorders>
            <w:shd w:val="clear" w:color="auto" w:fill="C6EFCE"/>
          </w:tcPr>
          <w:p w14:paraId="5F383DAA" w14:textId="77777777" w:rsidR="001A3E6F" w:rsidRPr="008C5D88" w:rsidRDefault="001A3E6F" w:rsidP="00A116F8">
            <w:pPr>
              <w:widowControl w:val="0"/>
              <w:spacing w:after="0" w:line="240" w:lineRule="auto"/>
              <w:ind w:left="57" w:right="57"/>
              <w:jc w:val="both"/>
              <w:rPr>
                <w:rFonts w:ascii="Times New Roman" w:hAnsi="Times New Roman" w:cs="Calibri"/>
                <w:noProof/>
                <w:sz w:val="18"/>
                <w:szCs w:val="20"/>
              </w:rPr>
            </w:pPr>
            <w:r w:rsidRPr="008C5D88">
              <w:rPr>
                <w:rFonts w:ascii="Times New Roman" w:hAnsi="Times New Roman"/>
                <w:sz w:val="18"/>
                <w:szCs w:val="20"/>
              </w:rPr>
              <w:t>Ekonomikas ministrija sadarbībā ar citām iestādēm.</w:t>
            </w:r>
          </w:p>
        </w:tc>
        <w:tc>
          <w:tcPr>
            <w:tcW w:w="367" w:type="pct"/>
            <w:tcBorders>
              <w:top w:val="single" w:sz="4" w:space="0" w:color="auto"/>
              <w:left w:val="single" w:sz="4" w:space="0" w:color="auto"/>
              <w:bottom w:val="single" w:sz="4" w:space="0" w:color="auto"/>
              <w:right w:val="single" w:sz="4" w:space="0" w:color="auto"/>
            </w:tcBorders>
            <w:shd w:val="clear" w:color="auto" w:fill="C6EFCE"/>
          </w:tcPr>
          <w:p w14:paraId="0BA27F39"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lang w:eastAsia="en-GB"/>
              </w:rPr>
            </w:pPr>
          </w:p>
        </w:tc>
        <w:tc>
          <w:tcPr>
            <w:tcW w:w="815" w:type="pct"/>
            <w:tcBorders>
              <w:top w:val="single" w:sz="4" w:space="0" w:color="auto"/>
              <w:left w:val="single" w:sz="4" w:space="0" w:color="auto"/>
              <w:bottom w:val="single" w:sz="4" w:space="0" w:color="auto"/>
              <w:right w:val="single" w:sz="4" w:space="0" w:color="auto"/>
            </w:tcBorders>
            <w:shd w:val="clear" w:color="auto" w:fill="C6EFCE"/>
          </w:tcPr>
          <w:p w14:paraId="73F766BA" w14:textId="77777777" w:rsidR="001A3E6F" w:rsidRPr="008C5D88" w:rsidRDefault="001A3E6F" w:rsidP="00A116F8">
            <w:pPr>
              <w:widowControl w:val="0"/>
              <w:spacing w:after="0" w:line="240" w:lineRule="auto"/>
              <w:ind w:left="57" w:right="57"/>
              <w:rPr>
                <w:rFonts w:ascii="Times New Roman" w:hAnsi="Times New Roman" w:cs="Calibri"/>
                <w:noProof/>
                <w:sz w:val="18"/>
                <w:szCs w:val="20"/>
              </w:rPr>
            </w:pPr>
            <w:r w:rsidRPr="008C5D88">
              <w:rPr>
                <w:rFonts w:ascii="Times New Roman" w:hAnsi="Times New Roman"/>
                <w:sz w:val="18"/>
                <w:szCs w:val="20"/>
              </w:rPr>
              <w:t>Kopsavilkuma dokuments, kurā pienācīgi pamatots, kā tika apmierinoši sasniegts atskaites punkts (tostarp visi būtiskie elementi), kopā ar atbilstošām saitēm uz pamatojošajiem pierādījumiem</w:t>
            </w:r>
            <w:r w:rsidRPr="008C5D88">
              <w:rPr>
                <w:rFonts w:ascii="Times New Roman" w:hAnsi="Times New Roman"/>
                <w:sz w:val="18"/>
                <w:szCs w:val="20"/>
              </w:rPr>
              <w:lastRenderedPageBreak/>
              <w:t>.</w:t>
            </w:r>
          </w:p>
          <w:p w14:paraId="752CD02C" w14:textId="77777777" w:rsidR="001A3E6F" w:rsidRPr="008C5D88" w:rsidRDefault="001A3E6F" w:rsidP="00A116F8">
            <w:pPr>
              <w:widowControl w:val="0"/>
              <w:spacing w:after="0" w:line="240" w:lineRule="auto"/>
              <w:ind w:left="57" w:right="57"/>
              <w:rPr>
                <w:rFonts w:ascii="Times New Roman" w:hAnsi="Times New Roman" w:cs="Calibri"/>
                <w:noProof/>
                <w:sz w:val="18"/>
                <w:szCs w:val="20"/>
              </w:rPr>
            </w:pPr>
            <w:r w:rsidRPr="008C5D88">
              <w:rPr>
                <w:rFonts w:ascii="Times New Roman" w:hAnsi="Times New Roman"/>
                <w:sz w:val="18"/>
                <w:szCs w:val="20"/>
              </w:rPr>
              <w:t>Šajā dokumentā iekļauj saites uz publicētajiem uzraudzības ziņojumiem, un tā pielikumā iekļauj šādus dokumentārus pierādījumus:</w:t>
            </w:r>
          </w:p>
          <w:p w14:paraId="533B29AF" w14:textId="77777777" w:rsidR="001A3E6F" w:rsidRPr="008C5D88" w:rsidRDefault="001A3E6F" w:rsidP="00A116F8">
            <w:pPr>
              <w:widowControl w:val="0"/>
              <w:spacing w:after="0" w:line="240" w:lineRule="auto"/>
              <w:ind w:left="57" w:right="57"/>
              <w:rPr>
                <w:rFonts w:ascii="Times New Roman" w:hAnsi="Times New Roman"/>
                <w:noProof/>
                <w:sz w:val="18"/>
                <w:szCs w:val="20"/>
              </w:rPr>
            </w:pPr>
            <w:r w:rsidRPr="008C5D88">
              <w:rPr>
                <w:rFonts w:ascii="Times New Roman" w:hAnsi="Times New Roman"/>
                <w:sz w:val="18"/>
                <w:szCs w:val="20"/>
              </w:rPr>
              <w:t>a) divus analītiskos ziņojumus par visām RIS3 jomām ar datiem par vismaz vienu gadu, ietverot arī Inovācijas atbalsta programmas izvērtējumu un ieteikumus tās uzlabošanai, ko publicējusi Ekonomikas ministrija;</w:t>
            </w:r>
          </w:p>
          <w:p w14:paraId="1FBB089A" w14:textId="77777777" w:rsidR="001A3E6F" w:rsidRPr="008C5D88" w:rsidRDefault="001A3E6F" w:rsidP="00A116F8">
            <w:pPr>
              <w:widowControl w:val="0"/>
              <w:spacing w:after="0" w:line="240" w:lineRule="auto"/>
              <w:ind w:left="57" w:right="57"/>
              <w:rPr>
                <w:rFonts w:ascii="Times New Roman" w:hAnsi="Times New Roman"/>
                <w:noProof/>
                <w:sz w:val="18"/>
                <w:szCs w:val="20"/>
              </w:rPr>
            </w:pPr>
            <w:r w:rsidRPr="008C5D88">
              <w:rPr>
                <w:rFonts w:ascii="Times New Roman" w:hAnsi="Times New Roman"/>
                <w:sz w:val="18"/>
                <w:szCs w:val="20"/>
              </w:rPr>
              <w:t xml:space="preserve">b) vienu uzraudzības ziņojumu (par 2023.–2025. gada periodu), kurā </w:t>
            </w:r>
            <w:r w:rsidRPr="008C5D88">
              <w:rPr>
                <w:rFonts w:ascii="Times New Roman" w:hAnsi="Times New Roman"/>
                <w:sz w:val="18"/>
                <w:szCs w:val="20"/>
              </w:rPr>
              <w:lastRenderedPageBreak/>
              <w:t>ietverta jaunā inovācijas pārvaldības modeļa darbības analīze un vispārējs un individuāls novērtējums par katra starpnieka sniegumu, kas atlasīti pētniecības atbalsta programmai un sadarbības tīkla atbalsta programmai, kā arī jaunā inovācijas pārvaldības modeļa darbības analīze;</w:t>
            </w:r>
          </w:p>
          <w:p w14:paraId="6545B03E" w14:textId="77777777" w:rsidR="001A3E6F" w:rsidRPr="008C5D88" w:rsidRDefault="001A3E6F" w:rsidP="00A116F8">
            <w:pPr>
              <w:widowControl w:val="0"/>
              <w:spacing w:after="0" w:line="240" w:lineRule="auto"/>
              <w:ind w:left="57" w:right="57"/>
              <w:rPr>
                <w:rFonts w:ascii="Times New Roman" w:hAnsi="Times New Roman" w:cs="Calibri"/>
                <w:noProof/>
                <w:sz w:val="18"/>
                <w:szCs w:val="20"/>
              </w:rPr>
            </w:pPr>
            <w:r w:rsidRPr="008C5D88">
              <w:rPr>
                <w:rFonts w:ascii="Times New Roman" w:hAnsi="Times New Roman"/>
                <w:sz w:val="18"/>
                <w:szCs w:val="20"/>
              </w:rPr>
              <w:t xml:space="preserve">c) kopiju finansēšanas lēmumam, kas apliecina atbilstību Padomes Īstenošanas lēmuma pielikumā sniegtajam atskaites punkta un </w:t>
            </w:r>
            <w:r w:rsidRPr="008C5D88">
              <w:rPr>
                <w:rFonts w:ascii="Times New Roman" w:hAnsi="Times New Roman"/>
                <w:sz w:val="18"/>
                <w:szCs w:val="20"/>
              </w:rPr>
              <w:lastRenderedPageBreak/>
              <w:t>investīcijas aprakstam.</w:t>
            </w:r>
          </w:p>
        </w:tc>
        <w:tc>
          <w:tcPr>
            <w:tcW w:w="883" w:type="pct"/>
            <w:tcBorders>
              <w:top w:val="single" w:sz="4" w:space="0" w:color="auto"/>
              <w:left w:val="single" w:sz="4" w:space="0" w:color="auto"/>
              <w:bottom w:val="single" w:sz="4" w:space="0" w:color="auto"/>
              <w:right w:val="single" w:sz="4" w:space="0" w:color="auto"/>
            </w:tcBorders>
            <w:shd w:val="clear" w:color="auto" w:fill="C6EFCE"/>
            <w:hideMark/>
          </w:tcPr>
          <w:p w14:paraId="3D87327C"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lastRenderedPageBreak/>
              <w:t>Ekonomikas ministrija publicē:</w:t>
            </w:r>
          </w:p>
          <w:p w14:paraId="06A89179"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 xml:space="preserve">— divus analītiskos uzraudzības ziņojumus par visām RIS3 jomām ar datiem par vismaz vienu gadu, kuri ietver arī Inovācijas atbalsta programmas izvērtējumu un </w:t>
            </w:r>
            <w:r w:rsidRPr="008C5D88">
              <w:rPr>
                <w:rFonts w:ascii="Times New Roman" w:hAnsi="Times New Roman"/>
                <w:sz w:val="18"/>
                <w:szCs w:val="20"/>
              </w:rPr>
              <w:lastRenderedPageBreak/>
              <w:t>ieteikumus tās uzlabošanai;</w:t>
            </w:r>
          </w:p>
          <w:p w14:paraId="0BE17AF2"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 vienu uzraudzības ziņojumu (par 2023.–2025. gadu), kurā ietverts vispārējs un individuāls novērtējums par privāto starpnieku sniegumu, kas atlasīti pētniecības atbalsta programmas īstenošanai un sadarbības tīkla atbalsta programmai, kā arī jaunā inovācijas pārvaldības modeļa darbības analīze.</w:t>
            </w:r>
          </w:p>
          <w:p w14:paraId="64363AED"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lang w:eastAsia="en-GB"/>
              </w:rPr>
            </w:pPr>
          </w:p>
        </w:tc>
      </w:tr>
      <w:tr w:rsidR="001A3E6F" w:rsidRPr="008C5D88" w14:paraId="0E963E91" w14:textId="77777777" w:rsidTr="009E7D55">
        <w:trPr>
          <w:jc w:val="center"/>
        </w:trPr>
        <w:tc>
          <w:tcPr>
            <w:tcW w:w="148" w:type="pct"/>
            <w:tcBorders>
              <w:top w:val="single" w:sz="4" w:space="0" w:color="auto"/>
              <w:left w:val="single" w:sz="4" w:space="0" w:color="auto"/>
              <w:bottom w:val="single" w:sz="4" w:space="0" w:color="auto"/>
              <w:right w:val="single" w:sz="4" w:space="0" w:color="auto"/>
            </w:tcBorders>
            <w:shd w:val="clear" w:color="auto" w:fill="C6EFCE"/>
            <w:hideMark/>
          </w:tcPr>
          <w:p w14:paraId="2B292B7E"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lastRenderedPageBreak/>
              <w:t>157</w:t>
            </w:r>
          </w:p>
        </w:tc>
        <w:tc>
          <w:tcPr>
            <w:tcW w:w="325" w:type="pct"/>
            <w:tcBorders>
              <w:top w:val="single" w:sz="4" w:space="0" w:color="auto"/>
              <w:left w:val="nil"/>
              <w:bottom w:val="single" w:sz="4" w:space="0" w:color="auto"/>
              <w:right w:val="single" w:sz="4" w:space="0" w:color="auto"/>
            </w:tcBorders>
            <w:shd w:val="clear" w:color="auto" w:fill="C6EFCE"/>
            <w:hideMark/>
          </w:tcPr>
          <w:p w14:paraId="6576536B"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b/>
                <w:bCs/>
                <w:noProof/>
                <w:sz w:val="18"/>
                <w:szCs w:val="20"/>
              </w:rPr>
            </w:pPr>
            <w:r w:rsidRPr="008C5D88">
              <w:rPr>
                <w:rFonts w:ascii="Times New Roman" w:hAnsi="Times New Roman"/>
                <w:b/>
                <w:sz w:val="18"/>
                <w:szCs w:val="20"/>
              </w:rPr>
              <w:t>5.1.1.2.i. Atbalsta instruments pētniecībai un internacionalizācijai</w:t>
            </w:r>
          </w:p>
        </w:tc>
        <w:tc>
          <w:tcPr>
            <w:tcW w:w="265" w:type="pct"/>
            <w:tcBorders>
              <w:top w:val="single" w:sz="4" w:space="0" w:color="auto"/>
              <w:left w:val="nil"/>
              <w:bottom w:val="single" w:sz="4" w:space="0" w:color="auto"/>
              <w:right w:val="single" w:sz="4" w:space="0" w:color="auto"/>
            </w:tcBorders>
            <w:shd w:val="clear" w:color="auto" w:fill="C6EFCE"/>
            <w:hideMark/>
          </w:tcPr>
          <w:p w14:paraId="076B1720"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Atskaites punkts</w:t>
            </w:r>
          </w:p>
        </w:tc>
        <w:tc>
          <w:tcPr>
            <w:tcW w:w="329" w:type="pct"/>
            <w:tcBorders>
              <w:top w:val="single" w:sz="4" w:space="0" w:color="auto"/>
              <w:left w:val="nil"/>
              <w:bottom w:val="single" w:sz="4" w:space="0" w:color="auto"/>
              <w:right w:val="single" w:sz="4" w:space="0" w:color="auto"/>
            </w:tcBorders>
            <w:shd w:val="clear" w:color="auto" w:fill="C6EFCE"/>
            <w:hideMark/>
          </w:tcPr>
          <w:p w14:paraId="3262E5A4"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Pieņemti Ministru kabineta noteikumi</w:t>
            </w:r>
          </w:p>
        </w:tc>
        <w:tc>
          <w:tcPr>
            <w:tcW w:w="376" w:type="pct"/>
            <w:tcBorders>
              <w:top w:val="single" w:sz="4" w:space="0" w:color="auto"/>
              <w:left w:val="nil"/>
              <w:bottom w:val="single" w:sz="4" w:space="0" w:color="auto"/>
              <w:right w:val="single" w:sz="4" w:space="0" w:color="auto"/>
            </w:tcBorders>
            <w:shd w:val="clear" w:color="auto" w:fill="C6EFCE"/>
            <w:hideMark/>
          </w:tcPr>
          <w:p w14:paraId="17109534"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 xml:space="preserve">Stājas spēkā Ministru kabineta noteikumi, kas reglamentē visas četras atbalsta programmas </w:t>
            </w:r>
          </w:p>
        </w:tc>
        <w:tc>
          <w:tcPr>
            <w:tcW w:w="236" w:type="pct"/>
            <w:tcBorders>
              <w:top w:val="single" w:sz="4" w:space="0" w:color="auto"/>
              <w:left w:val="single" w:sz="4" w:space="0" w:color="auto"/>
              <w:bottom w:val="single" w:sz="4" w:space="0" w:color="auto"/>
              <w:right w:val="single" w:sz="4" w:space="0" w:color="auto"/>
            </w:tcBorders>
            <w:shd w:val="clear" w:color="auto" w:fill="C6EFCE"/>
            <w:hideMark/>
          </w:tcPr>
          <w:p w14:paraId="7238B073"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lang w:eastAsia="en-GB"/>
              </w:rPr>
            </w:pPr>
          </w:p>
        </w:tc>
        <w:tc>
          <w:tcPr>
            <w:tcW w:w="247" w:type="pct"/>
            <w:tcBorders>
              <w:top w:val="single" w:sz="4" w:space="0" w:color="auto"/>
              <w:left w:val="single" w:sz="4" w:space="0" w:color="auto"/>
              <w:bottom w:val="single" w:sz="4" w:space="0" w:color="auto"/>
              <w:right w:val="single" w:sz="4" w:space="0" w:color="auto"/>
            </w:tcBorders>
            <w:shd w:val="clear" w:color="auto" w:fill="C6EFCE"/>
            <w:hideMark/>
          </w:tcPr>
          <w:p w14:paraId="03D60D57"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lang w:eastAsia="en-GB"/>
              </w:rPr>
            </w:pPr>
          </w:p>
        </w:tc>
        <w:tc>
          <w:tcPr>
            <w:tcW w:w="265" w:type="pct"/>
            <w:tcBorders>
              <w:top w:val="single" w:sz="4" w:space="0" w:color="auto"/>
              <w:left w:val="single" w:sz="4" w:space="0" w:color="auto"/>
              <w:bottom w:val="single" w:sz="4" w:space="0" w:color="auto"/>
              <w:right w:val="single" w:sz="4" w:space="0" w:color="auto"/>
            </w:tcBorders>
            <w:shd w:val="clear" w:color="auto" w:fill="C6EFCE"/>
            <w:hideMark/>
          </w:tcPr>
          <w:p w14:paraId="45CA62E6"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lang w:eastAsia="en-GB"/>
              </w:rPr>
            </w:pPr>
          </w:p>
        </w:tc>
        <w:tc>
          <w:tcPr>
            <w:tcW w:w="143" w:type="pct"/>
            <w:tcBorders>
              <w:top w:val="single" w:sz="4" w:space="0" w:color="auto"/>
              <w:left w:val="single" w:sz="4" w:space="0" w:color="auto"/>
              <w:bottom w:val="single" w:sz="4" w:space="0" w:color="auto"/>
              <w:right w:val="single" w:sz="4" w:space="0" w:color="auto"/>
            </w:tcBorders>
            <w:shd w:val="clear" w:color="auto" w:fill="C6EFCE"/>
            <w:hideMark/>
          </w:tcPr>
          <w:p w14:paraId="0040F66A"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1. cet.</w:t>
            </w:r>
          </w:p>
        </w:tc>
        <w:tc>
          <w:tcPr>
            <w:tcW w:w="190" w:type="pct"/>
            <w:tcBorders>
              <w:top w:val="single" w:sz="4" w:space="0" w:color="auto"/>
              <w:left w:val="single" w:sz="4" w:space="0" w:color="auto"/>
              <w:bottom w:val="single" w:sz="4" w:space="0" w:color="auto"/>
              <w:right w:val="single" w:sz="4" w:space="0" w:color="auto"/>
            </w:tcBorders>
            <w:shd w:val="clear" w:color="auto" w:fill="C6EFCE"/>
            <w:hideMark/>
          </w:tcPr>
          <w:p w14:paraId="5739E05A"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2024</w:t>
            </w:r>
          </w:p>
        </w:tc>
        <w:tc>
          <w:tcPr>
            <w:tcW w:w="411" w:type="pct"/>
            <w:tcBorders>
              <w:top w:val="single" w:sz="4" w:space="0" w:color="auto"/>
              <w:left w:val="single" w:sz="4" w:space="0" w:color="auto"/>
              <w:bottom w:val="single" w:sz="4" w:space="0" w:color="auto"/>
              <w:right w:val="single" w:sz="4" w:space="0" w:color="auto"/>
            </w:tcBorders>
            <w:shd w:val="clear" w:color="auto" w:fill="C6EFCE"/>
          </w:tcPr>
          <w:p w14:paraId="6260BE1A" w14:textId="77777777" w:rsidR="001A3E6F" w:rsidRPr="008C5D88" w:rsidRDefault="001A3E6F" w:rsidP="00A116F8">
            <w:pPr>
              <w:widowControl w:val="0"/>
              <w:spacing w:after="0" w:line="240" w:lineRule="auto"/>
              <w:ind w:left="57" w:right="57"/>
              <w:jc w:val="both"/>
              <w:rPr>
                <w:rFonts w:ascii="Times New Roman" w:hAnsi="Times New Roman" w:cs="Calibri"/>
                <w:noProof/>
                <w:sz w:val="18"/>
                <w:szCs w:val="20"/>
              </w:rPr>
            </w:pPr>
            <w:r w:rsidRPr="008C5D88">
              <w:rPr>
                <w:rFonts w:ascii="Times New Roman" w:hAnsi="Times New Roman"/>
                <w:sz w:val="18"/>
                <w:szCs w:val="20"/>
              </w:rPr>
              <w:t>Ekonomikas ministrija</w:t>
            </w:r>
          </w:p>
        </w:tc>
        <w:tc>
          <w:tcPr>
            <w:tcW w:w="367" w:type="pct"/>
            <w:tcBorders>
              <w:top w:val="single" w:sz="4" w:space="0" w:color="auto"/>
              <w:left w:val="single" w:sz="4" w:space="0" w:color="auto"/>
              <w:bottom w:val="single" w:sz="4" w:space="0" w:color="auto"/>
              <w:right w:val="single" w:sz="4" w:space="0" w:color="auto"/>
            </w:tcBorders>
            <w:shd w:val="clear" w:color="auto" w:fill="C6EFCE"/>
          </w:tcPr>
          <w:p w14:paraId="3469D8C4"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lang w:eastAsia="en-GB"/>
              </w:rPr>
            </w:pPr>
          </w:p>
        </w:tc>
        <w:tc>
          <w:tcPr>
            <w:tcW w:w="815" w:type="pct"/>
            <w:tcBorders>
              <w:top w:val="single" w:sz="4" w:space="0" w:color="auto"/>
              <w:left w:val="single" w:sz="4" w:space="0" w:color="auto"/>
              <w:bottom w:val="single" w:sz="4" w:space="0" w:color="auto"/>
              <w:right w:val="single" w:sz="4" w:space="0" w:color="auto"/>
            </w:tcBorders>
            <w:shd w:val="clear" w:color="auto" w:fill="C6EFCE"/>
          </w:tcPr>
          <w:p w14:paraId="5BADB191" w14:textId="77777777" w:rsidR="001A3E6F" w:rsidRPr="008C5D88" w:rsidRDefault="001A3E6F" w:rsidP="00A116F8">
            <w:pPr>
              <w:widowControl w:val="0"/>
              <w:spacing w:after="0" w:line="240" w:lineRule="auto"/>
              <w:ind w:left="57" w:right="57"/>
              <w:rPr>
                <w:rFonts w:ascii="Times New Roman" w:hAnsi="Times New Roman" w:cs="Calibri"/>
                <w:noProof/>
                <w:sz w:val="18"/>
                <w:szCs w:val="20"/>
              </w:rPr>
            </w:pPr>
            <w:r w:rsidRPr="008C5D88">
              <w:rPr>
                <w:rFonts w:ascii="Times New Roman" w:hAnsi="Times New Roman"/>
                <w:sz w:val="18"/>
                <w:szCs w:val="20"/>
              </w:rPr>
              <w:t>Kopsavilkuma dokuments, kurā pienācīgi pamatots, kā tika apmierinoši sasniegts atskaites punkts (tostarp visi būtiskie elementi), kopā ar atbilstošām saitēm uz pamatojošajiem pierādījumiem.</w:t>
            </w:r>
          </w:p>
          <w:p w14:paraId="3181E3C4" w14:textId="77777777" w:rsidR="001A3E6F" w:rsidRPr="008C5D88" w:rsidRDefault="001A3E6F" w:rsidP="00A116F8">
            <w:pPr>
              <w:widowControl w:val="0"/>
              <w:spacing w:after="0" w:line="240" w:lineRule="auto"/>
              <w:ind w:left="57" w:right="57"/>
              <w:rPr>
                <w:rFonts w:ascii="Times New Roman" w:hAnsi="Times New Roman" w:cs="Calibri"/>
                <w:noProof/>
                <w:sz w:val="18"/>
                <w:szCs w:val="20"/>
              </w:rPr>
            </w:pPr>
            <w:r w:rsidRPr="008C5D88">
              <w:rPr>
                <w:rFonts w:ascii="Times New Roman" w:hAnsi="Times New Roman"/>
                <w:sz w:val="18"/>
                <w:szCs w:val="20"/>
              </w:rPr>
              <w:t>Šā dokumenta pielikumā iekļauj:</w:t>
            </w:r>
          </w:p>
          <w:p w14:paraId="5F0B92BE" w14:textId="77777777" w:rsidR="001A3E6F" w:rsidRPr="008C5D88" w:rsidRDefault="001A3E6F" w:rsidP="00A116F8">
            <w:pPr>
              <w:widowControl w:val="0"/>
              <w:spacing w:after="0" w:line="240" w:lineRule="auto"/>
              <w:ind w:left="57" w:right="57"/>
              <w:rPr>
                <w:rFonts w:ascii="Times New Roman" w:hAnsi="Times New Roman" w:cs="Calibri"/>
                <w:noProof/>
                <w:sz w:val="18"/>
                <w:szCs w:val="20"/>
              </w:rPr>
            </w:pPr>
            <w:r w:rsidRPr="008C5D88">
              <w:rPr>
                <w:rFonts w:ascii="Times New Roman" w:hAnsi="Times New Roman"/>
                <w:sz w:val="18"/>
                <w:szCs w:val="20"/>
              </w:rPr>
              <w:t xml:space="preserve">a) to Ministru kabineta noteikumu kopiju, kas reglamentē visu četru konkursu īstenošanu, tostarp atlasīto starpnieku vai galasaņēmēju darbības un pienākumus un to darbības </w:t>
            </w:r>
            <w:r w:rsidRPr="008C5D88">
              <w:rPr>
                <w:rFonts w:ascii="Times New Roman" w:hAnsi="Times New Roman"/>
                <w:sz w:val="18"/>
                <w:szCs w:val="20"/>
              </w:rPr>
              <w:lastRenderedPageBreak/>
              <w:t>rezultātu novērtēšanas rādītājus;</w:t>
            </w:r>
          </w:p>
          <w:p w14:paraId="5A097A3C" w14:textId="77777777" w:rsidR="001A3E6F" w:rsidRPr="008C5D88" w:rsidRDefault="001A3E6F" w:rsidP="00A116F8">
            <w:pPr>
              <w:widowControl w:val="0"/>
              <w:spacing w:after="0" w:line="240" w:lineRule="auto"/>
              <w:ind w:left="57" w:right="57"/>
              <w:rPr>
                <w:rFonts w:ascii="Times New Roman" w:hAnsi="Times New Roman" w:cs="Calibri"/>
                <w:noProof/>
                <w:sz w:val="18"/>
                <w:szCs w:val="20"/>
              </w:rPr>
            </w:pPr>
            <w:r w:rsidRPr="008C5D88">
              <w:rPr>
                <w:rFonts w:ascii="Times New Roman" w:hAnsi="Times New Roman"/>
                <w:sz w:val="18"/>
                <w:szCs w:val="20"/>
              </w:rPr>
              <w:t xml:space="preserve">b) pētniecības atbalsta programmas, sadarbības tīklu atbalsta programmas un </w:t>
            </w:r>
            <w:r w:rsidRPr="008C5D88">
              <w:rPr>
                <w:rFonts w:ascii="Times New Roman" w:hAnsi="Times New Roman"/>
                <w:i/>
                <w:iCs/>
                <w:sz w:val="18"/>
                <w:szCs w:val="20"/>
              </w:rPr>
              <w:t>IPCEI</w:t>
            </w:r>
            <w:r w:rsidRPr="008C5D88">
              <w:rPr>
                <w:rFonts w:ascii="Times New Roman" w:hAnsi="Times New Roman"/>
                <w:sz w:val="18"/>
                <w:szCs w:val="20"/>
              </w:rPr>
              <w:t xml:space="preserve"> dalības atbalsta programmas atklāto konkursu dokumentācijas kopiju un saiti uz to;</w:t>
            </w:r>
          </w:p>
          <w:p w14:paraId="38A32943" w14:textId="77777777" w:rsidR="001A3E6F" w:rsidRPr="008C5D88" w:rsidRDefault="001A3E6F" w:rsidP="00A116F8">
            <w:pPr>
              <w:widowControl w:val="0"/>
              <w:spacing w:after="0" w:line="240" w:lineRule="auto"/>
              <w:ind w:left="57" w:right="57"/>
              <w:rPr>
                <w:rFonts w:ascii="Times New Roman" w:hAnsi="Times New Roman"/>
                <w:noProof/>
                <w:sz w:val="18"/>
                <w:szCs w:val="20"/>
              </w:rPr>
            </w:pPr>
            <w:r w:rsidRPr="008C5D88">
              <w:rPr>
                <w:rFonts w:ascii="Times New Roman" w:hAnsi="Times New Roman"/>
                <w:sz w:val="18"/>
                <w:szCs w:val="20"/>
              </w:rPr>
              <w:t>c) to līgumu kopijas, kas noslēgti ar atlasītajām struktūrām, kuru pienākumi ir noteikti Padomes Īstenošanas lēmuma pielikumā;</w:t>
            </w:r>
          </w:p>
          <w:p w14:paraId="6672C488" w14:textId="77777777" w:rsidR="001A3E6F" w:rsidRPr="008C5D88" w:rsidRDefault="001A3E6F" w:rsidP="00A116F8">
            <w:pPr>
              <w:widowControl w:val="0"/>
              <w:autoSpaceDE w:val="0"/>
              <w:autoSpaceDN w:val="0"/>
              <w:spacing w:after="0" w:line="240" w:lineRule="auto"/>
              <w:ind w:left="57" w:right="57"/>
              <w:rPr>
                <w:rFonts w:ascii="Times New Roman" w:hAnsi="Times New Roman"/>
                <w:noProof/>
                <w:sz w:val="18"/>
                <w:szCs w:val="20"/>
              </w:rPr>
            </w:pPr>
            <w:r w:rsidRPr="008C5D88">
              <w:rPr>
                <w:rFonts w:ascii="Times New Roman" w:hAnsi="Times New Roman"/>
                <w:sz w:val="18"/>
                <w:szCs w:val="20"/>
              </w:rPr>
              <w:t xml:space="preserve">d) atlasīto </w:t>
            </w:r>
            <w:r w:rsidRPr="008C5D88">
              <w:rPr>
                <w:rFonts w:ascii="Times New Roman" w:hAnsi="Times New Roman"/>
                <w:i/>
                <w:iCs/>
                <w:sz w:val="18"/>
                <w:szCs w:val="20"/>
              </w:rPr>
              <w:t>IPCEI</w:t>
            </w:r>
            <w:r w:rsidRPr="008C5D88">
              <w:rPr>
                <w:rFonts w:ascii="Times New Roman" w:hAnsi="Times New Roman"/>
                <w:sz w:val="18"/>
                <w:szCs w:val="20"/>
              </w:rPr>
              <w:t xml:space="preserve"> dalībnieku sarakstu un īsus </w:t>
            </w:r>
            <w:r w:rsidRPr="008C5D88">
              <w:rPr>
                <w:rFonts w:ascii="Times New Roman" w:hAnsi="Times New Roman"/>
                <w:i/>
                <w:iCs/>
                <w:sz w:val="18"/>
                <w:szCs w:val="20"/>
              </w:rPr>
              <w:t>IPCEI</w:t>
            </w:r>
            <w:r w:rsidRPr="008C5D88">
              <w:rPr>
                <w:rFonts w:ascii="Times New Roman" w:hAnsi="Times New Roman"/>
                <w:sz w:val="18"/>
                <w:szCs w:val="20"/>
              </w:rPr>
              <w:t xml:space="preserve"> projektu aprakstus.</w:t>
            </w:r>
          </w:p>
        </w:tc>
        <w:tc>
          <w:tcPr>
            <w:tcW w:w="883" w:type="pct"/>
            <w:tcBorders>
              <w:top w:val="single" w:sz="4" w:space="0" w:color="auto"/>
              <w:left w:val="single" w:sz="4" w:space="0" w:color="auto"/>
              <w:bottom w:val="single" w:sz="4" w:space="0" w:color="auto"/>
              <w:right w:val="single" w:sz="4" w:space="0" w:color="auto"/>
            </w:tcBorders>
            <w:shd w:val="clear" w:color="auto" w:fill="C6EFCE"/>
            <w:hideMark/>
          </w:tcPr>
          <w:p w14:paraId="5BEA8366"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lastRenderedPageBreak/>
              <w:t xml:space="preserve">Stājas spēkā Ministru kabineta noteikumi, kas reglamentē i) kompetences centru atbalsta programmas īstenošanu, ii) pētniecības atbalsta programmas īstenošanu, iii) sadarbības tīklu atbalsta programmas īstenošanu un iv) </w:t>
            </w:r>
            <w:r w:rsidRPr="008C5D88">
              <w:rPr>
                <w:rFonts w:ascii="Times New Roman" w:hAnsi="Times New Roman"/>
                <w:i/>
                <w:iCs/>
                <w:sz w:val="18"/>
                <w:szCs w:val="20"/>
              </w:rPr>
              <w:t>IPCEI</w:t>
            </w:r>
            <w:r w:rsidRPr="008C5D88">
              <w:rPr>
                <w:rFonts w:ascii="Times New Roman" w:hAnsi="Times New Roman"/>
                <w:sz w:val="18"/>
                <w:szCs w:val="20"/>
              </w:rPr>
              <w:t xml:space="preserve"> dalības atbalsta programmas īstenošanu, un tajos ir:</w:t>
            </w:r>
          </w:p>
          <w:p w14:paraId="4EBFD2C5"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 xml:space="preserve">- ietverti rādītāji atlasīto starpnieku darbības rezultātu mērīšanai, piemēram, piesaistītās privātās pētniecības un izstrādes (P&amp;I) investīcijas, </w:t>
            </w:r>
            <w:r w:rsidRPr="008C5D88">
              <w:rPr>
                <w:rFonts w:ascii="Times New Roman" w:hAnsi="Times New Roman"/>
                <w:sz w:val="18"/>
                <w:szCs w:val="20"/>
              </w:rPr>
              <w:lastRenderedPageBreak/>
              <w:t>eksporta pieaugums starp atbalsta saņēmējiem, izstrādāto produktu skaits, un</w:t>
            </w:r>
          </w:p>
          <w:p w14:paraId="3005ACEE"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 noteikta starpnieku atbildība par datu vākšanu no programmas galasaņēmējiem.</w:t>
            </w:r>
          </w:p>
          <w:p w14:paraId="64C7E65F"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lang w:eastAsia="en-GB"/>
              </w:rPr>
            </w:pPr>
          </w:p>
          <w:p w14:paraId="63DDC864" w14:textId="77777777" w:rsidR="001A3E6F" w:rsidRPr="008C5D88" w:rsidRDefault="001A3E6F" w:rsidP="00A116F8">
            <w:pPr>
              <w:widowControl w:val="0"/>
              <w:spacing w:after="0" w:line="240" w:lineRule="auto"/>
              <w:ind w:left="57" w:right="57"/>
              <w:rPr>
                <w:rFonts w:ascii="Times New Roman" w:hAnsi="Times New Roman" w:cs="Times New Roman"/>
                <w:noProof/>
                <w:sz w:val="18"/>
                <w:szCs w:val="20"/>
              </w:rPr>
            </w:pPr>
            <w:r w:rsidRPr="008C5D88">
              <w:rPr>
                <w:rFonts w:ascii="Times New Roman" w:hAnsi="Times New Roman"/>
                <w:sz w:val="18"/>
                <w:szCs w:val="20"/>
              </w:rPr>
              <w:t xml:space="preserve">Ministru kabineta noteikumi nosaka, ka pētniecības atbalsta programmas un sadarbības tīklu atbalsta programmas īstenošanai nepieciešamo starpnieku atlasē ņem vērā to atbilstību RIS3 specializācijas stratēģijai, kā arī to spēju rīkot konkursus un </w:t>
            </w:r>
            <w:r w:rsidRPr="008C5D88">
              <w:rPr>
                <w:rFonts w:ascii="Times New Roman" w:hAnsi="Times New Roman"/>
                <w:sz w:val="18"/>
                <w:szCs w:val="20"/>
              </w:rPr>
              <w:lastRenderedPageBreak/>
              <w:t>to kompetenci novērtēt projektus attiecīgajā tematiskajā jomā.</w:t>
            </w:r>
          </w:p>
          <w:p w14:paraId="4E5D8429" w14:textId="77777777" w:rsidR="001A3E6F" w:rsidRPr="008C5D88" w:rsidRDefault="001A3E6F" w:rsidP="00A116F8">
            <w:pPr>
              <w:widowControl w:val="0"/>
              <w:spacing w:after="0" w:line="240" w:lineRule="auto"/>
              <w:ind w:left="57" w:right="57"/>
              <w:rPr>
                <w:rFonts w:ascii="Times New Roman" w:hAnsi="Times New Roman" w:cs="Times New Roman"/>
                <w:noProof/>
                <w:sz w:val="18"/>
                <w:szCs w:val="20"/>
              </w:rPr>
            </w:pPr>
            <w:r w:rsidRPr="008C5D88">
              <w:rPr>
                <w:rFonts w:ascii="Times New Roman" w:hAnsi="Times New Roman"/>
                <w:sz w:val="18"/>
                <w:szCs w:val="20"/>
              </w:rPr>
              <w:t>Turklāt tie nosaka, ka kompetences centru atbalsta programmas un pētniecības atbalsta programmas īstenošanai atlasītie starpnieki ir atbildīgi par šādu darbību veikšanu:</w:t>
            </w:r>
          </w:p>
          <w:p w14:paraId="74A3FEF2"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i) privātā sektora pētniecības un izstrādes atbalsta programmas īstenošana un</w:t>
            </w:r>
          </w:p>
          <w:p w14:paraId="527872E3" w14:textId="77777777" w:rsidR="001A3E6F" w:rsidRPr="008C5D88" w:rsidRDefault="001A3E6F" w:rsidP="00A116F8">
            <w:pPr>
              <w:widowControl w:val="0"/>
              <w:spacing w:after="0" w:line="240" w:lineRule="auto"/>
              <w:ind w:left="57" w:right="57"/>
              <w:rPr>
                <w:rFonts w:ascii="Times New Roman" w:hAnsi="Times New Roman" w:cs="Times New Roman"/>
                <w:noProof/>
                <w:sz w:val="18"/>
                <w:szCs w:val="20"/>
              </w:rPr>
            </w:pPr>
            <w:r w:rsidRPr="008C5D88">
              <w:rPr>
                <w:rFonts w:ascii="Times New Roman" w:hAnsi="Times New Roman"/>
                <w:sz w:val="18"/>
                <w:szCs w:val="20"/>
              </w:rPr>
              <w:t>ii) tādu datu vākšana no galasaņēmējiem, ko izmanto Ekonomikas ministrijas veiktajās pārraudzības darbībās.</w:t>
            </w:r>
          </w:p>
          <w:p w14:paraId="71DC5ABC"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lang w:eastAsia="en-GB"/>
              </w:rPr>
            </w:pPr>
          </w:p>
          <w:p w14:paraId="2D91CA32" w14:textId="77777777" w:rsidR="001A3E6F" w:rsidRPr="008C5D88" w:rsidRDefault="001A3E6F" w:rsidP="00A116F8">
            <w:pPr>
              <w:widowControl w:val="0"/>
              <w:spacing w:after="0" w:line="240" w:lineRule="auto"/>
              <w:ind w:left="57" w:right="57"/>
              <w:rPr>
                <w:rFonts w:ascii="Times New Roman" w:hAnsi="Times New Roman" w:cs="Times New Roman"/>
                <w:noProof/>
                <w:sz w:val="18"/>
                <w:szCs w:val="20"/>
              </w:rPr>
            </w:pPr>
            <w:r w:rsidRPr="008C5D88">
              <w:rPr>
                <w:rFonts w:ascii="Times New Roman" w:hAnsi="Times New Roman"/>
                <w:sz w:val="18"/>
                <w:szCs w:val="20"/>
              </w:rPr>
              <w:lastRenderedPageBreak/>
              <w:t>Turklāt tie nosaka, ka sadarbības tīklu atbalsta programmas īstenošanai atlasītie starpnieki ir atbildīgi par vienas vai vairāku šādu darbību veikšanu:</w:t>
            </w:r>
          </w:p>
          <w:p w14:paraId="4D06A938"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i) eksporta veicināšanas pasākumi;</w:t>
            </w:r>
          </w:p>
          <w:p w14:paraId="1396A702"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ii) tīklošanās un pieredzes apmaiņas darbības;</w:t>
            </w:r>
          </w:p>
          <w:p w14:paraId="1591AD27"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iii) atbalsta programmas īstenošana komersantu dalībai ES līmeņa pētniecības un izstrādes programmās un starptautiskajos sadarbības tīklos un</w:t>
            </w:r>
          </w:p>
          <w:p w14:paraId="10AC7834"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 xml:space="preserve">iv) tādu datu vākšana no galasaņēmējiem, ko izmanto </w:t>
            </w:r>
            <w:r w:rsidRPr="008C5D88">
              <w:rPr>
                <w:rFonts w:ascii="Times New Roman" w:hAnsi="Times New Roman"/>
                <w:sz w:val="18"/>
                <w:szCs w:val="20"/>
              </w:rPr>
              <w:lastRenderedPageBreak/>
              <w:t>Ekonomikas ministrijas veiktajās pārraudzības darbībās.</w:t>
            </w:r>
          </w:p>
          <w:p w14:paraId="438C1DDC"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lang w:eastAsia="en-GB"/>
              </w:rPr>
            </w:pPr>
          </w:p>
          <w:p w14:paraId="716258E3" w14:textId="77777777" w:rsidR="001A3E6F" w:rsidRPr="008C5D88" w:rsidRDefault="001A3E6F" w:rsidP="00A116F8">
            <w:pPr>
              <w:widowControl w:val="0"/>
              <w:spacing w:after="0" w:line="240" w:lineRule="auto"/>
              <w:ind w:left="57" w:right="57"/>
              <w:rPr>
                <w:rFonts w:ascii="Times New Roman" w:hAnsi="Times New Roman" w:cs="Times New Roman"/>
                <w:noProof/>
                <w:sz w:val="18"/>
                <w:szCs w:val="20"/>
              </w:rPr>
            </w:pPr>
            <w:r w:rsidRPr="008C5D88">
              <w:rPr>
                <w:rFonts w:ascii="Times New Roman" w:hAnsi="Times New Roman"/>
                <w:sz w:val="18"/>
                <w:szCs w:val="20"/>
              </w:rPr>
              <w:t xml:space="preserve">Turklāt tie nosaka, ka </w:t>
            </w:r>
            <w:r w:rsidRPr="008C5D88">
              <w:rPr>
                <w:rFonts w:ascii="Times New Roman" w:hAnsi="Times New Roman"/>
                <w:i/>
                <w:iCs/>
                <w:sz w:val="18"/>
                <w:szCs w:val="20"/>
              </w:rPr>
              <w:t>IPCEI</w:t>
            </w:r>
            <w:r w:rsidRPr="008C5D88">
              <w:rPr>
                <w:rFonts w:ascii="Times New Roman" w:hAnsi="Times New Roman"/>
                <w:sz w:val="18"/>
                <w:szCs w:val="20"/>
              </w:rPr>
              <w:t xml:space="preserve"> dalības atbalsta programmas atbalsta galasaņēmējs ir atbildīgs par vienas vai vairāku šādu darbību veikšanu:</w:t>
            </w:r>
          </w:p>
          <w:p w14:paraId="64F8DFBE" w14:textId="77777777" w:rsidR="001A3E6F" w:rsidRPr="008C5D88" w:rsidRDefault="001A3E6F" w:rsidP="00A116F8">
            <w:pPr>
              <w:widowControl w:val="0"/>
              <w:spacing w:after="0" w:line="240" w:lineRule="auto"/>
              <w:ind w:left="57" w:right="57"/>
              <w:rPr>
                <w:rFonts w:ascii="Times New Roman" w:eastAsia="Times New Roman" w:hAnsi="Times New Roman"/>
                <w:noProof/>
                <w:sz w:val="18"/>
                <w:szCs w:val="20"/>
              </w:rPr>
            </w:pPr>
            <w:r w:rsidRPr="008C5D88">
              <w:rPr>
                <w:rFonts w:ascii="Times New Roman" w:hAnsi="Times New Roman"/>
                <w:sz w:val="18"/>
                <w:szCs w:val="20"/>
              </w:rPr>
              <w:t>i) pētniecības un izstrādes atbalsta programmas īstenošana;</w:t>
            </w:r>
          </w:p>
          <w:p w14:paraId="3AAC6FCA"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 xml:space="preserve">ii) plānoto </w:t>
            </w:r>
            <w:r w:rsidRPr="008C5D88">
              <w:rPr>
                <w:rFonts w:ascii="Times New Roman" w:hAnsi="Times New Roman"/>
                <w:i/>
                <w:iCs/>
                <w:sz w:val="18"/>
                <w:szCs w:val="20"/>
              </w:rPr>
              <w:t>IPCEI</w:t>
            </w:r>
            <w:r w:rsidRPr="008C5D88">
              <w:rPr>
                <w:rFonts w:ascii="Times New Roman" w:hAnsi="Times New Roman"/>
                <w:sz w:val="18"/>
                <w:szCs w:val="20"/>
              </w:rPr>
              <w:t xml:space="preserve"> dalībnieku apzināšana un motivēšana iesniegt projektu idejas un</w:t>
            </w:r>
          </w:p>
          <w:p w14:paraId="04496437" w14:textId="77777777" w:rsidR="001A3E6F" w:rsidRPr="008C5D88" w:rsidRDefault="001A3E6F" w:rsidP="00A116F8">
            <w:pPr>
              <w:widowControl w:val="0"/>
              <w:spacing w:after="0" w:line="240" w:lineRule="auto"/>
              <w:ind w:left="57" w:right="57"/>
              <w:rPr>
                <w:rFonts w:ascii="Times New Roman" w:hAnsi="Times New Roman" w:cs="Times New Roman"/>
                <w:noProof/>
                <w:sz w:val="18"/>
                <w:szCs w:val="20"/>
              </w:rPr>
            </w:pPr>
            <w:r w:rsidRPr="008C5D88">
              <w:rPr>
                <w:rFonts w:ascii="Times New Roman" w:hAnsi="Times New Roman"/>
                <w:sz w:val="18"/>
                <w:szCs w:val="20"/>
              </w:rPr>
              <w:t xml:space="preserve">iii) tādu datu vākšana no galasaņēmējiem, ko izmanto Ekonomikas ministrijas </w:t>
            </w:r>
            <w:r w:rsidRPr="008C5D88">
              <w:rPr>
                <w:rFonts w:ascii="Times New Roman" w:hAnsi="Times New Roman"/>
                <w:sz w:val="18"/>
                <w:szCs w:val="20"/>
              </w:rPr>
              <w:lastRenderedPageBreak/>
              <w:t>veiktajās pārraudzības darbībās.</w:t>
            </w:r>
          </w:p>
        </w:tc>
      </w:tr>
      <w:tr w:rsidR="001A3E6F" w:rsidRPr="008C5D88" w14:paraId="386A1F3C" w14:textId="77777777" w:rsidTr="009E7D55">
        <w:trPr>
          <w:jc w:val="center"/>
        </w:trPr>
        <w:tc>
          <w:tcPr>
            <w:tcW w:w="148" w:type="pct"/>
            <w:tcBorders>
              <w:top w:val="single" w:sz="4" w:space="0" w:color="auto"/>
              <w:left w:val="single" w:sz="4" w:space="0" w:color="auto"/>
              <w:bottom w:val="single" w:sz="4" w:space="0" w:color="auto"/>
              <w:right w:val="single" w:sz="4" w:space="0" w:color="auto"/>
            </w:tcBorders>
            <w:shd w:val="clear" w:color="auto" w:fill="C6EFCE"/>
            <w:hideMark/>
          </w:tcPr>
          <w:p w14:paraId="34EAF713"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lastRenderedPageBreak/>
              <w:t>158</w:t>
            </w:r>
          </w:p>
        </w:tc>
        <w:tc>
          <w:tcPr>
            <w:tcW w:w="325" w:type="pct"/>
            <w:tcBorders>
              <w:top w:val="single" w:sz="4" w:space="0" w:color="auto"/>
              <w:left w:val="nil"/>
              <w:bottom w:val="single" w:sz="4" w:space="0" w:color="auto"/>
              <w:right w:val="single" w:sz="4" w:space="0" w:color="auto"/>
            </w:tcBorders>
            <w:shd w:val="clear" w:color="auto" w:fill="C6EFCE"/>
            <w:hideMark/>
          </w:tcPr>
          <w:p w14:paraId="351568CC"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b/>
                <w:bCs/>
                <w:noProof/>
                <w:sz w:val="18"/>
                <w:szCs w:val="20"/>
              </w:rPr>
            </w:pPr>
            <w:r w:rsidRPr="008C5D88">
              <w:rPr>
                <w:rFonts w:ascii="Times New Roman" w:hAnsi="Times New Roman"/>
                <w:b/>
                <w:sz w:val="18"/>
                <w:szCs w:val="20"/>
              </w:rPr>
              <w:t>5.1.1.2.i. Atbalsta instruments pētniecībai un internacionalizācijai</w:t>
            </w:r>
          </w:p>
        </w:tc>
        <w:tc>
          <w:tcPr>
            <w:tcW w:w="265" w:type="pct"/>
            <w:tcBorders>
              <w:top w:val="single" w:sz="4" w:space="0" w:color="auto"/>
              <w:left w:val="nil"/>
              <w:bottom w:val="single" w:sz="4" w:space="0" w:color="auto"/>
              <w:right w:val="single" w:sz="4" w:space="0" w:color="auto"/>
            </w:tcBorders>
            <w:shd w:val="clear" w:color="auto" w:fill="C6EFCE"/>
            <w:hideMark/>
          </w:tcPr>
          <w:p w14:paraId="11622C3C"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Mērķis</w:t>
            </w:r>
          </w:p>
        </w:tc>
        <w:tc>
          <w:tcPr>
            <w:tcW w:w="329" w:type="pct"/>
            <w:tcBorders>
              <w:top w:val="single" w:sz="4" w:space="0" w:color="auto"/>
              <w:left w:val="nil"/>
              <w:bottom w:val="single" w:sz="4" w:space="0" w:color="auto"/>
              <w:right w:val="single" w:sz="4" w:space="0" w:color="auto"/>
            </w:tcBorders>
            <w:shd w:val="clear" w:color="auto" w:fill="C6EFCE"/>
            <w:hideMark/>
          </w:tcPr>
          <w:p w14:paraId="7E47B044"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Līdzekļu piešķiršana</w:t>
            </w:r>
          </w:p>
        </w:tc>
        <w:tc>
          <w:tcPr>
            <w:tcW w:w="376" w:type="pct"/>
            <w:tcBorders>
              <w:top w:val="single" w:sz="4" w:space="0" w:color="auto"/>
              <w:left w:val="nil"/>
              <w:bottom w:val="single" w:sz="4" w:space="0" w:color="auto"/>
              <w:right w:val="single" w:sz="4" w:space="0" w:color="auto"/>
            </w:tcBorders>
            <w:shd w:val="clear" w:color="auto" w:fill="C6EFCE"/>
            <w:hideMark/>
          </w:tcPr>
          <w:p w14:paraId="1F4222EE"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Neattiecas</w:t>
            </w:r>
          </w:p>
        </w:tc>
        <w:tc>
          <w:tcPr>
            <w:tcW w:w="236" w:type="pct"/>
            <w:tcBorders>
              <w:top w:val="single" w:sz="4" w:space="0" w:color="auto"/>
              <w:left w:val="nil"/>
              <w:bottom w:val="single" w:sz="4" w:space="0" w:color="auto"/>
              <w:right w:val="single" w:sz="4" w:space="0" w:color="auto"/>
            </w:tcBorders>
            <w:shd w:val="clear" w:color="auto" w:fill="C6EFCE"/>
            <w:hideMark/>
          </w:tcPr>
          <w:p w14:paraId="4742D29C"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miljoni EUR</w:t>
            </w:r>
          </w:p>
        </w:tc>
        <w:tc>
          <w:tcPr>
            <w:tcW w:w="247" w:type="pct"/>
            <w:tcBorders>
              <w:top w:val="single" w:sz="4" w:space="0" w:color="auto"/>
              <w:left w:val="nil"/>
              <w:bottom w:val="single" w:sz="4" w:space="0" w:color="auto"/>
              <w:right w:val="single" w:sz="4" w:space="0" w:color="auto"/>
            </w:tcBorders>
            <w:shd w:val="clear" w:color="auto" w:fill="C6EFCE"/>
            <w:hideMark/>
          </w:tcPr>
          <w:p w14:paraId="699695D1"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0</w:t>
            </w:r>
          </w:p>
        </w:tc>
        <w:tc>
          <w:tcPr>
            <w:tcW w:w="265" w:type="pct"/>
            <w:tcBorders>
              <w:top w:val="single" w:sz="4" w:space="0" w:color="auto"/>
              <w:left w:val="nil"/>
              <w:bottom w:val="single" w:sz="4" w:space="0" w:color="auto"/>
              <w:right w:val="single" w:sz="4" w:space="0" w:color="auto"/>
            </w:tcBorders>
            <w:shd w:val="clear" w:color="auto" w:fill="C6EFCE"/>
            <w:hideMark/>
          </w:tcPr>
          <w:p w14:paraId="50FE6963"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98</w:t>
            </w:r>
          </w:p>
        </w:tc>
        <w:tc>
          <w:tcPr>
            <w:tcW w:w="143" w:type="pct"/>
            <w:tcBorders>
              <w:top w:val="single" w:sz="4" w:space="0" w:color="auto"/>
              <w:left w:val="nil"/>
              <w:bottom w:val="single" w:sz="4" w:space="0" w:color="auto"/>
              <w:right w:val="single" w:sz="4" w:space="0" w:color="auto"/>
            </w:tcBorders>
            <w:shd w:val="clear" w:color="auto" w:fill="C6EFCE"/>
            <w:hideMark/>
          </w:tcPr>
          <w:p w14:paraId="4B1DDB79"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2. cet.</w:t>
            </w:r>
          </w:p>
        </w:tc>
        <w:tc>
          <w:tcPr>
            <w:tcW w:w="190" w:type="pct"/>
            <w:tcBorders>
              <w:top w:val="single" w:sz="4" w:space="0" w:color="auto"/>
              <w:left w:val="nil"/>
              <w:bottom w:val="single" w:sz="4" w:space="0" w:color="auto"/>
              <w:right w:val="single" w:sz="4" w:space="0" w:color="auto"/>
            </w:tcBorders>
            <w:shd w:val="clear" w:color="auto" w:fill="C6EFCE"/>
            <w:hideMark/>
          </w:tcPr>
          <w:p w14:paraId="537988FF"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2025</w:t>
            </w:r>
          </w:p>
        </w:tc>
        <w:tc>
          <w:tcPr>
            <w:tcW w:w="411" w:type="pct"/>
            <w:tcBorders>
              <w:top w:val="single" w:sz="4" w:space="0" w:color="auto"/>
              <w:left w:val="single" w:sz="4" w:space="0" w:color="auto"/>
              <w:bottom w:val="single" w:sz="4" w:space="0" w:color="auto"/>
              <w:right w:val="single" w:sz="4" w:space="0" w:color="auto"/>
            </w:tcBorders>
            <w:shd w:val="clear" w:color="auto" w:fill="C6EFCE"/>
          </w:tcPr>
          <w:p w14:paraId="788988E2" w14:textId="77777777" w:rsidR="001A3E6F" w:rsidRPr="008C5D88" w:rsidRDefault="001A3E6F" w:rsidP="00A116F8">
            <w:pPr>
              <w:widowControl w:val="0"/>
              <w:spacing w:after="0" w:line="240" w:lineRule="auto"/>
              <w:ind w:left="57" w:right="57"/>
              <w:jc w:val="both"/>
              <w:rPr>
                <w:rFonts w:ascii="Times New Roman" w:hAnsi="Times New Roman" w:cs="Calibri"/>
                <w:noProof/>
                <w:sz w:val="18"/>
                <w:szCs w:val="20"/>
              </w:rPr>
            </w:pPr>
            <w:r w:rsidRPr="008C5D88">
              <w:rPr>
                <w:rFonts w:ascii="Times New Roman" w:hAnsi="Times New Roman"/>
                <w:sz w:val="18"/>
                <w:szCs w:val="20"/>
              </w:rPr>
              <w:t>Ekonomikas ministrija sadarbībā ar citām iestādēm</w:t>
            </w:r>
          </w:p>
        </w:tc>
        <w:tc>
          <w:tcPr>
            <w:tcW w:w="367" w:type="pct"/>
            <w:tcBorders>
              <w:top w:val="single" w:sz="4" w:space="0" w:color="auto"/>
              <w:left w:val="single" w:sz="4" w:space="0" w:color="auto"/>
              <w:bottom w:val="single" w:sz="4" w:space="0" w:color="auto"/>
              <w:right w:val="single" w:sz="4" w:space="0" w:color="auto"/>
            </w:tcBorders>
            <w:shd w:val="clear" w:color="auto" w:fill="C6EFCE"/>
          </w:tcPr>
          <w:p w14:paraId="4F5535AB" w14:textId="77777777" w:rsidR="001A3E6F" w:rsidRPr="008C5D88" w:rsidRDefault="001A3E6F" w:rsidP="00A116F8">
            <w:pPr>
              <w:widowControl w:val="0"/>
              <w:spacing w:after="0" w:line="240" w:lineRule="auto"/>
              <w:ind w:left="57" w:right="57"/>
              <w:jc w:val="both"/>
              <w:rPr>
                <w:rFonts w:ascii="Times New Roman" w:eastAsia="Arial Narrow" w:hAnsi="Times New Roman" w:cs="Arial Narrow"/>
                <w:noProof/>
                <w:sz w:val="18"/>
                <w:szCs w:val="20"/>
              </w:rPr>
            </w:pPr>
          </w:p>
        </w:tc>
        <w:tc>
          <w:tcPr>
            <w:tcW w:w="815" w:type="pct"/>
            <w:tcBorders>
              <w:top w:val="single" w:sz="4" w:space="0" w:color="auto"/>
              <w:left w:val="single" w:sz="4" w:space="0" w:color="auto"/>
              <w:bottom w:val="single" w:sz="4" w:space="0" w:color="auto"/>
              <w:right w:val="single" w:sz="4" w:space="0" w:color="auto"/>
            </w:tcBorders>
            <w:shd w:val="clear" w:color="auto" w:fill="C6EFCE"/>
          </w:tcPr>
          <w:p w14:paraId="12F8CCCC" w14:textId="77777777" w:rsidR="001A3E6F" w:rsidRPr="008C5D88" w:rsidRDefault="001A3E6F" w:rsidP="00A116F8">
            <w:pPr>
              <w:widowControl w:val="0"/>
              <w:spacing w:after="0" w:line="240" w:lineRule="auto"/>
              <w:ind w:left="57" w:right="57"/>
              <w:rPr>
                <w:rFonts w:ascii="Times New Roman" w:hAnsi="Times New Roman" w:cs="Calibri"/>
                <w:noProof/>
                <w:sz w:val="18"/>
                <w:szCs w:val="20"/>
              </w:rPr>
            </w:pPr>
            <w:r w:rsidRPr="008C5D88">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6DD56242" w14:textId="77777777" w:rsidR="001A3E6F" w:rsidRPr="008C5D88" w:rsidRDefault="001A3E6F" w:rsidP="00A116F8">
            <w:pPr>
              <w:widowControl w:val="0"/>
              <w:spacing w:after="0" w:line="240" w:lineRule="auto"/>
              <w:ind w:left="57" w:right="57"/>
              <w:rPr>
                <w:rFonts w:ascii="Times New Roman" w:hAnsi="Times New Roman" w:cs="Calibri"/>
                <w:noProof/>
                <w:sz w:val="18"/>
                <w:szCs w:val="20"/>
              </w:rPr>
            </w:pPr>
            <w:r w:rsidRPr="008C5D88">
              <w:rPr>
                <w:rFonts w:ascii="Times New Roman" w:hAnsi="Times New Roman"/>
                <w:sz w:val="18"/>
                <w:szCs w:val="20"/>
              </w:rPr>
              <w:t>Šā dokumenta pielikumā iekļauj:</w:t>
            </w:r>
          </w:p>
          <w:p w14:paraId="2E276800" w14:textId="77777777" w:rsidR="001A3E6F" w:rsidRPr="008C5D88" w:rsidRDefault="001A3E6F" w:rsidP="00A116F8">
            <w:pPr>
              <w:widowControl w:val="0"/>
              <w:spacing w:after="0" w:line="240" w:lineRule="auto"/>
              <w:ind w:left="57" w:right="57"/>
              <w:rPr>
                <w:rFonts w:ascii="Times New Roman" w:hAnsi="Times New Roman" w:cs="Calibri"/>
                <w:noProof/>
                <w:sz w:val="18"/>
                <w:szCs w:val="20"/>
              </w:rPr>
            </w:pPr>
            <w:r w:rsidRPr="008C5D88">
              <w:rPr>
                <w:rFonts w:ascii="Times New Roman" w:hAnsi="Times New Roman"/>
                <w:sz w:val="18"/>
                <w:szCs w:val="20"/>
              </w:rPr>
              <w:t xml:space="preserve">a) visu četru inovācijas atbalsta programmu saņēmēju sarakstu, tostarp galasaņēmēja nosaukumu un reģistrācijas numuru, projekta nosaukumu un </w:t>
            </w:r>
            <w:r w:rsidRPr="008C5D88">
              <w:rPr>
                <w:rFonts w:ascii="Times New Roman" w:hAnsi="Times New Roman"/>
                <w:sz w:val="18"/>
                <w:szCs w:val="20"/>
              </w:rPr>
              <w:lastRenderedPageBreak/>
              <w:t>īsu aprakstu;</w:t>
            </w:r>
          </w:p>
          <w:p w14:paraId="38CDA2BD" w14:textId="77777777" w:rsidR="001A3E6F" w:rsidRPr="008C5D88" w:rsidRDefault="001A3E6F" w:rsidP="00A116F8">
            <w:pPr>
              <w:widowControl w:val="0"/>
              <w:spacing w:after="0" w:line="240" w:lineRule="auto"/>
              <w:ind w:left="57" w:right="57"/>
              <w:rPr>
                <w:rFonts w:ascii="Times New Roman" w:hAnsi="Times New Roman"/>
                <w:noProof/>
                <w:sz w:val="18"/>
                <w:szCs w:val="20"/>
              </w:rPr>
            </w:pPr>
            <w:r w:rsidRPr="008C5D88">
              <w:rPr>
                <w:rFonts w:ascii="Times New Roman" w:hAnsi="Times New Roman"/>
                <w:sz w:val="18"/>
                <w:szCs w:val="20"/>
              </w:rPr>
              <w:t>b) tā lēmuma kopiju, ar kuru atļauta finansējuma piešķiršana vismaz 98 miljonu EUR apmērā.</w:t>
            </w:r>
          </w:p>
        </w:tc>
        <w:tc>
          <w:tcPr>
            <w:tcW w:w="883" w:type="pct"/>
            <w:tcBorders>
              <w:top w:val="single" w:sz="4" w:space="0" w:color="auto"/>
              <w:left w:val="single" w:sz="4" w:space="0" w:color="auto"/>
              <w:bottom w:val="single" w:sz="4" w:space="0" w:color="auto"/>
              <w:right w:val="single" w:sz="4" w:space="0" w:color="auto"/>
            </w:tcBorders>
            <w:shd w:val="clear" w:color="auto" w:fill="C6EFCE"/>
          </w:tcPr>
          <w:p w14:paraId="43E9053A"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lastRenderedPageBreak/>
              <w:t>Programmas beigās tiek:</w:t>
            </w:r>
          </w:p>
          <w:p w14:paraId="5D7A505E"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 apstiprināta vismaz 98 miljonu EUR piešķiršana pētniecības un izstrādes projektu finansēšanai.</w:t>
            </w:r>
          </w:p>
        </w:tc>
      </w:tr>
      <w:tr w:rsidR="001A3E6F" w:rsidRPr="008C5D88" w14:paraId="42C44525" w14:textId="77777777" w:rsidTr="009E7D55">
        <w:trPr>
          <w:jc w:val="center"/>
        </w:trPr>
        <w:tc>
          <w:tcPr>
            <w:tcW w:w="148" w:type="pct"/>
            <w:tcBorders>
              <w:top w:val="single" w:sz="4" w:space="0" w:color="auto"/>
              <w:left w:val="single" w:sz="4" w:space="0" w:color="auto"/>
              <w:bottom w:val="single" w:sz="4" w:space="0" w:color="auto"/>
              <w:right w:val="single" w:sz="4" w:space="0" w:color="auto"/>
            </w:tcBorders>
            <w:shd w:val="clear" w:color="auto" w:fill="C6EFCE"/>
            <w:hideMark/>
          </w:tcPr>
          <w:p w14:paraId="5A3D08A7"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159</w:t>
            </w:r>
          </w:p>
        </w:tc>
        <w:tc>
          <w:tcPr>
            <w:tcW w:w="325" w:type="pct"/>
            <w:tcBorders>
              <w:top w:val="single" w:sz="4" w:space="0" w:color="auto"/>
              <w:left w:val="nil"/>
              <w:bottom w:val="single" w:sz="4" w:space="0" w:color="auto"/>
              <w:right w:val="single" w:sz="4" w:space="0" w:color="auto"/>
            </w:tcBorders>
            <w:shd w:val="clear" w:color="auto" w:fill="C6EFCE"/>
            <w:hideMark/>
          </w:tcPr>
          <w:p w14:paraId="7281CFEC"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b/>
                <w:bCs/>
                <w:noProof/>
                <w:sz w:val="18"/>
                <w:szCs w:val="20"/>
              </w:rPr>
            </w:pPr>
            <w:r w:rsidRPr="008C5D88">
              <w:rPr>
                <w:rFonts w:ascii="Times New Roman" w:hAnsi="Times New Roman"/>
                <w:b/>
                <w:sz w:val="18"/>
                <w:szCs w:val="20"/>
              </w:rPr>
              <w:t>5.2.1.r. Augstākās izglītības un zinātnes izcilības un pārvaldības reforma</w:t>
            </w:r>
          </w:p>
        </w:tc>
        <w:tc>
          <w:tcPr>
            <w:tcW w:w="265" w:type="pct"/>
            <w:tcBorders>
              <w:top w:val="single" w:sz="4" w:space="0" w:color="auto"/>
              <w:left w:val="nil"/>
              <w:bottom w:val="single" w:sz="4" w:space="0" w:color="auto"/>
              <w:right w:val="single" w:sz="4" w:space="0" w:color="auto"/>
            </w:tcBorders>
            <w:shd w:val="clear" w:color="auto" w:fill="C6EFCE"/>
            <w:hideMark/>
          </w:tcPr>
          <w:p w14:paraId="79128818"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Atskaites punkts</w:t>
            </w:r>
          </w:p>
        </w:tc>
        <w:tc>
          <w:tcPr>
            <w:tcW w:w="329" w:type="pct"/>
            <w:tcBorders>
              <w:top w:val="single" w:sz="4" w:space="0" w:color="auto"/>
              <w:left w:val="nil"/>
              <w:bottom w:val="single" w:sz="4" w:space="0" w:color="auto"/>
              <w:right w:val="single" w:sz="4" w:space="0" w:color="auto"/>
            </w:tcBorders>
            <w:shd w:val="clear" w:color="auto" w:fill="C6EFCE"/>
            <w:hideMark/>
          </w:tcPr>
          <w:p w14:paraId="56FBE832"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Augstākās izglītības iestāžu pārvaldības reforma</w:t>
            </w:r>
          </w:p>
        </w:tc>
        <w:tc>
          <w:tcPr>
            <w:tcW w:w="376" w:type="pct"/>
            <w:tcBorders>
              <w:top w:val="single" w:sz="4" w:space="0" w:color="auto"/>
              <w:left w:val="nil"/>
              <w:bottom w:val="single" w:sz="4" w:space="0" w:color="auto"/>
              <w:right w:val="single" w:sz="4" w:space="0" w:color="auto"/>
            </w:tcBorders>
            <w:shd w:val="clear" w:color="auto" w:fill="C6EFCE"/>
            <w:hideMark/>
          </w:tcPr>
          <w:p w14:paraId="19079A29"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Saskaņā ar augstākās izglītības iestāžu pārvaldības reformu stājās spēkā tiesību aktu grozījumi</w:t>
            </w:r>
          </w:p>
        </w:tc>
        <w:tc>
          <w:tcPr>
            <w:tcW w:w="236" w:type="pct"/>
            <w:tcBorders>
              <w:top w:val="nil"/>
              <w:left w:val="nil"/>
              <w:bottom w:val="single" w:sz="4" w:space="0" w:color="auto"/>
              <w:right w:val="single" w:sz="4" w:space="0" w:color="auto"/>
            </w:tcBorders>
            <w:shd w:val="clear" w:color="auto" w:fill="C6EFCE"/>
            <w:hideMark/>
          </w:tcPr>
          <w:p w14:paraId="53B1E21F"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Neattiecas</w:t>
            </w:r>
          </w:p>
        </w:tc>
        <w:tc>
          <w:tcPr>
            <w:tcW w:w="247" w:type="pct"/>
            <w:tcBorders>
              <w:top w:val="nil"/>
              <w:left w:val="nil"/>
              <w:bottom w:val="single" w:sz="4" w:space="0" w:color="auto"/>
              <w:right w:val="single" w:sz="4" w:space="0" w:color="auto"/>
            </w:tcBorders>
            <w:shd w:val="clear" w:color="auto" w:fill="C6EFCE"/>
            <w:hideMark/>
          </w:tcPr>
          <w:p w14:paraId="6A3CA72F"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Neattiecas</w:t>
            </w:r>
          </w:p>
        </w:tc>
        <w:tc>
          <w:tcPr>
            <w:tcW w:w="265" w:type="pct"/>
            <w:tcBorders>
              <w:top w:val="nil"/>
              <w:left w:val="nil"/>
              <w:bottom w:val="single" w:sz="4" w:space="0" w:color="auto"/>
              <w:right w:val="single" w:sz="4" w:space="0" w:color="auto"/>
            </w:tcBorders>
            <w:shd w:val="clear" w:color="auto" w:fill="C6EFCE"/>
            <w:hideMark/>
          </w:tcPr>
          <w:p w14:paraId="33E6B3CE"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Neattiecas</w:t>
            </w:r>
          </w:p>
        </w:tc>
        <w:tc>
          <w:tcPr>
            <w:tcW w:w="143" w:type="pct"/>
            <w:tcBorders>
              <w:top w:val="nil"/>
              <w:left w:val="nil"/>
              <w:bottom w:val="single" w:sz="4" w:space="0" w:color="auto"/>
              <w:right w:val="single" w:sz="4" w:space="0" w:color="auto"/>
            </w:tcBorders>
            <w:shd w:val="clear" w:color="auto" w:fill="C6EFCE"/>
            <w:hideMark/>
          </w:tcPr>
          <w:p w14:paraId="348CB7BC"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4. cet.</w:t>
            </w:r>
          </w:p>
        </w:tc>
        <w:tc>
          <w:tcPr>
            <w:tcW w:w="190" w:type="pct"/>
            <w:tcBorders>
              <w:top w:val="nil"/>
              <w:left w:val="nil"/>
              <w:bottom w:val="single" w:sz="4" w:space="0" w:color="auto"/>
              <w:right w:val="single" w:sz="4" w:space="0" w:color="auto"/>
            </w:tcBorders>
            <w:shd w:val="clear" w:color="auto" w:fill="C6EFCE"/>
            <w:hideMark/>
          </w:tcPr>
          <w:p w14:paraId="15716F3B"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2022</w:t>
            </w:r>
          </w:p>
        </w:tc>
        <w:tc>
          <w:tcPr>
            <w:tcW w:w="411" w:type="pct"/>
            <w:tcBorders>
              <w:top w:val="single" w:sz="4" w:space="0" w:color="auto"/>
              <w:left w:val="single" w:sz="4" w:space="0" w:color="auto"/>
              <w:bottom w:val="single" w:sz="4" w:space="0" w:color="auto"/>
              <w:right w:val="single" w:sz="4" w:space="0" w:color="auto"/>
            </w:tcBorders>
            <w:shd w:val="clear" w:color="auto" w:fill="C6EFCE"/>
          </w:tcPr>
          <w:p w14:paraId="3BC4EC4C" w14:textId="77777777" w:rsidR="001A3E6F" w:rsidRPr="008C5D88" w:rsidRDefault="001A3E6F" w:rsidP="00A116F8">
            <w:pPr>
              <w:widowControl w:val="0"/>
              <w:spacing w:after="0" w:line="240" w:lineRule="auto"/>
              <w:ind w:left="57" w:right="57"/>
              <w:jc w:val="both"/>
              <w:rPr>
                <w:rFonts w:ascii="Times New Roman" w:hAnsi="Times New Roman" w:cs="Calibri"/>
                <w:noProof/>
                <w:sz w:val="18"/>
                <w:szCs w:val="20"/>
              </w:rPr>
            </w:pPr>
            <w:r w:rsidRPr="008C5D88">
              <w:rPr>
                <w:rFonts w:ascii="Times New Roman" w:hAnsi="Times New Roman"/>
                <w:sz w:val="18"/>
                <w:szCs w:val="20"/>
              </w:rPr>
              <w:t xml:space="preserve">Izglītības un zinātnes ministrija </w:t>
            </w:r>
          </w:p>
        </w:tc>
        <w:tc>
          <w:tcPr>
            <w:tcW w:w="367" w:type="pct"/>
            <w:tcBorders>
              <w:top w:val="single" w:sz="4" w:space="0" w:color="auto"/>
              <w:left w:val="single" w:sz="4" w:space="0" w:color="auto"/>
              <w:bottom w:val="single" w:sz="4" w:space="0" w:color="auto"/>
              <w:right w:val="single" w:sz="4" w:space="0" w:color="auto"/>
            </w:tcBorders>
            <w:shd w:val="clear" w:color="auto" w:fill="C6EFCE"/>
          </w:tcPr>
          <w:p w14:paraId="0CA9EC7D"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lang w:eastAsia="en-GB"/>
              </w:rPr>
            </w:pPr>
          </w:p>
        </w:tc>
        <w:tc>
          <w:tcPr>
            <w:tcW w:w="815" w:type="pct"/>
            <w:tcBorders>
              <w:top w:val="single" w:sz="4" w:space="0" w:color="auto"/>
              <w:left w:val="single" w:sz="4" w:space="0" w:color="auto"/>
              <w:bottom w:val="single" w:sz="4" w:space="0" w:color="auto"/>
              <w:right w:val="single" w:sz="4" w:space="0" w:color="auto"/>
            </w:tcBorders>
            <w:shd w:val="clear" w:color="auto" w:fill="C6EFCE"/>
          </w:tcPr>
          <w:p w14:paraId="6DE238D2" w14:textId="77777777" w:rsidR="001A3E6F" w:rsidRPr="008C5D88" w:rsidRDefault="00000000" w:rsidP="00A116F8">
            <w:pPr>
              <w:widowControl w:val="0"/>
              <w:spacing w:after="0" w:line="240" w:lineRule="auto"/>
              <w:ind w:left="57" w:right="57"/>
              <w:rPr>
                <w:rFonts w:ascii="Times New Roman" w:hAnsi="Times New Roman"/>
                <w:noProof/>
                <w:sz w:val="18"/>
                <w:szCs w:val="20"/>
              </w:rPr>
            </w:pPr>
            <w:sdt>
              <w:sdtPr>
                <w:rPr>
                  <w:rFonts w:ascii="Times New Roman" w:hAnsi="Times New Roman"/>
                  <w:noProof/>
                  <w:sz w:val="18"/>
                  <w:szCs w:val="20"/>
                </w:rPr>
                <w:tag w:val="goog_rdk_25"/>
                <w:id w:val="674314352"/>
                <w:placeholder>
                  <w:docPart w:val="846BE23B851849448DBA97BD1FC45CCB"/>
                </w:placeholder>
                <w:showingPlcHdr/>
              </w:sdtPr>
              <w:sdtContent/>
            </w:sdt>
            <w:r w:rsidR="001A3E6F" w:rsidRPr="008C5D88">
              <w:rPr>
                <w:rFonts w:ascii="Times New Roman" w:hAnsi="Times New Roman"/>
                <w:sz w:val="18"/>
                <w:szCs w:val="20"/>
              </w:rPr>
              <w:t xml:space="preserve">To tiesību aktu kopija, kas attiecas uz tiesisko regulējumu par augstākās izglītības iestāžu pārvaldības reformu, vai saite uz publikāciju oficiālajā izdevumā, tostarp atsauce uz noteikumiem, kuros norādīta stāšanās spēkā, kopā ar kopsavilkuma dokumentu, kurā pienācīgi pamatots, kā tika apmierinoši sasniegts atskaites </w:t>
            </w:r>
            <w:r w:rsidR="001A3E6F" w:rsidRPr="008C5D88">
              <w:rPr>
                <w:rFonts w:ascii="Times New Roman" w:hAnsi="Times New Roman"/>
                <w:sz w:val="18"/>
                <w:szCs w:val="20"/>
              </w:rPr>
              <w:lastRenderedPageBreak/>
              <w:t>punkts (tostarp visi būtiskie elementi), ar atbilstošām saitēm uz pamatojošajiem pierādījumiem.</w:t>
            </w:r>
          </w:p>
        </w:tc>
        <w:tc>
          <w:tcPr>
            <w:tcW w:w="883" w:type="pct"/>
            <w:tcBorders>
              <w:top w:val="single" w:sz="4" w:space="0" w:color="auto"/>
              <w:left w:val="single" w:sz="4" w:space="0" w:color="auto"/>
              <w:bottom w:val="single" w:sz="4" w:space="0" w:color="auto"/>
              <w:right w:val="single" w:sz="4" w:space="0" w:color="auto"/>
            </w:tcBorders>
            <w:shd w:val="clear" w:color="auto" w:fill="C6EFCE"/>
          </w:tcPr>
          <w:p w14:paraId="1AAAC016"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lastRenderedPageBreak/>
              <w:t>Spēkā stājies tiesiskais regulējums augstākās izglītības sistēmas pārvaldības reformas īstenošanai, tostarp:</w:t>
            </w:r>
          </w:p>
          <w:p w14:paraId="2397BFC5"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 universitāšu tipoloģijas un kritēriji, lai kvalificētos konkrētam tipam;</w:t>
            </w:r>
          </w:p>
          <w:p w14:paraId="0FA4AFC0"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 xml:space="preserve">- universitāšu padomju izveides un apstiprināšanas procedūra, padomju kompetence, precizējot Senāta, rektora un konstitucionālās asamblejas </w:t>
            </w:r>
            <w:r w:rsidRPr="008C5D88">
              <w:rPr>
                <w:rFonts w:ascii="Times New Roman" w:hAnsi="Times New Roman"/>
                <w:sz w:val="18"/>
                <w:szCs w:val="20"/>
              </w:rPr>
              <w:lastRenderedPageBreak/>
              <w:t>kompetenci;</w:t>
            </w:r>
          </w:p>
          <w:p w14:paraId="3BF721A8"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 jaunu universitātes rektoru atlases un apstiprināšanas procedūra;</w:t>
            </w:r>
          </w:p>
          <w:p w14:paraId="12D2F9C2"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 universitāšu stratēģiskās specializācijas noteikšana.</w:t>
            </w:r>
          </w:p>
        </w:tc>
      </w:tr>
      <w:tr w:rsidR="001A3E6F" w:rsidRPr="008C5D88" w14:paraId="6FA53366" w14:textId="77777777" w:rsidTr="009E7D55">
        <w:trPr>
          <w:jc w:val="center"/>
        </w:trPr>
        <w:tc>
          <w:tcPr>
            <w:tcW w:w="148" w:type="pct"/>
            <w:tcBorders>
              <w:top w:val="single" w:sz="4" w:space="0" w:color="auto"/>
              <w:left w:val="single" w:sz="4" w:space="0" w:color="auto"/>
              <w:bottom w:val="single" w:sz="4" w:space="0" w:color="auto"/>
              <w:right w:val="single" w:sz="4" w:space="0" w:color="auto"/>
            </w:tcBorders>
            <w:shd w:val="clear" w:color="auto" w:fill="C6EFCE"/>
            <w:hideMark/>
          </w:tcPr>
          <w:p w14:paraId="7E9D62B8"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lastRenderedPageBreak/>
              <w:t>160</w:t>
            </w:r>
          </w:p>
        </w:tc>
        <w:tc>
          <w:tcPr>
            <w:tcW w:w="325" w:type="pct"/>
            <w:tcBorders>
              <w:top w:val="single" w:sz="4" w:space="0" w:color="auto"/>
              <w:left w:val="nil"/>
              <w:bottom w:val="single" w:sz="4" w:space="0" w:color="auto"/>
              <w:right w:val="single" w:sz="4" w:space="0" w:color="auto"/>
            </w:tcBorders>
            <w:shd w:val="clear" w:color="auto" w:fill="C6EFCE"/>
            <w:hideMark/>
          </w:tcPr>
          <w:p w14:paraId="76E13B94"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b/>
                <w:bCs/>
                <w:noProof/>
                <w:sz w:val="18"/>
                <w:szCs w:val="20"/>
              </w:rPr>
            </w:pPr>
            <w:r w:rsidRPr="008C5D88">
              <w:rPr>
                <w:rFonts w:ascii="Times New Roman" w:hAnsi="Times New Roman"/>
                <w:b/>
                <w:sz w:val="18"/>
                <w:szCs w:val="20"/>
              </w:rPr>
              <w:t>5.2.1.r. Augstākās izglītības un zinātnes izcilības un pārvaldības reforma</w:t>
            </w:r>
          </w:p>
        </w:tc>
        <w:tc>
          <w:tcPr>
            <w:tcW w:w="265" w:type="pct"/>
            <w:tcBorders>
              <w:top w:val="single" w:sz="4" w:space="0" w:color="auto"/>
              <w:left w:val="nil"/>
              <w:bottom w:val="single" w:sz="4" w:space="0" w:color="auto"/>
              <w:right w:val="single" w:sz="4" w:space="0" w:color="auto"/>
            </w:tcBorders>
            <w:shd w:val="clear" w:color="auto" w:fill="C6EFCE"/>
            <w:hideMark/>
          </w:tcPr>
          <w:p w14:paraId="39B79E05"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Atskaites punkts</w:t>
            </w:r>
          </w:p>
        </w:tc>
        <w:tc>
          <w:tcPr>
            <w:tcW w:w="329" w:type="pct"/>
            <w:tcBorders>
              <w:top w:val="single" w:sz="4" w:space="0" w:color="auto"/>
              <w:left w:val="nil"/>
              <w:bottom w:val="single" w:sz="4" w:space="0" w:color="auto"/>
              <w:right w:val="single" w:sz="4" w:space="0" w:color="auto"/>
            </w:tcBorders>
            <w:shd w:val="clear" w:color="auto" w:fill="C6EFCE"/>
            <w:hideMark/>
          </w:tcPr>
          <w:p w14:paraId="5435E607"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Augstākās izglītības reforma</w:t>
            </w:r>
          </w:p>
        </w:tc>
        <w:tc>
          <w:tcPr>
            <w:tcW w:w="376" w:type="pct"/>
            <w:tcBorders>
              <w:top w:val="single" w:sz="4" w:space="0" w:color="auto"/>
              <w:left w:val="nil"/>
              <w:bottom w:val="single" w:sz="4" w:space="0" w:color="auto"/>
              <w:right w:val="single" w:sz="4" w:space="0" w:color="auto"/>
            </w:tcBorders>
            <w:shd w:val="clear" w:color="auto" w:fill="C6EFCE"/>
            <w:hideMark/>
          </w:tcPr>
          <w:p w14:paraId="32C68DEF"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 xml:space="preserve">Stājās spēkā tiesību aktu grozījumi </w:t>
            </w:r>
          </w:p>
        </w:tc>
        <w:tc>
          <w:tcPr>
            <w:tcW w:w="236" w:type="pct"/>
            <w:tcBorders>
              <w:top w:val="nil"/>
              <w:left w:val="nil"/>
              <w:bottom w:val="single" w:sz="4" w:space="0" w:color="auto"/>
              <w:right w:val="single" w:sz="4" w:space="0" w:color="auto"/>
            </w:tcBorders>
            <w:shd w:val="clear" w:color="auto" w:fill="C6EFCE"/>
            <w:hideMark/>
          </w:tcPr>
          <w:p w14:paraId="063FD92D"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Neattiecas</w:t>
            </w:r>
          </w:p>
        </w:tc>
        <w:tc>
          <w:tcPr>
            <w:tcW w:w="247" w:type="pct"/>
            <w:tcBorders>
              <w:top w:val="nil"/>
              <w:left w:val="nil"/>
              <w:bottom w:val="single" w:sz="4" w:space="0" w:color="auto"/>
              <w:right w:val="single" w:sz="4" w:space="0" w:color="auto"/>
            </w:tcBorders>
            <w:shd w:val="clear" w:color="auto" w:fill="C6EFCE"/>
            <w:hideMark/>
          </w:tcPr>
          <w:p w14:paraId="5A7B5489"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Neattiecas</w:t>
            </w:r>
          </w:p>
        </w:tc>
        <w:tc>
          <w:tcPr>
            <w:tcW w:w="265" w:type="pct"/>
            <w:tcBorders>
              <w:top w:val="nil"/>
              <w:left w:val="nil"/>
              <w:bottom w:val="single" w:sz="4" w:space="0" w:color="auto"/>
              <w:right w:val="single" w:sz="4" w:space="0" w:color="auto"/>
            </w:tcBorders>
            <w:shd w:val="clear" w:color="auto" w:fill="C6EFCE"/>
            <w:hideMark/>
          </w:tcPr>
          <w:p w14:paraId="4866E6A8"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Neattiecas</w:t>
            </w:r>
          </w:p>
        </w:tc>
        <w:tc>
          <w:tcPr>
            <w:tcW w:w="143" w:type="pct"/>
            <w:tcBorders>
              <w:top w:val="nil"/>
              <w:left w:val="nil"/>
              <w:bottom w:val="single" w:sz="4" w:space="0" w:color="auto"/>
              <w:right w:val="single" w:sz="4" w:space="0" w:color="auto"/>
            </w:tcBorders>
            <w:shd w:val="clear" w:color="auto" w:fill="C6EFCE"/>
            <w:hideMark/>
          </w:tcPr>
          <w:p w14:paraId="2EABA189"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4. cet.</w:t>
            </w:r>
          </w:p>
        </w:tc>
        <w:tc>
          <w:tcPr>
            <w:tcW w:w="190" w:type="pct"/>
            <w:tcBorders>
              <w:top w:val="nil"/>
              <w:left w:val="nil"/>
              <w:bottom w:val="single" w:sz="4" w:space="0" w:color="auto"/>
              <w:right w:val="single" w:sz="4" w:space="0" w:color="auto"/>
            </w:tcBorders>
            <w:shd w:val="clear" w:color="auto" w:fill="C6EFCE"/>
            <w:hideMark/>
          </w:tcPr>
          <w:p w14:paraId="0960CAD5"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2024</w:t>
            </w:r>
          </w:p>
        </w:tc>
        <w:tc>
          <w:tcPr>
            <w:tcW w:w="411" w:type="pct"/>
            <w:tcBorders>
              <w:top w:val="single" w:sz="4" w:space="0" w:color="auto"/>
              <w:left w:val="single" w:sz="4" w:space="0" w:color="auto"/>
              <w:bottom w:val="single" w:sz="4" w:space="0" w:color="auto"/>
              <w:right w:val="single" w:sz="4" w:space="0" w:color="auto"/>
            </w:tcBorders>
            <w:shd w:val="clear" w:color="auto" w:fill="C6EFCE"/>
          </w:tcPr>
          <w:p w14:paraId="6151FA7C" w14:textId="77777777" w:rsidR="001A3E6F" w:rsidRPr="008C5D88" w:rsidRDefault="001A3E6F" w:rsidP="00A116F8">
            <w:pPr>
              <w:widowControl w:val="0"/>
              <w:spacing w:after="0" w:line="240" w:lineRule="auto"/>
              <w:ind w:left="57" w:right="57"/>
              <w:jc w:val="both"/>
              <w:rPr>
                <w:rFonts w:ascii="Times New Roman" w:hAnsi="Times New Roman" w:cs="Calibri"/>
                <w:noProof/>
                <w:sz w:val="18"/>
                <w:szCs w:val="20"/>
              </w:rPr>
            </w:pPr>
            <w:r w:rsidRPr="008C5D88">
              <w:rPr>
                <w:rFonts w:ascii="Times New Roman" w:hAnsi="Times New Roman"/>
                <w:sz w:val="18"/>
                <w:szCs w:val="20"/>
              </w:rPr>
              <w:t xml:space="preserve">Izglītības un zinātnes ministrija </w:t>
            </w:r>
          </w:p>
        </w:tc>
        <w:tc>
          <w:tcPr>
            <w:tcW w:w="367" w:type="pct"/>
            <w:tcBorders>
              <w:top w:val="single" w:sz="4" w:space="0" w:color="auto"/>
              <w:left w:val="single" w:sz="4" w:space="0" w:color="auto"/>
              <w:bottom w:val="single" w:sz="4" w:space="0" w:color="auto"/>
              <w:right w:val="single" w:sz="4" w:space="0" w:color="auto"/>
            </w:tcBorders>
            <w:shd w:val="clear" w:color="auto" w:fill="C6EFCE"/>
          </w:tcPr>
          <w:p w14:paraId="21034E3A"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lang w:eastAsia="en-GB"/>
              </w:rPr>
            </w:pPr>
          </w:p>
        </w:tc>
        <w:tc>
          <w:tcPr>
            <w:tcW w:w="815" w:type="pct"/>
            <w:tcBorders>
              <w:top w:val="single" w:sz="4" w:space="0" w:color="auto"/>
              <w:left w:val="single" w:sz="4" w:space="0" w:color="auto"/>
              <w:bottom w:val="single" w:sz="4" w:space="0" w:color="auto"/>
              <w:right w:val="single" w:sz="4" w:space="0" w:color="auto"/>
            </w:tcBorders>
            <w:shd w:val="clear" w:color="auto" w:fill="C6EFCE"/>
          </w:tcPr>
          <w:p w14:paraId="16DCBF1F" w14:textId="77777777" w:rsidR="001A3E6F" w:rsidRPr="008C5D88" w:rsidRDefault="00000000" w:rsidP="00A116F8">
            <w:pPr>
              <w:widowControl w:val="0"/>
              <w:spacing w:after="0" w:line="240" w:lineRule="auto"/>
              <w:ind w:left="57" w:right="57"/>
              <w:rPr>
                <w:rFonts w:ascii="Times New Roman" w:hAnsi="Times New Roman"/>
                <w:noProof/>
                <w:sz w:val="18"/>
                <w:szCs w:val="20"/>
              </w:rPr>
            </w:pPr>
            <w:sdt>
              <w:sdtPr>
                <w:rPr>
                  <w:rFonts w:ascii="Times New Roman" w:hAnsi="Times New Roman"/>
                  <w:noProof/>
                  <w:sz w:val="18"/>
                  <w:szCs w:val="20"/>
                </w:rPr>
                <w:tag w:val="goog_rdk_28"/>
                <w:id w:val="-1407904115"/>
                <w:placeholder>
                  <w:docPart w:val="EF56473E661B416F94AB6370EDBF89FA"/>
                </w:placeholder>
              </w:sdtPr>
              <w:sdtContent/>
            </w:sdt>
            <w:r w:rsidR="001A3E6F" w:rsidRPr="008C5D88">
              <w:rPr>
                <w:rFonts w:ascii="Times New Roman" w:hAnsi="Times New Roman"/>
                <w:sz w:val="18"/>
                <w:szCs w:val="20"/>
              </w:rPr>
              <w:t xml:space="preserve">Augstskolu likuma, Zinātniskās darbības likuma un Ministru kabineta noteikumu grozījumu kopija vai saite uz publikāciju oficiālajā izdevumā, tostarp atsauce uz noteikumiem, kuros norādīta stāšanās spēkā, kopā ar kopsavilkuma dokumentu, kurā pienācīgi pamatots, kā tika apmierinoši </w:t>
            </w:r>
            <w:r w:rsidR="001A3E6F" w:rsidRPr="008C5D88">
              <w:rPr>
                <w:rFonts w:ascii="Times New Roman" w:hAnsi="Times New Roman"/>
                <w:sz w:val="18"/>
                <w:szCs w:val="20"/>
              </w:rPr>
              <w:lastRenderedPageBreak/>
              <w:t>sasniegts atskaites punkts (tostarp visi būtiskie elementi), ar atbilstošām saitēm uz pamatojošajiem pierādījumiem.</w:t>
            </w:r>
          </w:p>
        </w:tc>
        <w:tc>
          <w:tcPr>
            <w:tcW w:w="883" w:type="pct"/>
            <w:tcBorders>
              <w:top w:val="single" w:sz="4" w:space="0" w:color="auto"/>
              <w:left w:val="single" w:sz="4" w:space="0" w:color="auto"/>
              <w:bottom w:val="single" w:sz="4" w:space="0" w:color="auto"/>
              <w:right w:val="single" w:sz="4" w:space="0" w:color="auto"/>
            </w:tcBorders>
            <w:shd w:val="clear" w:color="auto" w:fill="C6EFCE"/>
            <w:hideMark/>
          </w:tcPr>
          <w:p w14:paraId="2D9CB6A5"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lastRenderedPageBreak/>
              <w:t>Saeima ir pieņēmusi grozījumus Augstskolu likumā un Zinātniskās darbības likumā, un Ministru kabinets ir pieņēmis grozījumus saistītajos Ministru kabineta noteikumos attiecībā uz:</w:t>
            </w:r>
          </w:p>
          <w:p w14:paraId="70179C20"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 jaunā doktorantūras modeļa ieviešanu Latvijā;</w:t>
            </w:r>
          </w:p>
          <w:p w14:paraId="54CD5CB4"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 xml:space="preserve">- jaunā akadēmiskās karjeras modeļa </w:t>
            </w:r>
            <w:r w:rsidRPr="008C5D88">
              <w:rPr>
                <w:rFonts w:ascii="Times New Roman" w:hAnsi="Times New Roman"/>
                <w:sz w:val="18"/>
                <w:szCs w:val="20"/>
              </w:rPr>
              <w:lastRenderedPageBreak/>
              <w:t>ieviešanu Latvijā;</w:t>
            </w:r>
          </w:p>
          <w:p w14:paraId="656A4094"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 augstākās izglītības iestāžu un koledžu cikliskas institucionālās akreditācijas ieviešanu Latvijā;</w:t>
            </w:r>
          </w:p>
          <w:p w14:paraId="383C49C7"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 trīs pīlāru augstākās izglītības finansēšanas modeļa turpmāku attīstību;</w:t>
            </w:r>
          </w:p>
          <w:p w14:paraId="7BE7333A" w14:textId="77777777" w:rsidR="001A3E6F" w:rsidRPr="008C5D88" w:rsidRDefault="001A3E6F" w:rsidP="00A116F8">
            <w:pPr>
              <w:widowControl w:val="0"/>
              <w:spacing w:after="0" w:line="240" w:lineRule="auto"/>
              <w:ind w:left="57" w:right="57"/>
              <w:rPr>
                <w:rFonts w:ascii="Times New Roman" w:hAnsi="Times New Roman" w:cs="Times New Roman"/>
                <w:noProof/>
                <w:sz w:val="18"/>
                <w:szCs w:val="20"/>
              </w:rPr>
            </w:pPr>
            <w:r w:rsidRPr="008C5D88">
              <w:rPr>
                <w:rFonts w:ascii="Times New Roman" w:hAnsi="Times New Roman"/>
                <w:sz w:val="18"/>
                <w:szCs w:val="20"/>
              </w:rPr>
              <w:t>- valsts finansējuma sasaisti ar zinātnisko institūciju starptautiskā novērtējuma rezultātiem.</w:t>
            </w:r>
          </w:p>
        </w:tc>
      </w:tr>
      <w:tr w:rsidR="001A3E6F" w:rsidRPr="008C5D88" w14:paraId="71924C91" w14:textId="77777777" w:rsidTr="009E7D55">
        <w:trPr>
          <w:jc w:val="center"/>
        </w:trPr>
        <w:tc>
          <w:tcPr>
            <w:tcW w:w="148" w:type="pct"/>
            <w:tcBorders>
              <w:top w:val="single" w:sz="4" w:space="0" w:color="auto"/>
              <w:left w:val="single" w:sz="4" w:space="0" w:color="auto"/>
              <w:bottom w:val="single" w:sz="4" w:space="0" w:color="auto"/>
              <w:right w:val="single" w:sz="4" w:space="0" w:color="auto"/>
            </w:tcBorders>
            <w:shd w:val="clear" w:color="auto" w:fill="C6EFCE"/>
            <w:hideMark/>
          </w:tcPr>
          <w:p w14:paraId="2FB1CFA9"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lastRenderedPageBreak/>
              <w:t>161</w:t>
            </w:r>
          </w:p>
        </w:tc>
        <w:tc>
          <w:tcPr>
            <w:tcW w:w="325" w:type="pct"/>
            <w:tcBorders>
              <w:top w:val="single" w:sz="4" w:space="0" w:color="auto"/>
              <w:left w:val="single" w:sz="4" w:space="0" w:color="auto"/>
              <w:bottom w:val="single" w:sz="4" w:space="0" w:color="auto"/>
              <w:right w:val="single" w:sz="4" w:space="0" w:color="auto"/>
            </w:tcBorders>
            <w:shd w:val="clear" w:color="auto" w:fill="C6EFCE"/>
            <w:hideMark/>
          </w:tcPr>
          <w:p w14:paraId="537846C2"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b/>
                <w:noProof/>
                <w:sz w:val="18"/>
                <w:szCs w:val="20"/>
              </w:rPr>
            </w:pPr>
            <w:r w:rsidRPr="008C5D88">
              <w:rPr>
                <w:rFonts w:ascii="Times New Roman" w:hAnsi="Times New Roman"/>
                <w:b/>
                <w:sz w:val="18"/>
                <w:szCs w:val="20"/>
              </w:rPr>
              <w:t>5.2.1.r. Augstākās izglītības un zinātnes izcilības un pārvaldības reforma</w:t>
            </w:r>
          </w:p>
        </w:tc>
        <w:tc>
          <w:tcPr>
            <w:tcW w:w="265" w:type="pct"/>
            <w:tcBorders>
              <w:top w:val="single" w:sz="4" w:space="0" w:color="auto"/>
              <w:left w:val="single" w:sz="4" w:space="0" w:color="auto"/>
              <w:bottom w:val="single" w:sz="4" w:space="0" w:color="auto"/>
              <w:right w:val="single" w:sz="4" w:space="0" w:color="auto"/>
            </w:tcBorders>
            <w:shd w:val="clear" w:color="auto" w:fill="C6EFCE"/>
            <w:hideMark/>
          </w:tcPr>
          <w:p w14:paraId="483F5B70"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Mērķis</w:t>
            </w:r>
          </w:p>
        </w:tc>
        <w:tc>
          <w:tcPr>
            <w:tcW w:w="329" w:type="pct"/>
            <w:tcBorders>
              <w:top w:val="single" w:sz="4" w:space="0" w:color="auto"/>
              <w:left w:val="single" w:sz="4" w:space="0" w:color="auto"/>
              <w:bottom w:val="single" w:sz="4" w:space="0" w:color="auto"/>
              <w:right w:val="single" w:sz="4" w:space="0" w:color="auto"/>
            </w:tcBorders>
            <w:shd w:val="clear" w:color="auto" w:fill="C6EFCE"/>
            <w:hideMark/>
          </w:tcPr>
          <w:p w14:paraId="41A3C528"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Augstākās izglītības iestāžu konsolidācija</w:t>
            </w:r>
          </w:p>
        </w:tc>
        <w:tc>
          <w:tcPr>
            <w:tcW w:w="376" w:type="pct"/>
            <w:tcBorders>
              <w:top w:val="single" w:sz="4" w:space="0" w:color="auto"/>
              <w:left w:val="single" w:sz="4" w:space="0" w:color="auto"/>
              <w:bottom w:val="single" w:sz="4" w:space="0" w:color="auto"/>
              <w:right w:val="single" w:sz="4" w:space="0" w:color="auto"/>
            </w:tcBorders>
            <w:shd w:val="clear" w:color="auto" w:fill="C6EFCE"/>
            <w:hideMark/>
          </w:tcPr>
          <w:p w14:paraId="42CF77D5"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Neattiecas</w:t>
            </w:r>
          </w:p>
        </w:tc>
        <w:tc>
          <w:tcPr>
            <w:tcW w:w="236" w:type="pct"/>
            <w:tcBorders>
              <w:top w:val="single" w:sz="4" w:space="0" w:color="auto"/>
              <w:left w:val="single" w:sz="4" w:space="0" w:color="auto"/>
              <w:bottom w:val="single" w:sz="4" w:space="0" w:color="auto"/>
              <w:right w:val="single" w:sz="4" w:space="0" w:color="auto"/>
            </w:tcBorders>
            <w:shd w:val="clear" w:color="auto" w:fill="C6EFCE"/>
            <w:hideMark/>
          </w:tcPr>
          <w:p w14:paraId="2C34FA3A"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Skaits</w:t>
            </w:r>
          </w:p>
        </w:tc>
        <w:tc>
          <w:tcPr>
            <w:tcW w:w="247" w:type="pct"/>
            <w:tcBorders>
              <w:top w:val="single" w:sz="4" w:space="0" w:color="auto"/>
              <w:left w:val="single" w:sz="4" w:space="0" w:color="auto"/>
              <w:bottom w:val="single" w:sz="4" w:space="0" w:color="auto"/>
              <w:right w:val="single" w:sz="4" w:space="0" w:color="auto"/>
            </w:tcBorders>
            <w:shd w:val="clear" w:color="auto" w:fill="C6EFCE"/>
            <w:hideMark/>
          </w:tcPr>
          <w:p w14:paraId="0770405E"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0</w:t>
            </w:r>
          </w:p>
        </w:tc>
        <w:tc>
          <w:tcPr>
            <w:tcW w:w="265" w:type="pct"/>
            <w:tcBorders>
              <w:top w:val="single" w:sz="4" w:space="0" w:color="auto"/>
              <w:left w:val="single" w:sz="4" w:space="0" w:color="auto"/>
              <w:bottom w:val="single" w:sz="4" w:space="0" w:color="auto"/>
              <w:right w:val="single" w:sz="4" w:space="0" w:color="auto"/>
            </w:tcBorders>
            <w:shd w:val="clear" w:color="auto" w:fill="C6EFCE"/>
            <w:hideMark/>
          </w:tcPr>
          <w:p w14:paraId="7861F996"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4</w:t>
            </w:r>
          </w:p>
        </w:tc>
        <w:tc>
          <w:tcPr>
            <w:tcW w:w="143" w:type="pct"/>
            <w:tcBorders>
              <w:top w:val="single" w:sz="4" w:space="0" w:color="auto"/>
              <w:left w:val="single" w:sz="4" w:space="0" w:color="auto"/>
              <w:bottom w:val="single" w:sz="4" w:space="0" w:color="auto"/>
              <w:right w:val="single" w:sz="4" w:space="0" w:color="auto"/>
            </w:tcBorders>
            <w:shd w:val="clear" w:color="auto" w:fill="C6EFCE"/>
            <w:hideMark/>
          </w:tcPr>
          <w:p w14:paraId="61B0EC79"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2. cet.</w:t>
            </w:r>
          </w:p>
        </w:tc>
        <w:tc>
          <w:tcPr>
            <w:tcW w:w="190" w:type="pct"/>
            <w:tcBorders>
              <w:top w:val="single" w:sz="4" w:space="0" w:color="auto"/>
              <w:left w:val="single" w:sz="4" w:space="0" w:color="auto"/>
              <w:bottom w:val="single" w:sz="4" w:space="0" w:color="auto"/>
              <w:right w:val="single" w:sz="4" w:space="0" w:color="auto"/>
            </w:tcBorders>
            <w:shd w:val="clear" w:color="auto" w:fill="C6EFCE"/>
            <w:hideMark/>
          </w:tcPr>
          <w:p w14:paraId="5B6CB6E5"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2023</w:t>
            </w:r>
          </w:p>
        </w:tc>
        <w:tc>
          <w:tcPr>
            <w:tcW w:w="411" w:type="pct"/>
            <w:tcBorders>
              <w:top w:val="single" w:sz="4" w:space="0" w:color="auto"/>
              <w:left w:val="single" w:sz="4" w:space="0" w:color="auto"/>
              <w:bottom w:val="single" w:sz="4" w:space="0" w:color="auto"/>
              <w:right w:val="single" w:sz="4" w:space="0" w:color="auto"/>
            </w:tcBorders>
            <w:shd w:val="clear" w:color="auto" w:fill="C6EFCE"/>
          </w:tcPr>
          <w:p w14:paraId="74B16055" w14:textId="77777777" w:rsidR="001A3E6F" w:rsidRPr="008C5D88" w:rsidRDefault="001A3E6F" w:rsidP="00A116F8">
            <w:pPr>
              <w:widowControl w:val="0"/>
              <w:spacing w:after="0" w:line="240" w:lineRule="auto"/>
              <w:ind w:left="57" w:right="57"/>
              <w:jc w:val="both"/>
              <w:rPr>
                <w:rFonts w:ascii="Times New Roman" w:hAnsi="Times New Roman" w:cs="Calibri"/>
                <w:noProof/>
                <w:sz w:val="18"/>
                <w:szCs w:val="20"/>
              </w:rPr>
            </w:pPr>
            <w:r w:rsidRPr="008C5D88">
              <w:rPr>
                <w:rFonts w:ascii="Times New Roman" w:hAnsi="Times New Roman"/>
                <w:sz w:val="18"/>
                <w:szCs w:val="20"/>
              </w:rPr>
              <w:t xml:space="preserve"> Izglītības un zinātnes ministrija</w:t>
            </w:r>
          </w:p>
        </w:tc>
        <w:tc>
          <w:tcPr>
            <w:tcW w:w="367" w:type="pct"/>
            <w:tcBorders>
              <w:top w:val="single" w:sz="4" w:space="0" w:color="auto"/>
              <w:left w:val="single" w:sz="4" w:space="0" w:color="auto"/>
              <w:bottom w:val="single" w:sz="4" w:space="0" w:color="auto"/>
              <w:right w:val="single" w:sz="4" w:space="0" w:color="auto"/>
            </w:tcBorders>
            <w:shd w:val="clear" w:color="auto" w:fill="C6EFCE"/>
          </w:tcPr>
          <w:p w14:paraId="53C9815B"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Konsolidācijas plāni ir priekšnosacījums konsolidācijas grantu saņemšanai.</w:t>
            </w:r>
          </w:p>
        </w:tc>
        <w:tc>
          <w:tcPr>
            <w:tcW w:w="815" w:type="pct"/>
            <w:tcBorders>
              <w:top w:val="single" w:sz="4" w:space="0" w:color="auto"/>
              <w:left w:val="single" w:sz="4" w:space="0" w:color="auto"/>
              <w:bottom w:val="single" w:sz="4" w:space="0" w:color="auto"/>
              <w:right w:val="single" w:sz="4" w:space="0" w:color="auto"/>
            </w:tcBorders>
            <w:shd w:val="clear" w:color="auto" w:fill="C6EFCE"/>
          </w:tcPr>
          <w:p w14:paraId="74747039" w14:textId="77777777" w:rsidR="001A3E6F" w:rsidRPr="008C5D88" w:rsidRDefault="001A3E6F" w:rsidP="00A116F8">
            <w:pPr>
              <w:widowControl w:val="0"/>
              <w:spacing w:after="0" w:line="240" w:lineRule="auto"/>
              <w:ind w:left="57" w:right="57"/>
              <w:rPr>
                <w:rFonts w:ascii="Times New Roman" w:hAnsi="Times New Roman" w:cs="Calibri"/>
                <w:noProof/>
                <w:sz w:val="18"/>
                <w:szCs w:val="20"/>
              </w:rPr>
            </w:pPr>
            <w:r w:rsidRPr="008C5D88">
              <w:rPr>
                <w:rFonts w:ascii="Times New Roman" w:hAnsi="Times New Roman"/>
                <w:sz w:val="18"/>
                <w:szCs w:val="20"/>
              </w:rPr>
              <w:t xml:space="preserve">Kopsavilkuma dokuments, kurā pienācīgi pamatots, kā tika apmierinoši sasniegts mērķis (tostarp visi būtiskie elementi), </w:t>
            </w:r>
            <w:r w:rsidRPr="008C5D88">
              <w:rPr>
                <w:rFonts w:ascii="Times New Roman" w:hAnsi="Times New Roman"/>
                <w:sz w:val="18"/>
                <w:szCs w:val="20"/>
              </w:rPr>
              <w:lastRenderedPageBreak/>
              <w:t>kopā ar atbilstošām saitēm uz pamatojošajiem pierādījumiem.</w:t>
            </w:r>
          </w:p>
          <w:p w14:paraId="320237B0" w14:textId="77777777" w:rsidR="001A3E6F" w:rsidRPr="008C5D88" w:rsidRDefault="001A3E6F" w:rsidP="00A116F8">
            <w:pPr>
              <w:widowControl w:val="0"/>
              <w:spacing w:after="0" w:line="240" w:lineRule="auto"/>
              <w:ind w:left="57" w:right="57"/>
              <w:rPr>
                <w:rFonts w:ascii="Times New Roman" w:hAnsi="Times New Roman" w:cs="Calibri"/>
                <w:noProof/>
                <w:sz w:val="18"/>
                <w:szCs w:val="20"/>
              </w:rPr>
            </w:pPr>
            <w:r w:rsidRPr="008C5D88">
              <w:rPr>
                <w:rFonts w:ascii="Times New Roman" w:hAnsi="Times New Roman"/>
                <w:sz w:val="18"/>
                <w:szCs w:val="20"/>
              </w:rPr>
              <w:t>Šā dokumenta pielikumā iekļauj:</w:t>
            </w:r>
          </w:p>
          <w:p w14:paraId="1A1F33E1" w14:textId="77777777" w:rsidR="001A3E6F" w:rsidRPr="008C5D88" w:rsidRDefault="00000000" w:rsidP="00A116F8">
            <w:pPr>
              <w:widowControl w:val="0"/>
              <w:spacing w:after="0" w:line="240" w:lineRule="auto"/>
              <w:ind w:left="57" w:right="57"/>
              <w:rPr>
                <w:rFonts w:ascii="Times New Roman" w:hAnsi="Times New Roman"/>
                <w:noProof/>
                <w:sz w:val="18"/>
                <w:szCs w:val="20"/>
              </w:rPr>
            </w:pPr>
            <w:sdt>
              <w:sdtPr>
                <w:rPr>
                  <w:rFonts w:ascii="Times New Roman" w:hAnsi="Times New Roman"/>
                  <w:noProof/>
                  <w:sz w:val="18"/>
                  <w:szCs w:val="20"/>
                </w:rPr>
                <w:tag w:val="goog_rdk_31"/>
                <w:id w:val="-337309974"/>
              </w:sdtPr>
              <w:sdtContent/>
            </w:sdt>
            <w:r w:rsidR="001A3E6F" w:rsidRPr="008C5D88">
              <w:rPr>
                <w:rFonts w:ascii="Times New Roman" w:hAnsi="Times New Roman"/>
                <w:sz w:val="18"/>
                <w:szCs w:val="20"/>
              </w:rPr>
              <w:t>a) Izglītības un zinātnes ministrijas dokumentu (oficiāla konsolidācijas plānu apstiprinājuma vēstuli), ar kuru ir apstiprināti attiecīgie konsolidācijas plāni;</w:t>
            </w:r>
          </w:p>
          <w:p w14:paraId="3A160984" w14:textId="77777777" w:rsidR="001A3E6F" w:rsidRPr="008C5D88" w:rsidRDefault="001A3E6F" w:rsidP="00A116F8">
            <w:pPr>
              <w:widowControl w:val="0"/>
              <w:spacing w:after="0" w:line="240" w:lineRule="auto"/>
              <w:ind w:left="57" w:right="57"/>
              <w:rPr>
                <w:rFonts w:ascii="Times New Roman" w:hAnsi="Times New Roman" w:cs="Calibri"/>
                <w:noProof/>
                <w:sz w:val="18"/>
                <w:szCs w:val="20"/>
              </w:rPr>
            </w:pPr>
            <w:r w:rsidRPr="008C5D88">
              <w:rPr>
                <w:rFonts w:ascii="Times New Roman" w:hAnsi="Times New Roman"/>
                <w:sz w:val="18"/>
                <w:szCs w:val="20"/>
              </w:rPr>
              <w:t>b) to vērtēšanas kritēriju kopiju, ko piemēro konsolidācijas plānu apstiprināšanai;</w:t>
            </w:r>
          </w:p>
          <w:p w14:paraId="7A77F16E" w14:textId="77777777" w:rsidR="001A3E6F" w:rsidRPr="008C5D88" w:rsidRDefault="001A3E6F" w:rsidP="00A116F8">
            <w:pPr>
              <w:widowControl w:val="0"/>
              <w:spacing w:after="0" w:line="240" w:lineRule="auto"/>
              <w:ind w:left="57" w:right="57"/>
              <w:rPr>
                <w:rFonts w:ascii="Times New Roman" w:hAnsi="Times New Roman" w:cs="Calibri"/>
                <w:noProof/>
                <w:sz w:val="18"/>
                <w:szCs w:val="20"/>
              </w:rPr>
            </w:pPr>
            <w:r w:rsidRPr="008C5D88">
              <w:rPr>
                <w:rFonts w:ascii="Times New Roman" w:hAnsi="Times New Roman"/>
                <w:sz w:val="18"/>
                <w:szCs w:val="20"/>
              </w:rPr>
              <w:t xml:space="preserve">c) saites uz apstiprinātajiem konsolidācijas </w:t>
            </w:r>
            <w:r w:rsidRPr="008C5D88">
              <w:rPr>
                <w:rFonts w:ascii="Times New Roman" w:hAnsi="Times New Roman"/>
                <w:sz w:val="18"/>
                <w:szCs w:val="20"/>
              </w:rPr>
              <w:lastRenderedPageBreak/>
              <w:t>plāniem.</w:t>
            </w:r>
          </w:p>
        </w:tc>
        <w:tc>
          <w:tcPr>
            <w:tcW w:w="883" w:type="pct"/>
            <w:tcBorders>
              <w:top w:val="single" w:sz="4" w:space="0" w:color="auto"/>
              <w:left w:val="single" w:sz="4" w:space="0" w:color="auto"/>
              <w:bottom w:val="single" w:sz="4" w:space="0" w:color="auto"/>
              <w:right w:val="single" w:sz="4" w:space="0" w:color="auto"/>
            </w:tcBorders>
            <w:shd w:val="clear" w:color="auto" w:fill="C6EFCE"/>
          </w:tcPr>
          <w:p w14:paraId="6675F90D"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lastRenderedPageBreak/>
              <w:t>Izglītības un zinātnes ministrija apstiprinājusi augstāko izglītības iestāžu konsolidācijas plānus, tostarp:</w:t>
            </w:r>
          </w:p>
          <w:p w14:paraId="56E05DBC"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 xml:space="preserve">- investīciju plānu un </w:t>
            </w:r>
            <w:r w:rsidRPr="008C5D88">
              <w:rPr>
                <w:rFonts w:ascii="Times New Roman" w:hAnsi="Times New Roman"/>
                <w:sz w:val="18"/>
                <w:szCs w:val="20"/>
              </w:rPr>
              <w:lastRenderedPageBreak/>
              <w:t>konsolidācijas granta summu;</w:t>
            </w:r>
          </w:p>
          <w:p w14:paraId="7878D25B"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 kārtību un grafiku divu vai vairāku augstākās izglītības iestāžu iekšējās vai ārējās konsolidācijas panākšanai, tostarp veidojot konsorcijus, ja tas nepieciešams ārējās konsolidācijas īstenošanai.</w:t>
            </w:r>
          </w:p>
          <w:p w14:paraId="4E2ADDD3"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lang w:eastAsia="en-GB"/>
              </w:rPr>
            </w:pPr>
          </w:p>
          <w:p w14:paraId="5D8CCFBA" w14:textId="77777777" w:rsidR="001A3E6F" w:rsidRPr="008C5D88" w:rsidRDefault="001A3E6F" w:rsidP="00A116F8">
            <w:pPr>
              <w:widowControl w:val="0"/>
              <w:spacing w:after="0" w:line="240" w:lineRule="auto"/>
              <w:ind w:left="57" w:right="57"/>
              <w:rPr>
                <w:rFonts w:ascii="Times New Roman" w:hAnsi="Times New Roman" w:cs="Times New Roman"/>
                <w:noProof/>
                <w:sz w:val="18"/>
                <w:szCs w:val="20"/>
              </w:rPr>
            </w:pPr>
            <w:r w:rsidRPr="008C5D88">
              <w:rPr>
                <w:rFonts w:ascii="Times New Roman" w:hAnsi="Times New Roman"/>
                <w:sz w:val="18"/>
                <w:szCs w:val="20"/>
              </w:rPr>
              <w:t>Finansējumu no konsolidācijas grantiem var saņemt par šādām investīcijām:</w:t>
            </w:r>
          </w:p>
          <w:p w14:paraId="7E09F7DF"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1) granti strukturālu pārmaiņu īstenošanai;</w:t>
            </w:r>
          </w:p>
          <w:p w14:paraId="5F771607"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 xml:space="preserve">2) darba attiecību izbeigšanas granti darba tiesisko </w:t>
            </w:r>
            <w:r w:rsidRPr="008C5D88">
              <w:rPr>
                <w:rFonts w:ascii="Times New Roman" w:hAnsi="Times New Roman"/>
                <w:sz w:val="18"/>
                <w:szCs w:val="20"/>
              </w:rPr>
              <w:lastRenderedPageBreak/>
              <w:t>attiecību izbeigšanai ar akadēmisko personālu vecumā virs 65 gadiem;</w:t>
            </w:r>
          </w:p>
          <w:p w14:paraId="7694F9A9"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3) digitalizācija, tehnoloģiju attīstība, pētniecības un izglītības infrastruktūras uzlabošana (izņemot būvniecību);</w:t>
            </w:r>
          </w:p>
          <w:p w14:paraId="4C3AB08B"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4) jaunu izcilības programmu izveide.</w:t>
            </w:r>
          </w:p>
          <w:p w14:paraId="0293B0EC" w14:textId="77777777" w:rsidR="001A3E6F" w:rsidRPr="008C5D88" w:rsidRDefault="001A3E6F" w:rsidP="00A116F8">
            <w:pPr>
              <w:widowControl w:val="0"/>
              <w:spacing w:after="0" w:line="240" w:lineRule="auto"/>
              <w:ind w:left="57" w:right="57"/>
              <w:rPr>
                <w:rFonts w:ascii="Times New Roman" w:hAnsi="Times New Roman" w:cs="Times New Roman"/>
                <w:noProof/>
                <w:sz w:val="18"/>
                <w:szCs w:val="20"/>
              </w:rPr>
            </w:pPr>
            <w:r w:rsidRPr="008C5D88">
              <w:rPr>
                <w:rFonts w:ascii="Times New Roman" w:hAnsi="Times New Roman"/>
                <w:sz w:val="18"/>
                <w:szCs w:val="20"/>
              </w:rPr>
              <w:t>Vērtēšanas kritēriji konsolidācijas plānu apstiprināšanai ietver to:</w:t>
            </w:r>
          </w:p>
          <w:p w14:paraId="76F6FAD7"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 xml:space="preserve">- vai pastāv vienota attīstības stratēģija, resursu koplietošana, studiju programmu izstrāde, kopīgu platformu </w:t>
            </w:r>
            <w:r w:rsidRPr="008C5D88">
              <w:rPr>
                <w:rFonts w:ascii="Times New Roman" w:hAnsi="Times New Roman"/>
                <w:sz w:val="18"/>
                <w:szCs w:val="20"/>
              </w:rPr>
              <w:lastRenderedPageBreak/>
              <w:t>izveide;</w:t>
            </w:r>
          </w:p>
          <w:p w14:paraId="7C01F148"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 vai pastāv apņemšanās veikt iekšēju vai ārēju konsolidāciju, ko cita starpā nodrošina, veidojot konsorcijus, ar skaidru grafiku.</w:t>
            </w:r>
          </w:p>
        </w:tc>
      </w:tr>
      <w:tr w:rsidR="001A3E6F" w:rsidRPr="008C5D88" w14:paraId="6105EA4C" w14:textId="77777777" w:rsidTr="009E7D55">
        <w:trPr>
          <w:jc w:val="center"/>
        </w:trPr>
        <w:tc>
          <w:tcPr>
            <w:tcW w:w="148" w:type="pct"/>
            <w:tcBorders>
              <w:top w:val="single" w:sz="4" w:space="0" w:color="auto"/>
              <w:left w:val="single" w:sz="4" w:space="0" w:color="auto"/>
              <w:bottom w:val="single" w:sz="4" w:space="0" w:color="auto"/>
              <w:right w:val="single" w:sz="4" w:space="0" w:color="auto"/>
            </w:tcBorders>
            <w:shd w:val="clear" w:color="auto" w:fill="C6EFCE"/>
            <w:hideMark/>
          </w:tcPr>
          <w:p w14:paraId="149048CB"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lastRenderedPageBreak/>
              <w:t>162</w:t>
            </w:r>
          </w:p>
        </w:tc>
        <w:tc>
          <w:tcPr>
            <w:tcW w:w="325" w:type="pct"/>
            <w:tcBorders>
              <w:top w:val="single" w:sz="4" w:space="0" w:color="auto"/>
              <w:left w:val="nil"/>
              <w:bottom w:val="single" w:sz="4" w:space="0" w:color="auto"/>
              <w:right w:val="single" w:sz="4" w:space="0" w:color="auto"/>
            </w:tcBorders>
            <w:shd w:val="clear" w:color="auto" w:fill="C6EFCE"/>
            <w:hideMark/>
          </w:tcPr>
          <w:p w14:paraId="7E455FCB"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b/>
                <w:bCs/>
                <w:noProof/>
                <w:sz w:val="18"/>
                <w:szCs w:val="20"/>
              </w:rPr>
            </w:pPr>
            <w:r w:rsidRPr="008C5D88">
              <w:rPr>
                <w:rFonts w:ascii="Times New Roman" w:hAnsi="Times New Roman"/>
                <w:b/>
                <w:sz w:val="18"/>
                <w:szCs w:val="20"/>
              </w:rPr>
              <w:t>5.2.1.r. Augstākās izglītības un zinātnes izcilības un pārvaldības reforma</w:t>
            </w:r>
          </w:p>
        </w:tc>
        <w:tc>
          <w:tcPr>
            <w:tcW w:w="265" w:type="pct"/>
            <w:tcBorders>
              <w:top w:val="single" w:sz="4" w:space="0" w:color="auto"/>
              <w:left w:val="nil"/>
              <w:bottom w:val="single" w:sz="4" w:space="0" w:color="auto"/>
              <w:right w:val="single" w:sz="4" w:space="0" w:color="auto"/>
            </w:tcBorders>
            <w:shd w:val="clear" w:color="auto" w:fill="C6EFCE"/>
            <w:hideMark/>
          </w:tcPr>
          <w:p w14:paraId="4678FCF6"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Mērķis</w:t>
            </w:r>
          </w:p>
        </w:tc>
        <w:tc>
          <w:tcPr>
            <w:tcW w:w="329" w:type="pct"/>
            <w:tcBorders>
              <w:top w:val="single" w:sz="4" w:space="0" w:color="auto"/>
              <w:left w:val="nil"/>
              <w:bottom w:val="single" w:sz="4" w:space="0" w:color="auto"/>
              <w:right w:val="single" w:sz="4" w:space="0" w:color="auto"/>
            </w:tcBorders>
            <w:shd w:val="clear" w:color="auto" w:fill="C6EFCE"/>
            <w:hideMark/>
          </w:tcPr>
          <w:p w14:paraId="2A8D39EB"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 xml:space="preserve">To valsts augstākās izglītības iestāžu īpatsvars, kuras skar pārvaldības izmaiņas </w:t>
            </w:r>
          </w:p>
        </w:tc>
        <w:tc>
          <w:tcPr>
            <w:tcW w:w="376" w:type="pct"/>
            <w:tcBorders>
              <w:top w:val="single" w:sz="4" w:space="0" w:color="auto"/>
              <w:left w:val="nil"/>
              <w:bottom w:val="single" w:sz="4" w:space="0" w:color="auto"/>
              <w:right w:val="single" w:sz="4" w:space="0" w:color="auto"/>
            </w:tcBorders>
            <w:shd w:val="clear" w:color="auto" w:fill="C6EFCE"/>
            <w:hideMark/>
          </w:tcPr>
          <w:p w14:paraId="06F3A9F7"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Izmaiņas ir ieviestas 100 % valsts augstākās izglītības iestāžu atbilstoši grozījumiem Augstskolu likumā un ar tiem saistītajos Ministru kabineta noteikumos</w:t>
            </w:r>
          </w:p>
        </w:tc>
        <w:tc>
          <w:tcPr>
            <w:tcW w:w="236" w:type="pct"/>
            <w:tcBorders>
              <w:top w:val="single" w:sz="4" w:space="0" w:color="auto"/>
              <w:left w:val="nil"/>
              <w:bottom w:val="single" w:sz="4" w:space="0" w:color="auto"/>
              <w:right w:val="single" w:sz="4" w:space="0" w:color="auto"/>
            </w:tcBorders>
            <w:shd w:val="clear" w:color="auto" w:fill="C6EFCE"/>
            <w:hideMark/>
          </w:tcPr>
          <w:p w14:paraId="4CCC280B"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w:t>
            </w:r>
          </w:p>
        </w:tc>
        <w:tc>
          <w:tcPr>
            <w:tcW w:w="247" w:type="pct"/>
            <w:tcBorders>
              <w:top w:val="single" w:sz="4" w:space="0" w:color="auto"/>
              <w:left w:val="nil"/>
              <w:bottom w:val="single" w:sz="4" w:space="0" w:color="auto"/>
              <w:right w:val="single" w:sz="4" w:space="0" w:color="auto"/>
            </w:tcBorders>
            <w:shd w:val="clear" w:color="auto" w:fill="C6EFCE"/>
            <w:hideMark/>
          </w:tcPr>
          <w:p w14:paraId="4F291A7E"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0</w:t>
            </w:r>
          </w:p>
        </w:tc>
        <w:tc>
          <w:tcPr>
            <w:tcW w:w="265" w:type="pct"/>
            <w:tcBorders>
              <w:top w:val="single" w:sz="4" w:space="0" w:color="auto"/>
              <w:left w:val="nil"/>
              <w:bottom w:val="single" w:sz="4" w:space="0" w:color="auto"/>
              <w:right w:val="single" w:sz="4" w:space="0" w:color="auto"/>
            </w:tcBorders>
            <w:shd w:val="clear" w:color="auto" w:fill="C6EFCE"/>
            <w:hideMark/>
          </w:tcPr>
          <w:p w14:paraId="76EA2E35"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100</w:t>
            </w:r>
          </w:p>
        </w:tc>
        <w:tc>
          <w:tcPr>
            <w:tcW w:w="143" w:type="pct"/>
            <w:tcBorders>
              <w:top w:val="single" w:sz="4" w:space="0" w:color="auto"/>
              <w:left w:val="nil"/>
              <w:bottom w:val="single" w:sz="4" w:space="0" w:color="auto"/>
              <w:right w:val="single" w:sz="4" w:space="0" w:color="auto"/>
            </w:tcBorders>
            <w:shd w:val="clear" w:color="auto" w:fill="C6EFCE"/>
            <w:hideMark/>
          </w:tcPr>
          <w:p w14:paraId="10FBB0AD"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3. cet.</w:t>
            </w:r>
          </w:p>
        </w:tc>
        <w:tc>
          <w:tcPr>
            <w:tcW w:w="190" w:type="pct"/>
            <w:tcBorders>
              <w:top w:val="single" w:sz="4" w:space="0" w:color="auto"/>
              <w:left w:val="nil"/>
              <w:bottom w:val="single" w:sz="4" w:space="0" w:color="auto"/>
              <w:right w:val="single" w:sz="4" w:space="0" w:color="auto"/>
            </w:tcBorders>
            <w:shd w:val="clear" w:color="auto" w:fill="C6EFCE"/>
            <w:hideMark/>
          </w:tcPr>
          <w:p w14:paraId="22B5956C"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2026</w:t>
            </w:r>
          </w:p>
        </w:tc>
        <w:tc>
          <w:tcPr>
            <w:tcW w:w="411" w:type="pct"/>
            <w:tcBorders>
              <w:top w:val="single" w:sz="4" w:space="0" w:color="auto"/>
              <w:left w:val="single" w:sz="4" w:space="0" w:color="auto"/>
              <w:bottom w:val="single" w:sz="4" w:space="0" w:color="auto"/>
              <w:right w:val="single" w:sz="4" w:space="0" w:color="auto"/>
            </w:tcBorders>
            <w:shd w:val="clear" w:color="auto" w:fill="C6EFCE"/>
          </w:tcPr>
          <w:p w14:paraId="2B320908" w14:textId="77777777" w:rsidR="001A3E6F" w:rsidRPr="008C5D88" w:rsidRDefault="001A3E6F" w:rsidP="00A116F8">
            <w:pPr>
              <w:widowControl w:val="0"/>
              <w:spacing w:after="0" w:line="240" w:lineRule="auto"/>
              <w:ind w:left="57" w:right="57"/>
              <w:jc w:val="both"/>
              <w:rPr>
                <w:rFonts w:ascii="Times New Roman" w:hAnsi="Times New Roman" w:cs="Calibri"/>
                <w:noProof/>
                <w:sz w:val="18"/>
                <w:szCs w:val="20"/>
              </w:rPr>
            </w:pPr>
            <w:r w:rsidRPr="008C5D88">
              <w:rPr>
                <w:rFonts w:ascii="Times New Roman" w:hAnsi="Times New Roman"/>
                <w:sz w:val="18"/>
                <w:szCs w:val="20"/>
              </w:rPr>
              <w:t>Izglītības un zinātnes ministrija</w:t>
            </w:r>
          </w:p>
        </w:tc>
        <w:tc>
          <w:tcPr>
            <w:tcW w:w="367" w:type="pct"/>
            <w:tcBorders>
              <w:top w:val="single" w:sz="4" w:space="0" w:color="auto"/>
              <w:left w:val="single" w:sz="4" w:space="0" w:color="auto"/>
              <w:bottom w:val="single" w:sz="4" w:space="0" w:color="auto"/>
              <w:right w:val="single" w:sz="4" w:space="0" w:color="auto"/>
            </w:tcBorders>
            <w:shd w:val="clear" w:color="auto" w:fill="C6EFCE"/>
          </w:tcPr>
          <w:p w14:paraId="3991459C"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lang w:eastAsia="en-GB"/>
              </w:rPr>
            </w:pPr>
          </w:p>
        </w:tc>
        <w:tc>
          <w:tcPr>
            <w:tcW w:w="815" w:type="pct"/>
            <w:tcBorders>
              <w:top w:val="single" w:sz="4" w:space="0" w:color="auto"/>
              <w:left w:val="single" w:sz="4" w:space="0" w:color="auto"/>
              <w:bottom w:val="single" w:sz="4" w:space="0" w:color="auto"/>
              <w:right w:val="single" w:sz="4" w:space="0" w:color="auto"/>
            </w:tcBorders>
            <w:shd w:val="clear" w:color="auto" w:fill="C6EFCE"/>
          </w:tcPr>
          <w:p w14:paraId="15283303" w14:textId="77777777" w:rsidR="001A3E6F" w:rsidRPr="008C5D88" w:rsidRDefault="001A3E6F" w:rsidP="00A116F8">
            <w:pPr>
              <w:widowControl w:val="0"/>
              <w:spacing w:after="0" w:line="240" w:lineRule="auto"/>
              <w:ind w:left="57" w:right="57"/>
              <w:rPr>
                <w:rFonts w:ascii="Times New Roman" w:hAnsi="Times New Roman" w:cs="Calibri"/>
                <w:noProof/>
                <w:sz w:val="18"/>
                <w:szCs w:val="20"/>
              </w:rPr>
            </w:pPr>
            <w:r w:rsidRPr="008C5D88">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4239BC8D" w14:textId="77777777" w:rsidR="001A3E6F" w:rsidRPr="008C5D88" w:rsidRDefault="001A3E6F" w:rsidP="00A116F8">
            <w:pPr>
              <w:widowControl w:val="0"/>
              <w:spacing w:after="0" w:line="240" w:lineRule="auto"/>
              <w:ind w:left="57" w:right="57"/>
              <w:rPr>
                <w:rFonts w:ascii="Times New Roman" w:hAnsi="Times New Roman" w:cs="Calibri"/>
                <w:noProof/>
                <w:sz w:val="18"/>
                <w:szCs w:val="20"/>
              </w:rPr>
            </w:pPr>
            <w:r w:rsidRPr="008C5D88">
              <w:rPr>
                <w:rFonts w:ascii="Times New Roman" w:hAnsi="Times New Roman"/>
                <w:sz w:val="18"/>
                <w:szCs w:val="20"/>
              </w:rPr>
              <w:t xml:space="preserve">Šā dokumenta pielikumā iekļauj saiti uz visu valsts augstākās izglītības iestāžu </w:t>
            </w:r>
            <w:r w:rsidRPr="008C5D88">
              <w:rPr>
                <w:rFonts w:ascii="Times New Roman" w:hAnsi="Times New Roman"/>
                <w:sz w:val="18"/>
                <w:szCs w:val="20"/>
              </w:rPr>
              <w:lastRenderedPageBreak/>
              <w:t>grozītajiem statūtiem un citiem iekšējiem normatīvajiem aktiem, un mērķa prasību izpildes pamatojošo dokumentāciju.</w:t>
            </w:r>
          </w:p>
        </w:tc>
        <w:tc>
          <w:tcPr>
            <w:tcW w:w="883" w:type="pct"/>
            <w:tcBorders>
              <w:top w:val="single" w:sz="4" w:space="0" w:color="auto"/>
              <w:left w:val="single" w:sz="4" w:space="0" w:color="auto"/>
              <w:bottom w:val="single" w:sz="4" w:space="0" w:color="auto"/>
              <w:right w:val="single" w:sz="4" w:space="0" w:color="auto"/>
            </w:tcBorders>
            <w:shd w:val="clear" w:color="auto" w:fill="C6EFCE"/>
            <w:hideMark/>
          </w:tcPr>
          <w:p w14:paraId="3C034B7C"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lastRenderedPageBreak/>
              <w:t>Jauno pārvaldības modeli ir ieviesuši 100 % valsts augstākās izglītības iestāžu, tostarp:</w:t>
            </w:r>
          </w:p>
          <w:p w14:paraId="65739ADA"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 ir atbilstoši grozīti statūti un citi iekšējie normatīvie akti;</w:t>
            </w:r>
          </w:p>
          <w:p w14:paraId="1F088FFD"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 xml:space="preserve">- iekšējās pārvaldības struktūras (senāts, padome, rektors) darbojas atbilstoši jaunajam pienākumu un kompetenču </w:t>
            </w:r>
            <w:r w:rsidRPr="008C5D88">
              <w:rPr>
                <w:rFonts w:ascii="Times New Roman" w:hAnsi="Times New Roman"/>
                <w:sz w:val="18"/>
                <w:szCs w:val="20"/>
              </w:rPr>
              <w:lastRenderedPageBreak/>
              <w:t>sadalījumam;</w:t>
            </w:r>
          </w:p>
          <w:p w14:paraId="26889AE1"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 rektora ievēlēšanas kritēriji ir pārskatīti saskaņā ar likumu;</w:t>
            </w:r>
          </w:p>
          <w:p w14:paraId="61AA6588"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 iecelta vadības grupa, kas nošķir akadēmisko lēmumu pieņemšanu no stratēģisko lēmumu pieņemšanas.</w:t>
            </w:r>
          </w:p>
        </w:tc>
      </w:tr>
      <w:tr w:rsidR="001A3E6F" w:rsidRPr="008C5D88" w14:paraId="2F03E0EF" w14:textId="77777777" w:rsidTr="009E7D55">
        <w:trPr>
          <w:jc w:val="center"/>
        </w:trPr>
        <w:tc>
          <w:tcPr>
            <w:tcW w:w="148" w:type="pct"/>
            <w:tcBorders>
              <w:top w:val="single" w:sz="4" w:space="0" w:color="auto"/>
              <w:left w:val="single" w:sz="4" w:space="0" w:color="auto"/>
              <w:bottom w:val="single" w:sz="4" w:space="0" w:color="auto"/>
              <w:right w:val="single" w:sz="4" w:space="0" w:color="auto"/>
            </w:tcBorders>
            <w:shd w:val="clear" w:color="auto" w:fill="C6EFCE"/>
            <w:hideMark/>
          </w:tcPr>
          <w:p w14:paraId="3AFA41EC"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lastRenderedPageBreak/>
              <w:t>163</w:t>
            </w:r>
          </w:p>
        </w:tc>
        <w:tc>
          <w:tcPr>
            <w:tcW w:w="325" w:type="pct"/>
            <w:tcBorders>
              <w:top w:val="single" w:sz="4" w:space="0" w:color="auto"/>
              <w:left w:val="single" w:sz="4" w:space="0" w:color="auto"/>
              <w:bottom w:val="single" w:sz="4" w:space="0" w:color="auto"/>
              <w:right w:val="single" w:sz="4" w:space="0" w:color="auto"/>
            </w:tcBorders>
            <w:shd w:val="clear" w:color="auto" w:fill="C6EFCE"/>
            <w:hideMark/>
          </w:tcPr>
          <w:p w14:paraId="2DBFCC2F"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b/>
                <w:bCs/>
                <w:noProof/>
                <w:sz w:val="18"/>
                <w:szCs w:val="20"/>
              </w:rPr>
            </w:pPr>
            <w:r w:rsidRPr="008C5D88">
              <w:rPr>
                <w:rFonts w:ascii="Times New Roman" w:hAnsi="Times New Roman"/>
                <w:b/>
                <w:sz w:val="18"/>
                <w:szCs w:val="20"/>
              </w:rPr>
              <w:t>5.2.1.1.i. Pētniecības, attīstības un konsolidācijas granti</w:t>
            </w:r>
          </w:p>
        </w:tc>
        <w:tc>
          <w:tcPr>
            <w:tcW w:w="265" w:type="pct"/>
            <w:tcBorders>
              <w:top w:val="single" w:sz="4" w:space="0" w:color="auto"/>
              <w:left w:val="single" w:sz="4" w:space="0" w:color="auto"/>
              <w:bottom w:val="single" w:sz="4" w:space="0" w:color="auto"/>
              <w:right w:val="single" w:sz="4" w:space="0" w:color="auto"/>
            </w:tcBorders>
            <w:shd w:val="clear" w:color="auto" w:fill="C6EFCE"/>
            <w:hideMark/>
          </w:tcPr>
          <w:p w14:paraId="3208EB8F"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Mērķis</w:t>
            </w:r>
          </w:p>
        </w:tc>
        <w:tc>
          <w:tcPr>
            <w:tcW w:w="329" w:type="pct"/>
            <w:tcBorders>
              <w:top w:val="single" w:sz="4" w:space="0" w:color="auto"/>
              <w:left w:val="single" w:sz="4" w:space="0" w:color="auto"/>
              <w:bottom w:val="single" w:sz="4" w:space="0" w:color="auto"/>
              <w:right w:val="single" w:sz="4" w:space="0" w:color="auto"/>
            </w:tcBorders>
            <w:shd w:val="clear" w:color="auto" w:fill="C6EFCE"/>
            <w:hideMark/>
          </w:tcPr>
          <w:p w14:paraId="1B41A78A"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Konsolidācijas granti</w:t>
            </w:r>
          </w:p>
        </w:tc>
        <w:tc>
          <w:tcPr>
            <w:tcW w:w="376" w:type="pct"/>
            <w:tcBorders>
              <w:top w:val="single" w:sz="4" w:space="0" w:color="auto"/>
              <w:left w:val="single" w:sz="4" w:space="0" w:color="auto"/>
              <w:bottom w:val="single" w:sz="4" w:space="0" w:color="auto"/>
              <w:right w:val="single" w:sz="4" w:space="0" w:color="auto"/>
            </w:tcBorders>
            <w:shd w:val="clear" w:color="auto" w:fill="C6EFCE"/>
            <w:hideMark/>
          </w:tcPr>
          <w:p w14:paraId="40C523C3"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Neattiecas</w:t>
            </w:r>
          </w:p>
        </w:tc>
        <w:tc>
          <w:tcPr>
            <w:tcW w:w="236" w:type="pct"/>
            <w:tcBorders>
              <w:top w:val="single" w:sz="4" w:space="0" w:color="auto"/>
              <w:left w:val="single" w:sz="4" w:space="0" w:color="auto"/>
              <w:bottom w:val="single" w:sz="4" w:space="0" w:color="auto"/>
              <w:right w:val="single" w:sz="4" w:space="0" w:color="auto"/>
            </w:tcBorders>
            <w:shd w:val="clear" w:color="auto" w:fill="C6EFCE"/>
            <w:hideMark/>
          </w:tcPr>
          <w:p w14:paraId="65F9C661"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Noslēgto konsolidācijas grantu līgumu skaits</w:t>
            </w:r>
          </w:p>
        </w:tc>
        <w:tc>
          <w:tcPr>
            <w:tcW w:w="247" w:type="pct"/>
            <w:tcBorders>
              <w:top w:val="single" w:sz="4" w:space="0" w:color="auto"/>
              <w:left w:val="single" w:sz="4" w:space="0" w:color="auto"/>
              <w:bottom w:val="single" w:sz="4" w:space="0" w:color="auto"/>
              <w:right w:val="single" w:sz="4" w:space="0" w:color="auto"/>
            </w:tcBorders>
            <w:shd w:val="clear" w:color="auto" w:fill="C6EFCE"/>
            <w:hideMark/>
          </w:tcPr>
          <w:p w14:paraId="3A3C6F93"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0</w:t>
            </w:r>
          </w:p>
        </w:tc>
        <w:tc>
          <w:tcPr>
            <w:tcW w:w="265" w:type="pct"/>
            <w:tcBorders>
              <w:top w:val="single" w:sz="4" w:space="0" w:color="auto"/>
              <w:left w:val="single" w:sz="4" w:space="0" w:color="auto"/>
              <w:bottom w:val="single" w:sz="4" w:space="0" w:color="auto"/>
              <w:right w:val="single" w:sz="4" w:space="0" w:color="auto"/>
            </w:tcBorders>
            <w:shd w:val="clear" w:color="auto" w:fill="C6EFCE"/>
            <w:hideMark/>
          </w:tcPr>
          <w:p w14:paraId="3B91294D"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4</w:t>
            </w:r>
          </w:p>
        </w:tc>
        <w:tc>
          <w:tcPr>
            <w:tcW w:w="143" w:type="pct"/>
            <w:tcBorders>
              <w:top w:val="single" w:sz="4" w:space="0" w:color="auto"/>
              <w:left w:val="single" w:sz="4" w:space="0" w:color="auto"/>
              <w:bottom w:val="single" w:sz="4" w:space="0" w:color="auto"/>
              <w:right w:val="single" w:sz="4" w:space="0" w:color="auto"/>
            </w:tcBorders>
            <w:shd w:val="clear" w:color="auto" w:fill="C6EFCE"/>
            <w:hideMark/>
          </w:tcPr>
          <w:p w14:paraId="4AEA5314"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3. cet.</w:t>
            </w:r>
          </w:p>
        </w:tc>
        <w:tc>
          <w:tcPr>
            <w:tcW w:w="190" w:type="pct"/>
            <w:tcBorders>
              <w:top w:val="single" w:sz="4" w:space="0" w:color="auto"/>
              <w:left w:val="single" w:sz="4" w:space="0" w:color="auto"/>
              <w:bottom w:val="single" w:sz="4" w:space="0" w:color="auto"/>
              <w:right w:val="single" w:sz="4" w:space="0" w:color="auto"/>
            </w:tcBorders>
            <w:shd w:val="clear" w:color="auto" w:fill="C6EFCE"/>
            <w:hideMark/>
          </w:tcPr>
          <w:p w14:paraId="1A81F385"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2026</w:t>
            </w:r>
          </w:p>
        </w:tc>
        <w:tc>
          <w:tcPr>
            <w:tcW w:w="411" w:type="pct"/>
            <w:tcBorders>
              <w:top w:val="single" w:sz="4" w:space="0" w:color="auto"/>
              <w:left w:val="single" w:sz="4" w:space="0" w:color="auto"/>
              <w:bottom w:val="single" w:sz="4" w:space="0" w:color="auto"/>
              <w:right w:val="single" w:sz="4" w:space="0" w:color="auto"/>
            </w:tcBorders>
            <w:shd w:val="clear" w:color="auto" w:fill="C6EFCE"/>
          </w:tcPr>
          <w:p w14:paraId="0667F336" w14:textId="77777777" w:rsidR="001A3E6F" w:rsidRPr="008C5D88" w:rsidRDefault="001A3E6F" w:rsidP="00A116F8">
            <w:pPr>
              <w:widowControl w:val="0"/>
              <w:spacing w:after="0" w:line="240" w:lineRule="auto"/>
              <w:ind w:left="57" w:right="57"/>
              <w:jc w:val="both"/>
              <w:rPr>
                <w:rFonts w:ascii="Times New Roman" w:hAnsi="Times New Roman" w:cs="Calibri"/>
                <w:noProof/>
                <w:sz w:val="18"/>
                <w:szCs w:val="20"/>
              </w:rPr>
            </w:pPr>
            <w:r w:rsidRPr="008C5D88">
              <w:rPr>
                <w:rFonts w:ascii="Times New Roman" w:hAnsi="Times New Roman"/>
                <w:sz w:val="18"/>
                <w:szCs w:val="20"/>
              </w:rPr>
              <w:t>Izglītības un zinātnes ministrija</w:t>
            </w:r>
          </w:p>
        </w:tc>
        <w:tc>
          <w:tcPr>
            <w:tcW w:w="367" w:type="pct"/>
            <w:tcBorders>
              <w:top w:val="single" w:sz="4" w:space="0" w:color="auto"/>
              <w:left w:val="single" w:sz="4" w:space="0" w:color="auto"/>
              <w:bottom w:val="single" w:sz="4" w:space="0" w:color="auto"/>
              <w:right w:val="single" w:sz="4" w:space="0" w:color="auto"/>
            </w:tcBorders>
            <w:shd w:val="clear" w:color="auto" w:fill="C6EFCE"/>
          </w:tcPr>
          <w:p w14:paraId="5CEA1371"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lang w:eastAsia="en-GB"/>
              </w:rPr>
            </w:pPr>
          </w:p>
        </w:tc>
        <w:tc>
          <w:tcPr>
            <w:tcW w:w="815" w:type="pct"/>
            <w:tcBorders>
              <w:top w:val="single" w:sz="4" w:space="0" w:color="auto"/>
              <w:left w:val="single" w:sz="4" w:space="0" w:color="auto"/>
              <w:bottom w:val="single" w:sz="4" w:space="0" w:color="auto"/>
              <w:right w:val="single" w:sz="4" w:space="0" w:color="auto"/>
            </w:tcBorders>
            <w:shd w:val="clear" w:color="auto" w:fill="C6EFCE"/>
          </w:tcPr>
          <w:p w14:paraId="1AF8B211" w14:textId="77777777" w:rsidR="001A3E6F" w:rsidRPr="008C5D88" w:rsidRDefault="001A3E6F" w:rsidP="00A116F8">
            <w:pPr>
              <w:widowControl w:val="0"/>
              <w:spacing w:after="0" w:line="240" w:lineRule="auto"/>
              <w:ind w:left="57" w:right="57"/>
              <w:rPr>
                <w:rFonts w:ascii="Times New Roman" w:hAnsi="Times New Roman" w:cs="Calibri"/>
                <w:noProof/>
                <w:sz w:val="18"/>
                <w:szCs w:val="20"/>
              </w:rPr>
            </w:pPr>
            <w:r w:rsidRPr="008C5D88">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51D3EBC0" w14:textId="77777777" w:rsidR="001A3E6F" w:rsidRPr="008C5D88" w:rsidRDefault="001A3E6F" w:rsidP="00A116F8">
            <w:pPr>
              <w:widowControl w:val="0"/>
              <w:spacing w:after="0" w:line="240" w:lineRule="auto"/>
              <w:ind w:left="57" w:right="57"/>
              <w:rPr>
                <w:rFonts w:ascii="Times New Roman" w:hAnsi="Times New Roman"/>
                <w:noProof/>
                <w:sz w:val="18"/>
                <w:szCs w:val="20"/>
              </w:rPr>
            </w:pPr>
            <w:r w:rsidRPr="008C5D88">
              <w:rPr>
                <w:rFonts w:ascii="Times New Roman" w:hAnsi="Times New Roman"/>
                <w:sz w:val="18"/>
                <w:szCs w:val="20"/>
              </w:rPr>
              <w:t xml:space="preserve">Tam pielikumā pievienotas </w:t>
            </w:r>
            <w:r w:rsidRPr="008C5D88">
              <w:rPr>
                <w:rFonts w:ascii="Times New Roman" w:hAnsi="Times New Roman"/>
                <w:sz w:val="18"/>
                <w:szCs w:val="20"/>
              </w:rPr>
              <w:lastRenderedPageBreak/>
              <w:t>kopijas četriem konsolidācijas grantu līgumiem ar atbalsta saņēmējiem.</w:t>
            </w:r>
          </w:p>
        </w:tc>
        <w:tc>
          <w:tcPr>
            <w:tcW w:w="883" w:type="pct"/>
            <w:tcBorders>
              <w:top w:val="single" w:sz="4" w:space="0" w:color="auto"/>
              <w:left w:val="single" w:sz="4" w:space="0" w:color="auto"/>
              <w:bottom w:val="single" w:sz="4" w:space="0" w:color="auto"/>
              <w:right w:val="single" w:sz="4" w:space="0" w:color="auto"/>
            </w:tcBorders>
            <w:shd w:val="clear" w:color="auto" w:fill="C6EFCE"/>
            <w:hideMark/>
          </w:tcPr>
          <w:p w14:paraId="4A07F9B8"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lastRenderedPageBreak/>
              <w:t>Ieviesti četri konsolidācijas plāni, kas nodrošina, ka konsolidācijas mērķi tiek sasniegti atbilstoši konsolidācijas un pārvaldības izmaiņu grantu īstenošanas nosacījumiem.</w:t>
            </w:r>
          </w:p>
        </w:tc>
      </w:tr>
      <w:tr w:rsidR="001A3E6F" w:rsidRPr="008C5D88" w14:paraId="5130FECA" w14:textId="77777777" w:rsidTr="009E7D55">
        <w:trPr>
          <w:jc w:val="center"/>
        </w:trPr>
        <w:tc>
          <w:tcPr>
            <w:tcW w:w="148" w:type="pct"/>
            <w:tcBorders>
              <w:top w:val="single" w:sz="4" w:space="0" w:color="auto"/>
              <w:left w:val="single" w:sz="4" w:space="0" w:color="auto"/>
              <w:bottom w:val="single" w:sz="4" w:space="0" w:color="auto"/>
              <w:right w:val="single" w:sz="4" w:space="0" w:color="auto"/>
            </w:tcBorders>
            <w:shd w:val="clear" w:color="auto" w:fill="C6EFCE"/>
            <w:hideMark/>
          </w:tcPr>
          <w:p w14:paraId="42D9098A"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164</w:t>
            </w:r>
          </w:p>
        </w:tc>
        <w:tc>
          <w:tcPr>
            <w:tcW w:w="325" w:type="pct"/>
            <w:tcBorders>
              <w:top w:val="single" w:sz="4" w:space="0" w:color="auto"/>
              <w:left w:val="single" w:sz="4" w:space="0" w:color="auto"/>
              <w:bottom w:val="single" w:sz="4" w:space="0" w:color="auto"/>
              <w:right w:val="single" w:sz="4" w:space="0" w:color="auto"/>
            </w:tcBorders>
            <w:shd w:val="clear" w:color="auto" w:fill="C6EFCE"/>
            <w:hideMark/>
          </w:tcPr>
          <w:p w14:paraId="1B4FCF5F"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b/>
                <w:bCs/>
                <w:noProof/>
                <w:sz w:val="18"/>
                <w:szCs w:val="20"/>
              </w:rPr>
            </w:pPr>
            <w:r w:rsidRPr="008C5D88">
              <w:rPr>
                <w:rFonts w:ascii="Times New Roman" w:hAnsi="Times New Roman"/>
                <w:b/>
                <w:sz w:val="18"/>
                <w:szCs w:val="20"/>
              </w:rPr>
              <w:t>5.2.1.1.i. Pētniecības, attīstības un konsolidācijas granti</w:t>
            </w:r>
          </w:p>
        </w:tc>
        <w:tc>
          <w:tcPr>
            <w:tcW w:w="265" w:type="pct"/>
            <w:tcBorders>
              <w:top w:val="single" w:sz="4" w:space="0" w:color="auto"/>
              <w:left w:val="single" w:sz="4" w:space="0" w:color="auto"/>
              <w:bottom w:val="single" w:sz="4" w:space="0" w:color="auto"/>
              <w:right w:val="single" w:sz="4" w:space="0" w:color="auto"/>
            </w:tcBorders>
            <w:shd w:val="clear" w:color="auto" w:fill="C6EFCE"/>
            <w:hideMark/>
          </w:tcPr>
          <w:p w14:paraId="5FD339FD"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Mērķis</w:t>
            </w:r>
          </w:p>
        </w:tc>
        <w:tc>
          <w:tcPr>
            <w:tcW w:w="329" w:type="pct"/>
            <w:tcBorders>
              <w:top w:val="single" w:sz="4" w:space="0" w:color="auto"/>
              <w:left w:val="single" w:sz="4" w:space="0" w:color="auto"/>
              <w:bottom w:val="single" w:sz="4" w:space="0" w:color="auto"/>
              <w:right w:val="single" w:sz="4" w:space="0" w:color="auto"/>
            </w:tcBorders>
            <w:shd w:val="clear" w:color="auto" w:fill="C6EFCE"/>
            <w:hideMark/>
          </w:tcPr>
          <w:p w14:paraId="45648DE1"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Parakstīti akadēmiskās karjeras grantu līgumi</w:t>
            </w:r>
          </w:p>
        </w:tc>
        <w:tc>
          <w:tcPr>
            <w:tcW w:w="376" w:type="pct"/>
            <w:tcBorders>
              <w:top w:val="single" w:sz="4" w:space="0" w:color="auto"/>
              <w:left w:val="single" w:sz="4" w:space="0" w:color="auto"/>
              <w:bottom w:val="single" w:sz="4" w:space="0" w:color="auto"/>
              <w:right w:val="single" w:sz="4" w:space="0" w:color="auto"/>
            </w:tcBorders>
            <w:shd w:val="clear" w:color="auto" w:fill="C6EFCE"/>
            <w:hideMark/>
          </w:tcPr>
          <w:p w14:paraId="3DA3CAF4"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Neattiecas</w:t>
            </w:r>
          </w:p>
        </w:tc>
        <w:tc>
          <w:tcPr>
            <w:tcW w:w="236" w:type="pct"/>
            <w:tcBorders>
              <w:top w:val="single" w:sz="4" w:space="0" w:color="auto"/>
              <w:left w:val="single" w:sz="4" w:space="0" w:color="auto"/>
              <w:bottom w:val="single" w:sz="4" w:space="0" w:color="auto"/>
              <w:right w:val="single" w:sz="4" w:space="0" w:color="auto"/>
            </w:tcBorders>
            <w:shd w:val="clear" w:color="auto" w:fill="C6EFCE"/>
            <w:hideMark/>
          </w:tcPr>
          <w:p w14:paraId="4FADC0CA"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Parakstīto akadēmiskās karjeras grantu līgumu skaits</w:t>
            </w:r>
          </w:p>
        </w:tc>
        <w:tc>
          <w:tcPr>
            <w:tcW w:w="247" w:type="pct"/>
            <w:tcBorders>
              <w:top w:val="single" w:sz="4" w:space="0" w:color="auto"/>
              <w:left w:val="single" w:sz="4" w:space="0" w:color="auto"/>
              <w:bottom w:val="single" w:sz="4" w:space="0" w:color="auto"/>
              <w:right w:val="single" w:sz="4" w:space="0" w:color="auto"/>
            </w:tcBorders>
            <w:shd w:val="clear" w:color="auto" w:fill="C6EFCE"/>
            <w:hideMark/>
          </w:tcPr>
          <w:p w14:paraId="57C9F087"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0</w:t>
            </w:r>
          </w:p>
        </w:tc>
        <w:tc>
          <w:tcPr>
            <w:tcW w:w="265" w:type="pct"/>
            <w:tcBorders>
              <w:top w:val="single" w:sz="4" w:space="0" w:color="auto"/>
              <w:left w:val="single" w:sz="4" w:space="0" w:color="auto"/>
              <w:bottom w:val="single" w:sz="4" w:space="0" w:color="auto"/>
              <w:right w:val="single" w:sz="4" w:space="0" w:color="auto"/>
            </w:tcBorders>
            <w:shd w:val="clear" w:color="auto" w:fill="C6EFCE"/>
            <w:hideMark/>
          </w:tcPr>
          <w:p w14:paraId="791D6180"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315</w:t>
            </w:r>
          </w:p>
        </w:tc>
        <w:tc>
          <w:tcPr>
            <w:tcW w:w="143" w:type="pct"/>
            <w:tcBorders>
              <w:top w:val="single" w:sz="4" w:space="0" w:color="auto"/>
              <w:left w:val="single" w:sz="4" w:space="0" w:color="auto"/>
              <w:bottom w:val="single" w:sz="4" w:space="0" w:color="auto"/>
              <w:right w:val="single" w:sz="4" w:space="0" w:color="auto"/>
            </w:tcBorders>
            <w:shd w:val="clear" w:color="auto" w:fill="C6EFCE"/>
            <w:hideMark/>
          </w:tcPr>
          <w:p w14:paraId="7732725E"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3. cet.</w:t>
            </w:r>
          </w:p>
        </w:tc>
        <w:tc>
          <w:tcPr>
            <w:tcW w:w="190" w:type="pct"/>
            <w:tcBorders>
              <w:top w:val="single" w:sz="4" w:space="0" w:color="auto"/>
              <w:left w:val="single" w:sz="4" w:space="0" w:color="auto"/>
              <w:bottom w:val="single" w:sz="4" w:space="0" w:color="auto"/>
              <w:right w:val="single" w:sz="4" w:space="0" w:color="auto"/>
            </w:tcBorders>
            <w:shd w:val="clear" w:color="auto" w:fill="C6EFCE"/>
            <w:hideMark/>
          </w:tcPr>
          <w:p w14:paraId="655A7E8D"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2026</w:t>
            </w:r>
          </w:p>
        </w:tc>
        <w:tc>
          <w:tcPr>
            <w:tcW w:w="411" w:type="pct"/>
            <w:tcBorders>
              <w:top w:val="single" w:sz="4" w:space="0" w:color="auto"/>
              <w:left w:val="single" w:sz="4" w:space="0" w:color="auto"/>
              <w:bottom w:val="single" w:sz="4" w:space="0" w:color="auto"/>
              <w:right w:val="single" w:sz="4" w:space="0" w:color="auto"/>
            </w:tcBorders>
            <w:shd w:val="clear" w:color="auto" w:fill="C6EFCE"/>
          </w:tcPr>
          <w:p w14:paraId="5BB5D18B" w14:textId="77777777" w:rsidR="001A3E6F" w:rsidRPr="008C5D88" w:rsidRDefault="001A3E6F" w:rsidP="00A116F8">
            <w:pPr>
              <w:widowControl w:val="0"/>
              <w:spacing w:after="0" w:line="240" w:lineRule="auto"/>
              <w:ind w:left="57" w:right="57"/>
              <w:jc w:val="both"/>
              <w:rPr>
                <w:rFonts w:ascii="Times New Roman" w:hAnsi="Times New Roman" w:cs="Calibri"/>
                <w:noProof/>
                <w:sz w:val="18"/>
                <w:szCs w:val="20"/>
              </w:rPr>
            </w:pPr>
            <w:r w:rsidRPr="008C5D88">
              <w:rPr>
                <w:rFonts w:ascii="Times New Roman" w:hAnsi="Times New Roman"/>
                <w:sz w:val="18"/>
                <w:szCs w:val="20"/>
              </w:rPr>
              <w:t>Izglītības un zinātnes ministrija</w:t>
            </w:r>
          </w:p>
        </w:tc>
        <w:tc>
          <w:tcPr>
            <w:tcW w:w="367" w:type="pct"/>
            <w:tcBorders>
              <w:top w:val="single" w:sz="4" w:space="0" w:color="auto"/>
              <w:left w:val="single" w:sz="4" w:space="0" w:color="auto"/>
              <w:bottom w:val="single" w:sz="4" w:space="0" w:color="auto"/>
              <w:right w:val="single" w:sz="4" w:space="0" w:color="auto"/>
            </w:tcBorders>
            <w:shd w:val="clear" w:color="auto" w:fill="C6EFCE"/>
          </w:tcPr>
          <w:p w14:paraId="6934B808"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lang w:eastAsia="en-GB"/>
              </w:rPr>
            </w:pPr>
          </w:p>
        </w:tc>
        <w:tc>
          <w:tcPr>
            <w:tcW w:w="815" w:type="pct"/>
            <w:tcBorders>
              <w:top w:val="single" w:sz="4" w:space="0" w:color="auto"/>
              <w:left w:val="single" w:sz="4" w:space="0" w:color="auto"/>
              <w:bottom w:val="single" w:sz="4" w:space="0" w:color="auto"/>
              <w:right w:val="single" w:sz="4" w:space="0" w:color="auto"/>
            </w:tcBorders>
            <w:shd w:val="clear" w:color="auto" w:fill="C6EFCE"/>
          </w:tcPr>
          <w:p w14:paraId="2684F262" w14:textId="77777777" w:rsidR="001A3E6F" w:rsidRPr="008C5D88" w:rsidRDefault="001A3E6F" w:rsidP="00A116F8">
            <w:pPr>
              <w:widowControl w:val="0"/>
              <w:spacing w:after="0" w:line="240" w:lineRule="auto"/>
              <w:ind w:left="57" w:right="57"/>
              <w:rPr>
                <w:rFonts w:ascii="Times New Roman" w:hAnsi="Times New Roman" w:cs="Calibri"/>
                <w:noProof/>
                <w:sz w:val="18"/>
                <w:szCs w:val="20"/>
              </w:rPr>
            </w:pPr>
            <w:r w:rsidRPr="008C5D88">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55536D85" w14:textId="77777777" w:rsidR="001A3E6F" w:rsidRPr="008C5D88" w:rsidRDefault="001A3E6F" w:rsidP="00A116F8">
            <w:pPr>
              <w:widowControl w:val="0"/>
              <w:spacing w:after="0" w:line="240" w:lineRule="auto"/>
              <w:ind w:left="57" w:right="57"/>
              <w:rPr>
                <w:rFonts w:ascii="Times New Roman" w:hAnsi="Times New Roman" w:cs="Calibri"/>
                <w:noProof/>
                <w:sz w:val="18"/>
                <w:szCs w:val="20"/>
              </w:rPr>
            </w:pPr>
            <w:r w:rsidRPr="008C5D88">
              <w:rPr>
                <w:rFonts w:ascii="Times New Roman" w:hAnsi="Times New Roman"/>
                <w:sz w:val="18"/>
                <w:szCs w:val="20"/>
              </w:rPr>
              <w:t>Šā dokumenta pielikumā iekļauj sarakstu ar 315 grantu līgumiem, kas noslēgti ar doktorantiem, pēcdoktorantiem un pētniekiem.</w:t>
            </w:r>
          </w:p>
        </w:tc>
        <w:tc>
          <w:tcPr>
            <w:tcW w:w="883" w:type="pct"/>
            <w:tcBorders>
              <w:top w:val="single" w:sz="4" w:space="0" w:color="auto"/>
              <w:left w:val="single" w:sz="4" w:space="0" w:color="auto"/>
              <w:bottom w:val="single" w:sz="4" w:space="0" w:color="auto"/>
              <w:right w:val="single" w:sz="4" w:space="0" w:color="auto"/>
            </w:tcBorders>
            <w:shd w:val="clear" w:color="auto" w:fill="C6EFCE"/>
            <w:hideMark/>
          </w:tcPr>
          <w:p w14:paraId="7C9D71F0"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Augstākās izglītības iestādes vai zinātniskās pētniecības institūti ir parakstījuši 315 grantu līgumus ar doktorantiem, pēcdoktorantiem un pētniekiem (profesoriem) par vienu no šādiem pasākumiem:</w:t>
            </w:r>
          </w:p>
          <w:p w14:paraId="3F28F03C"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1) doktorantūras granti;</w:t>
            </w:r>
          </w:p>
          <w:p w14:paraId="209504F1"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2) pēcdoktorantūras granti;</w:t>
            </w:r>
          </w:p>
          <w:p w14:paraId="0FEB4E8C"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3) zinātniskie (profesoru) granti.</w:t>
            </w:r>
          </w:p>
        </w:tc>
      </w:tr>
      <w:tr w:rsidR="001A3E6F" w:rsidRPr="008C5D88" w14:paraId="011900E8" w14:textId="77777777" w:rsidTr="009E7D55">
        <w:trPr>
          <w:jc w:val="center"/>
        </w:trPr>
        <w:tc>
          <w:tcPr>
            <w:tcW w:w="148" w:type="pct"/>
            <w:tcBorders>
              <w:top w:val="single" w:sz="4" w:space="0" w:color="auto"/>
              <w:left w:val="single" w:sz="4" w:space="0" w:color="auto"/>
              <w:bottom w:val="single" w:sz="4" w:space="0" w:color="auto"/>
              <w:right w:val="single" w:sz="4" w:space="0" w:color="auto"/>
            </w:tcBorders>
            <w:shd w:val="clear" w:color="auto" w:fill="C6EFCE"/>
            <w:hideMark/>
          </w:tcPr>
          <w:p w14:paraId="5FAB727C"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lastRenderedPageBreak/>
              <w:t>165</w:t>
            </w:r>
          </w:p>
        </w:tc>
        <w:tc>
          <w:tcPr>
            <w:tcW w:w="325" w:type="pct"/>
            <w:tcBorders>
              <w:top w:val="single" w:sz="4" w:space="0" w:color="auto"/>
              <w:left w:val="single" w:sz="4" w:space="0" w:color="auto"/>
              <w:bottom w:val="single" w:sz="4" w:space="0" w:color="auto"/>
              <w:right w:val="single" w:sz="4" w:space="0" w:color="auto"/>
            </w:tcBorders>
            <w:shd w:val="clear" w:color="auto" w:fill="C6EFCE"/>
            <w:hideMark/>
          </w:tcPr>
          <w:p w14:paraId="4F53D67D"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b/>
                <w:bCs/>
                <w:noProof/>
                <w:sz w:val="18"/>
                <w:szCs w:val="20"/>
              </w:rPr>
            </w:pPr>
            <w:r w:rsidRPr="008C5D88">
              <w:rPr>
                <w:rFonts w:ascii="Times New Roman" w:hAnsi="Times New Roman"/>
                <w:b/>
                <w:sz w:val="18"/>
                <w:szCs w:val="20"/>
              </w:rPr>
              <w:t>5.2.1.1.i. Pētniecības, attīstības un konsolidācijas granti</w:t>
            </w:r>
          </w:p>
        </w:tc>
        <w:tc>
          <w:tcPr>
            <w:tcW w:w="265" w:type="pct"/>
            <w:tcBorders>
              <w:top w:val="single" w:sz="4" w:space="0" w:color="auto"/>
              <w:left w:val="single" w:sz="4" w:space="0" w:color="auto"/>
              <w:bottom w:val="single" w:sz="4" w:space="0" w:color="auto"/>
              <w:right w:val="single" w:sz="4" w:space="0" w:color="auto"/>
            </w:tcBorders>
            <w:shd w:val="clear" w:color="auto" w:fill="C6EFCE"/>
            <w:hideMark/>
          </w:tcPr>
          <w:p w14:paraId="5E585246"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Mērķis</w:t>
            </w:r>
          </w:p>
        </w:tc>
        <w:tc>
          <w:tcPr>
            <w:tcW w:w="329" w:type="pct"/>
            <w:tcBorders>
              <w:top w:val="single" w:sz="4" w:space="0" w:color="auto"/>
              <w:left w:val="single" w:sz="4" w:space="0" w:color="auto"/>
              <w:bottom w:val="single" w:sz="4" w:space="0" w:color="auto"/>
              <w:right w:val="single" w:sz="4" w:space="0" w:color="auto"/>
            </w:tcBorders>
            <w:shd w:val="clear" w:color="auto" w:fill="C6EFCE"/>
            <w:hideMark/>
          </w:tcPr>
          <w:p w14:paraId="7D59319A"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Parakstīti iekšējie pētniecības un izstrādes grantu līgumi</w:t>
            </w:r>
          </w:p>
        </w:tc>
        <w:tc>
          <w:tcPr>
            <w:tcW w:w="376" w:type="pct"/>
            <w:tcBorders>
              <w:top w:val="single" w:sz="4" w:space="0" w:color="auto"/>
              <w:left w:val="single" w:sz="4" w:space="0" w:color="auto"/>
              <w:bottom w:val="single" w:sz="4" w:space="0" w:color="auto"/>
              <w:right w:val="single" w:sz="4" w:space="0" w:color="auto"/>
            </w:tcBorders>
            <w:shd w:val="clear" w:color="auto" w:fill="C6EFCE"/>
            <w:hideMark/>
          </w:tcPr>
          <w:p w14:paraId="61D0C98B"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Neattiecas</w:t>
            </w:r>
          </w:p>
        </w:tc>
        <w:tc>
          <w:tcPr>
            <w:tcW w:w="236" w:type="pct"/>
            <w:tcBorders>
              <w:top w:val="single" w:sz="4" w:space="0" w:color="auto"/>
              <w:left w:val="single" w:sz="4" w:space="0" w:color="auto"/>
              <w:bottom w:val="single" w:sz="4" w:space="0" w:color="auto"/>
              <w:right w:val="single" w:sz="4" w:space="0" w:color="auto"/>
            </w:tcBorders>
            <w:shd w:val="clear" w:color="auto" w:fill="C6EFCE"/>
            <w:hideMark/>
          </w:tcPr>
          <w:p w14:paraId="21D0C937"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Parakstīto iekšējo pētniecības un izstrādes grantu līgumu skaits</w:t>
            </w:r>
          </w:p>
        </w:tc>
        <w:tc>
          <w:tcPr>
            <w:tcW w:w="247" w:type="pct"/>
            <w:tcBorders>
              <w:top w:val="single" w:sz="4" w:space="0" w:color="auto"/>
              <w:left w:val="single" w:sz="4" w:space="0" w:color="auto"/>
              <w:bottom w:val="single" w:sz="4" w:space="0" w:color="auto"/>
              <w:right w:val="single" w:sz="4" w:space="0" w:color="auto"/>
            </w:tcBorders>
            <w:shd w:val="clear" w:color="auto" w:fill="C6EFCE"/>
            <w:hideMark/>
          </w:tcPr>
          <w:p w14:paraId="61C41626"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0</w:t>
            </w:r>
          </w:p>
        </w:tc>
        <w:tc>
          <w:tcPr>
            <w:tcW w:w="265" w:type="pct"/>
            <w:tcBorders>
              <w:top w:val="single" w:sz="4" w:space="0" w:color="auto"/>
              <w:left w:val="single" w:sz="4" w:space="0" w:color="auto"/>
              <w:bottom w:val="single" w:sz="4" w:space="0" w:color="auto"/>
              <w:right w:val="single" w:sz="4" w:space="0" w:color="auto"/>
            </w:tcBorders>
            <w:shd w:val="clear" w:color="auto" w:fill="C6EFCE"/>
            <w:hideMark/>
          </w:tcPr>
          <w:p w14:paraId="3A92A179"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90</w:t>
            </w:r>
          </w:p>
        </w:tc>
        <w:tc>
          <w:tcPr>
            <w:tcW w:w="143" w:type="pct"/>
            <w:tcBorders>
              <w:top w:val="single" w:sz="4" w:space="0" w:color="auto"/>
              <w:left w:val="single" w:sz="4" w:space="0" w:color="auto"/>
              <w:bottom w:val="single" w:sz="4" w:space="0" w:color="auto"/>
              <w:right w:val="single" w:sz="4" w:space="0" w:color="auto"/>
            </w:tcBorders>
            <w:shd w:val="clear" w:color="auto" w:fill="C6EFCE"/>
            <w:hideMark/>
          </w:tcPr>
          <w:p w14:paraId="2649677D"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3. cet.</w:t>
            </w:r>
          </w:p>
        </w:tc>
        <w:tc>
          <w:tcPr>
            <w:tcW w:w="190" w:type="pct"/>
            <w:tcBorders>
              <w:top w:val="single" w:sz="4" w:space="0" w:color="auto"/>
              <w:left w:val="single" w:sz="4" w:space="0" w:color="auto"/>
              <w:bottom w:val="single" w:sz="4" w:space="0" w:color="auto"/>
              <w:right w:val="single" w:sz="4" w:space="0" w:color="auto"/>
            </w:tcBorders>
            <w:shd w:val="clear" w:color="auto" w:fill="C6EFCE"/>
            <w:hideMark/>
          </w:tcPr>
          <w:p w14:paraId="6913F9A7"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rPr>
            </w:pPr>
            <w:r w:rsidRPr="008C5D88">
              <w:rPr>
                <w:rFonts w:ascii="Times New Roman" w:hAnsi="Times New Roman"/>
                <w:sz w:val="18"/>
                <w:szCs w:val="20"/>
              </w:rPr>
              <w:t>2026</w:t>
            </w:r>
          </w:p>
        </w:tc>
        <w:tc>
          <w:tcPr>
            <w:tcW w:w="411" w:type="pct"/>
            <w:tcBorders>
              <w:top w:val="single" w:sz="4" w:space="0" w:color="auto"/>
              <w:left w:val="single" w:sz="4" w:space="0" w:color="auto"/>
              <w:bottom w:val="single" w:sz="4" w:space="0" w:color="auto"/>
              <w:right w:val="single" w:sz="4" w:space="0" w:color="auto"/>
            </w:tcBorders>
            <w:shd w:val="clear" w:color="auto" w:fill="C6EFCE"/>
          </w:tcPr>
          <w:p w14:paraId="3E5D744E" w14:textId="77777777" w:rsidR="001A3E6F" w:rsidRPr="008C5D88" w:rsidRDefault="001A3E6F" w:rsidP="00A116F8">
            <w:pPr>
              <w:widowControl w:val="0"/>
              <w:spacing w:after="0" w:line="240" w:lineRule="auto"/>
              <w:ind w:left="57" w:right="57"/>
              <w:jc w:val="both"/>
              <w:rPr>
                <w:rFonts w:ascii="Times New Roman" w:hAnsi="Times New Roman" w:cs="Calibri"/>
                <w:noProof/>
                <w:sz w:val="18"/>
                <w:szCs w:val="20"/>
              </w:rPr>
            </w:pPr>
            <w:r w:rsidRPr="008C5D88">
              <w:rPr>
                <w:rFonts w:ascii="Times New Roman" w:hAnsi="Times New Roman"/>
                <w:sz w:val="18"/>
                <w:szCs w:val="20"/>
              </w:rPr>
              <w:t>Izglītības un zinātnes ministrija</w:t>
            </w:r>
          </w:p>
        </w:tc>
        <w:tc>
          <w:tcPr>
            <w:tcW w:w="367" w:type="pct"/>
            <w:tcBorders>
              <w:top w:val="single" w:sz="4" w:space="0" w:color="auto"/>
              <w:left w:val="single" w:sz="4" w:space="0" w:color="auto"/>
              <w:bottom w:val="single" w:sz="4" w:space="0" w:color="auto"/>
              <w:right w:val="single" w:sz="4" w:space="0" w:color="auto"/>
            </w:tcBorders>
            <w:shd w:val="clear" w:color="auto" w:fill="C6EFCE"/>
          </w:tcPr>
          <w:p w14:paraId="224398BF" w14:textId="77777777" w:rsidR="001A3E6F" w:rsidRPr="008C5D88" w:rsidRDefault="001A3E6F" w:rsidP="00A116F8">
            <w:pPr>
              <w:widowControl w:val="0"/>
              <w:spacing w:after="0" w:line="240" w:lineRule="auto"/>
              <w:ind w:left="57" w:right="57"/>
              <w:jc w:val="both"/>
              <w:rPr>
                <w:rFonts w:ascii="Times New Roman" w:eastAsia="Times New Roman" w:hAnsi="Times New Roman" w:cs="Times New Roman"/>
                <w:noProof/>
                <w:sz w:val="18"/>
                <w:szCs w:val="20"/>
                <w:lang w:eastAsia="en-GB"/>
              </w:rPr>
            </w:pPr>
          </w:p>
        </w:tc>
        <w:tc>
          <w:tcPr>
            <w:tcW w:w="815" w:type="pct"/>
            <w:tcBorders>
              <w:top w:val="single" w:sz="4" w:space="0" w:color="auto"/>
              <w:left w:val="single" w:sz="4" w:space="0" w:color="auto"/>
              <w:bottom w:val="single" w:sz="4" w:space="0" w:color="auto"/>
              <w:right w:val="single" w:sz="4" w:space="0" w:color="auto"/>
            </w:tcBorders>
            <w:shd w:val="clear" w:color="auto" w:fill="C6EFCE"/>
          </w:tcPr>
          <w:p w14:paraId="1647AB02" w14:textId="77777777" w:rsidR="001A3E6F" w:rsidRPr="008C5D88" w:rsidRDefault="001A3E6F" w:rsidP="00A116F8">
            <w:pPr>
              <w:widowControl w:val="0"/>
              <w:spacing w:after="0" w:line="240" w:lineRule="auto"/>
              <w:ind w:left="57" w:right="57"/>
              <w:rPr>
                <w:rFonts w:ascii="Times New Roman" w:hAnsi="Times New Roman" w:cs="Calibri"/>
                <w:noProof/>
                <w:sz w:val="18"/>
                <w:szCs w:val="20"/>
              </w:rPr>
            </w:pPr>
            <w:r w:rsidRPr="008C5D88">
              <w:rPr>
                <w:rFonts w:ascii="Times New Roman" w:hAnsi="Times New Roman"/>
                <w:sz w:val="18"/>
                <w:szCs w:val="20"/>
              </w:rPr>
              <w:t>Kopsavilkuma dokuments, kurā pienācīgi pamatots, kā tika apmierinoši sasniegts mērķis (tostarp visi būtiskie elementi), kopā ar atbilstošām saitēm uz pamatojošajiem pierādījumiem.</w:t>
            </w:r>
          </w:p>
          <w:p w14:paraId="56783A7A" w14:textId="77777777" w:rsidR="001A3E6F" w:rsidRPr="008C5D88" w:rsidRDefault="001A3E6F" w:rsidP="00A116F8">
            <w:pPr>
              <w:widowControl w:val="0"/>
              <w:spacing w:after="0" w:line="240" w:lineRule="auto"/>
              <w:ind w:left="57" w:right="57"/>
              <w:rPr>
                <w:rFonts w:ascii="Times New Roman" w:hAnsi="Times New Roman"/>
                <w:noProof/>
                <w:sz w:val="18"/>
                <w:szCs w:val="20"/>
              </w:rPr>
            </w:pPr>
            <w:r w:rsidRPr="008C5D88">
              <w:rPr>
                <w:rFonts w:ascii="Times New Roman" w:hAnsi="Times New Roman"/>
                <w:sz w:val="18"/>
                <w:szCs w:val="20"/>
              </w:rPr>
              <w:t xml:space="preserve">Šā dokumenta pielikumā iekļauj sarakstu ar 90 iekšējiem pētniecības un izstrādes grantu līgumiem, kas pieejami vadības informācijas sistēmā (KPVIS). </w:t>
            </w:r>
          </w:p>
        </w:tc>
        <w:tc>
          <w:tcPr>
            <w:tcW w:w="883" w:type="pct"/>
            <w:tcBorders>
              <w:top w:val="single" w:sz="4" w:space="0" w:color="auto"/>
              <w:left w:val="single" w:sz="4" w:space="0" w:color="auto"/>
              <w:bottom w:val="single" w:sz="4" w:space="0" w:color="auto"/>
              <w:right w:val="single" w:sz="4" w:space="0" w:color="auto"/>
            </w:tcBorders>
            <w:shd w:val="clear" w:color="auto" w:fill="C6EFCE"/>
            <w:hideMark/>
          </w:tcPr>
          <w:p w14:paraId="5D68307D" w14:textId="77777777" w:rsidR="001A3E6F" w:rsidRPr="008C5D8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8C5D88">
              <w:rPr>
                <w:rFonts w:ascii="Times New Roman" w:hAnsi="Times New Roman"/>
                <w:sz w:val="18"/>
                <w:szCs w:val="20"/>
              </w:rPr>
              <w:t xml:space="preserve">Augstākās izglītības iestāde vai zinātniskās pētniecības institūts ir noslēdzis 90 grantu līgumus par iekšējās pētniecības veikšanu. </w:t>
            </w:r>
          </w:p>
        </w:tc>
      </w:tr>
    </w:tbl>
    <w:p w14:paraId="3744816C" w14:textId="77777777" w:rsidR="001A3E6F" w:rsidRPr="00481482" w:rsidRDefault="001A3E6F" w:rsidP="001A3E6F">
      <w:pPr>
        <w:widowControl w:val="0"/>
        <w:spacing w:after="0" w:line="240" w:lineRule="auto"/>
        <w:jc w:val="both"/>
        <w:rPr>
          <w:rFonts w:ascii="Times New Roman" w:hAnsi="Times New Roman" w:cs="Times New Roman"/>
          <w:noProof/>
          <w:sz w:val="24"/>
        </w:rPr>
      </w:pPr>
    </w:p>
    <w:p w14:paraId="3D991DDD" w14:textId="77777777" w:rsidR="00A116F8" w:rsidRDefault="00A116F8">
      <w:pPr>
        <w:rPr>
          <w:rFonts w:ascii="Times New Roman" w:hAnsi="Times New Roman"/>
          <w:b/>
          <w:sz w:val="24"/>
        </w:rPr>
      </w:pPr>
      <w:r>
        <w:rPr>
          <w:rFonts w:ascii="Times New Roman" w:hAnsi="Times New Roman"/>
          <w:b/>
          <w:sz w:val="24"/>
        </w:rPr>
        <w:br w:type="page"/>
      </w:r>
    </w:p>
    <w:p w14:paraId="5A25EE77" w14:textId="2CA12870" w:rsidR="001A3E6F" w:rsidRDefault="001A3E6F" w:rsidP="001A3E6F">
      <w:pPr>
        <w:widowControl w:val="0"/>
        <w:spacing w:after="0" w:line="240" w:lineRule="auto"/>
        <w:ind w:left="567"/>
        <w:jc w:val="both"/>
        <w:rPr>
          <w:rFonts w:ascii="Times New Roman" w:hAnsi="Times New Roman" w:cs="Times New Roman"/>
          <w:b/>
          <w:bCs/>
          <w:noProof/>
          <w:sz w:val="24"/>
          <w:szCs w:val="26"/>
        </w:rPr>
      </w:pPr>
      <w:r>
        <w:rPr>
          <w:rFonts w:ascii="Times New Roman" w:hAnsi="Times New Roman"/>
          <w:b/>
          <w:sz w:val="24"/>
        </w:rPr>
        <w:lastRenderedPageBreak/>
        <w:t>F. KOMPONENTS NR. 6. LIKUMA VARA</w:t>
      </w:r>
    </w:p>
    <w:p w14:paraId="7C3A358D" w14:textId="77777777" w:rsidR="001A3E6F" w:rsidRPr="00481482" w:rsidRDefault="001A3E6F" w:rsidP="001A3E6F">
      <w:pPr>
        <w:widowControl w:val="0"/>
        <w:spacing w:after="0" w:line="240" w:lineRule="auto"/>
        <w:jc w:val="both"/>
        <w:rPr>
          <w:rFonts w:ascii="Times New Roman" w:hAnsi="Times New Roman" w:cs="Times New Roman"/>
          <w:b/>
          <w:bCs/>
          <w:noProof/>
          <w:sz w:val="24"/>
          <w:szCs w:val="2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388"/>
        <w:gridCol w:w="1364"/>
        <w:gridCol w:w="756"/>
        <w:gridCol w:w="1318"/>
        <w:gridCol w:w="1130"/>
        <w:gridCol w:w="913"/>
        <w:gridCol w:w="789"/>
        <w:gridCol w:w="789"/>
        <w:gridCol w:w="864"/>
        <w:gridCol w:w="497"/>
        <w:gridCol w:w="1072"/>
        <w:gridCol w:w="1048"/>
        <w:gridCol w:w="1410"/>
        <w:gridCol w:w="1655"/>
      </w:tblGrid>
      <w:tr w:rsidR="001A3E6F" w:rsidRPr="00A116F8" w14:paraId="6F2B6F7A" w14:textId="77777777" w:rsidTr="009E7D55">
        <w:trPr>
          <w:tblHeader/>
          <w:jc w:val="center"/>
        </w:trPr>
        <w:tc>
          <w:tcPr>
            <w:tcW w:w="163" w:type="pct"/>
            <w:vMerge w:val="restart"/>
            <w:shd w:val="clear" w:color="auto" w:fill="BDD7EE"/>
            <w:vAlign w:val="center"/>
            <w:hideMark/>
          </w:tcPr>
          <w:p w14:paraId="602558C2" w14:textId="77777777" w:rsidR="001A3E6F" w:rsidRPr="00A116F8" w:rsidRDefault="001A3E6F" w:rsidP="00A116F8">
            <w:pPr>
              <w:widowControl w:val="0"/>
              <w:spacing w:after="0" w:line="240" w:lineRule="auto"/>
              <w:ind w:left="57" w:right="57"/>
              <w:jc w:val="center"/>
              <w:rPr>
                <w:rFonts w:ascii="Times New Roman" w:eastAsia="Times New Roman" w:hAnsi="Times New Roman" w:cs="Times New Roman"/>
                <w:b/>
                <w:noProof/>
                <w:sz w:val="16"/>
                <w:szCs w:val="18"/>
              </w:rPr>
            </w:pPr>
            <w:r w:rsidRPr="00A116F8">
              <w:rPr>
                <w:rFonts w:ascii="Times New Roman" w:hAnsi="Times New Roman"/>
                <w:b/>
                <w:sz w:val="16"/>
                <w:szCs w:val="18"/>
              </w:rPr>
              <w:t>#</w:t>
            </w:r>
          </w:p>
        </w:tc>
        <w:tc>
          <w:tcPr>
            <w:tcW w:w="314" w:type="pct"/>
            <w:vMerge w:val="restart"/>
            <w:shd w:val="clear" w:color="auto" w:fill="BDD7EE"/>
            <w:vAlign w:val="center"/>
            <w:hideMark/>
          </w:tcPr>
          <w:p w14:paraId="13CAF21B" w14:textId="77777777" w:rsidR="001A3E6F" w:rsidRPr="00A116F8" w:rsidRDefault="001A3E6F" w:rsidP="00A116F8">
            <w:pPr>
              <w:widowControl w:val="0"/>
              <w:spacing w:after="0" w:line="240" w:lineRule="auto"/>
              <w:ind w:left="57" w:right="57"/>
              <w:jc w:val="center"/>
              <w:rPr>
                <w:rFonts w:ascii="Times New Roman" w:eastAsia="Times New Roman" w:hAnsi="Times New Roman" w:cs="Times New Roman"/>
                <w:b/>
                <w:bCs/>
                <w:noProof/>
                <w:sz w:val="16"/>
                <w:szCs w:val="18"/>
              </w:rPr>
            </w:pPr>
            <w:r w:rsidRPr="00A116F8">
              <w:rPr>
                <w:rFonts w:ascii="Times New Roman" w:hAnsi="Times New Roman"/>
                <w:b/>
                <w:sz w:val="16"/>
                <w:szCs w:val="18"/>
              </w:rPr>
              <w:t>Saistītais pasākums (reforma vai investīcija)</w:t>
            </w:r>
          </w:p>
        </w:tc>
        <w:tc>
          <w:tcPr>
            <w:tcW w:w="270" w:type="pct"/>
            <w:vMerge w:val="restart"/>
            <w:shd w:val="clear" w:color="auto" w:fill="BDD7EE"/>
            <w:vAlign w:val="center"/>
            <w:hideMark/>
          </w:tcPr>
          <w:p w14:paraId="6BB6B14D" w14:textId="77777777" w:rsidR="001A3E6F" w:rsidRPr="00A116F8" w:rsidRDefault="001A3E6F" w:rsidP="00A116F8">
            <w:pPr>
              <w:widowControl w:val="0"/>
              <w:spacing w:after="0" w:line="240" w:lineRule="auto"/>
              <w:ind w:left="57" w:right="57"/>
              <w:jc w:val="center"/>
              <w:rPr>
                <w:rFonts w:ascii="Times New Roman" w:eastAsia="Times New Roman" w:hAnsi="Times New Roman" w:cs="Times New Roman"/>
                <w:b/>
                <w:bCs/>
                <w:noProof/>
                <w:sz w:val="16"/>
                <w:szCs w:val="18"/>
              </w:rPr>
            </w:pPr>
            <w:r w:rsidRPr="00A116F8">
              <w:rPr>
                <w:rFonts w:ascii="Times New Roman" w:hAnsi="Times New Roman"/>
                <w:b/>
                <w:sz w:val="16"/>
                <w:szCs w:val="18"/>
              </w:rPr>
              <w:t>Atskaites punkts / mērķis</w:t>
            </w:r>
          </w:p>
        </w:tc>
        <w:tc>
          <w:tcPr>
            <w:tcW w:w="326" w:type="pct"/>
            <w:vMerge w:val="restart"/>
            <w:shd w:val="clear" w:color="auto" w:fill="BDD7EE"/>
            <w:vAlign w:val="center"/>
            <w:hideMark/>
          </w:tcPr>
          <w:p w14:paraId="5ABCB95A" w14:textId="77777777" w:rsidR="001A3E6F" w:rsidRPr="00A116F8" w:rsidRDefault="001A3E6F" w:rsidP="00A116F8">
            <w:pPr>
              <w:widowControl w:val="0"/>
              <w:spacing w:after="0" w:line="240" w:lineRule="auto"/>
              <w:ind w:left="57" w:right="57"/>
              <w:jc w:val="center"/>
              <w:rPr>
                <w:rFonts w:ascii="Times New Roman" w:eastAsia="Times New Roman" w:hAnsi="Times New Roman" w:cs="Times New Roman"/>
                <w:b/>
                <w:bCs/>
                <w:noProof/>
                <w:sz w:val="16"/>
                <w:szCs w:val="18"/>
              </w:rPr>
            </w:pPr>
            <w:r w:rsidRPr="00A116F8">
              <w:rPr>
                <w:rFonts w:ascii="Times New Roman" w:hAnsi="Times New Roman"/>
                <w:b/>
                <w:sz w:val="16"/>
                <w:szCs w:val="18"/>
              </w:rPr>
              <w:t>Nosaukums</w:t>
            </w:r>
          </w:p>
        </w:tc>
        <w:tc>
          <w:tcPr>
            <w:tcW w:w="336" w:type="pct"/>
            <w:vMerge w:val="restart"/>
            <w:shd w:val="clear" w:color="auto" w:fill="BDD7EE"/>
            <w:vAlign w:val="center"/>
            <w:hideMark/>
          </w:tcPr>
          <w:p w14:paraId="151F9E92" w14:textId="77777777" w:rsidR="001A3E6F" w:rsidRPr="00A116F8" w:rsidRDefault="001A3E6F" w:rsidP="00A116F8">
            <w:pPr>
              <w:widowControl w:val="0"/>
              <w:spacing w:after="0" w:line="240" w:lineRule="auto"/>
              <w:ind w:left="57" w:right="57"/>
              <w:jc w:val="center"/>
              <w:rPr>
                <w:rFonts w:ascii="Times New Roman" w:eastAsia="Times New Roman" w:hAnsi="Times New Roman" w:cs="Times New Roman"/>
                <w:b/>
                <w:bCs/>
                <w:noProof/>
                <w:sz w:val="16"/>
                <w:szCs w:val="18"/>
              </w:rPr>
            </w:pPr>
            <w:r w:rsidRPr="00A116F8">
              <w:rPr>
                <w:rFonts w:ascii="Times New Roman" w:hAnsi="Times New Roman"/>
                <w:b/>
                <w:sz w:val="16"/>
                <w:szCs w:val="18"/>
              </w:rPr>
              <w:t>Kvalitatīvie rādītāji</w:t>
            </w:r>
          </w:p>
          <w:p w14:paraId="7912F797" w14:textId="77777777" w:rsidR="001A3E6F" w:rsidRPr="00A116F8" w:rsidRDefault="001A3E6F" w:rsidP="00A116F8">
            <w:pPr>
              <w:widowControl w:val="0"/>
              <w:spacing w:after="0" w:line="240" w:lineRule="auto"/>
              <w:ind w:left="57" w:right="57"/>
              <w:jc w:val="center"/>
              <w:rPr>
                <w:rFonts w:ascii="Times New Roman" w:eastAsia="Times New Roman" w:hAnsi="Times New Roman" w:cs="Times New Roman"/>
                <w:b/>
                <w:bCs/>
                <w:noProof/>
                <w:sz w:val="16"/>
                <w:szCs w:val="18"/>
              </w:rPr>
            </w:pPr>
            <w:r w:rsidRPr="00A116F8">
              <w:rPr>
                <w:rFonts w:ascii="Times New Roman" w:hAnsi="Times New Roman"/>
                <w:b/>
                <w:sz w:val="16"/>
                <w:szCs w:val="18"/>
              </w:rPr>
              <w:t>(atskaites punktiem)</w:t>
            </w:r>
          </w:p>
        </w:tc>
        <w:tc>
          <w:tcPr>
            <w:tcW w:w="770" w:type="pct"/>
            <w:gridSpan w:val="3"/>
            <w:shd w:val="clear" w:color="auto" w:fill="BDD7EE"/>
            <w:vAlign w:val="center"/>
            <w:hideMark/>
          </w:tcPr>
          <w:p w14:paraId="67B150AB" w14:textId="77777777" w:rsidR="001A3E6F" w:rsidRPr="00A116F8" w:rsidRDefault="001A3E6F" w:rsidP="00A116F8">
            <w:pPr>
              <w:widowControl w:val="0"/>
              <w:spacing w:after="0" w:line="240" w:lineRule="auto"/>
              <w:ind w:left="57" w:right="57"/>
              <w:jc w:val="center"/>
              <w:rPr>
                <w:rFonts w:ascii="Times New Roman" w:eastAsia="Times New Roman" w:hAnsi="Times New Roman" w:cs="Times New Roman"/>
                <w:b/>
                <w:bCs/>
                <w:noProof/>
                <w:sz w:val="16"/>
                <w:szCs w:val="18"/>
              </w:rPr>
            </w:pPr>
            <w:r w:rsidRPr="00A116F8">
              <w:rPr>
                <w:rFonts w:ascii="Times New Roman" w:hAnsi="Times New Roman"/>
                <w:b/>
                <w:sz w:val="16"/>
                <w:szCs w:val="18"/>
              </w:rPr>
              <w:t>Kvantitatīvie rādītāji</w:t>
            </w:r>
          </w:p>
          <w:p w14:paraId="187090DB" w14:textId="77777777" w:rsidR="001A3E6F" w:rsidRPr="00A116F8" w:rsidRDefault="001A3E6F" w:rsidP="00A116F8">
            <w:pPr>
              <w:widowControl w:val="0"/>
              <w:spacing w:after="0" w:line="240" w:lineRule="auto"/>
              <w:ind w:left="57" w:right="57"/>
              <w:jc w:val="center"/>
              <w:rPr>
                <w:rFonts w:ascii="Times New Roman" w:eastAsia="Times New Roman" w:hAnsi="Times New Roman" w:cs="Times New Roman"/>
                <w:b/>
                <w:bCs/>
                <w:noProof/>
                <w:sz w:val="16"/>
                <w:szCs w:val="18"/>
              </w:rPr>
            </w:pPr>
            <w:r w:rsidRPr="00A116F8">
              <w:rPr>
                <w:rFonts w:ascii="Times New Roman" w:hAnsi="Times New Roman"/>
                <w:b/>
                <w:sz w:val="16"/>
                <w:szCs w:val="18"/>
              </w:rPr>
              <w:t>(mērķiem)</w:t>
            </w:r>
          </w:p>
        </w:tc>
        <w:tc>
          <w:tcPr>
            <w:tcW w:w="329" w:type="pct"/>
            <w:gridSpan w:val="2"/>
            <w:shd w:val="clear" w:color="auto" w:fill="BDD7EE"/>
            <w:vAlign w:val="center"/>
            <w:hideMark/>
          </w:tcPr>
          <w:p w14:paraId="3171E824" w14:textId="77777777" w:rsidR="001A3E6F" w:rsidRPr="00A116F8" w:rsidRDefault="001A3E6F" w:rsidP="00A116F8">
            <w:pPr>
              <w:widowControl w:val="0"/>
              <w:spacing w:after="0" w:line="240" w:lineRule="auto"/>
              <w:ind w:left="57" w:right="57"/>
              <w:jc w:val="center"/>
              <w:rPr>
                <w:rFonts w:ascii="Times New Roman" w:eastAsia="Times New Roman" w:hAnsi="Times New Roman" w:cs="Times New Roman"/>
                <w:b/>
                <w:bCs/>
                <w:noProof/>
                <w:sz w:val="16"/>
                <w:szCs w:val="18"/>
              </w:rPr>
            </w:pPr>
            <w:r w:rsidRPr="00A116F8">
              <w:rPr>
                <w:rFonts w:ascii="Times New Roman" w:hAnsi="Times New Roman"/>
                <w:b/>
                <w:sz w:val="16"/>
                <w:szCs w:val="18"/>
              </w:rPr>
              <w:t>Orientējošs pabeigšanas grafiks</w:t>
            </w:r>
          </w:p>
        </w:tc>
        <w:tc>
          <w:tcPr>
            <w:tcW w:w="407" w:type="pct"/>
            <w:vMerge w:val="restart"/>
            <w:shd w:val="clear" w:color="auto" w:fill="BDD7EE"/>
            <w:vAlign w:val="center"/>
          </w:tcPr>
          <w:p w14:paraId="79E38AF6" w14:textId="77777777" w:rsidR="001A3E6F" w:rsidRPr="00A116F8" w:rsidRDefault="001A3E6F" w:rsidP="00A116F8">
            <w:pPr>
              <w:widowControl w:val="0"/>
              <w:spacing w:after="0" w:line="240" w:lineRule="auto"/>
              <w:ind w:left="57" w:right="57"/>
              <w:jc w:val="center"/>
              <w:rPr>
                <w:rFonts w:ascii="Times New Roman" w:hAnsi="Times New Roman" w:cs="Calibri"/>
                <w:b/>
                <w:noProof/>
                <w:sz w:val="16"/>
                <w:szCs w:val="18"/>
              </w:rPr>
            </w:pPr>
            <w:r w:rsidRPr="00A116F8">
              <w:rPr>
                <w:rFonts w:ascii="Times New Roman" w:hAnsi="Times New Roman"/>
                <w:b/>
                <w:sz w:val="16"/>
                <w:szCs w:val="18"/>
              </w:rPr>
              <w:t>Atbildība par ziņošanu un īstenošanu</w:t>
            </w:r>
          </w:p>
        </w:tc>
        <w:tc>
          <w:tcPr>
            <w:tcW w:w="370" w:type="pct"/>
            <w:vMerge w:val="restart"/>
            <w:shd w:val="clear" w:color="auto" w:fill="BDD7EE"/>
            <w:vAlign w:val="center"/>
          </w:tcPr>
          <w:p w14:paraId="2956F010" w14:textId="77777777" w:rsidR="001A3E6F" w:rsidRPr="00A116F8" w:rsidRDefault="001A3E6F" w:rsidP="00A116F8">
            <w:pPr>
              <w:widowControl w:val="0"/>
              <w:spacing w:after="0" w:line="240" w:lineRule="auto"/>
              <w:ind w:left="57" w:right="57"/>
              <w:jc w:val="center"/>
              <w:rPr>
                <w:rFonts w:ascii="Times New Roman" w:hAnsi="Times New Roman" w:cs="Calibri"/>
                <w:b/>
                <w:noProof/>
                <w:sz w:val="16"/>
                <w:szCs w:val="18"/>
              </w:rPr>
            </w:pPr>
            <w:r w:rsidRPr="00A116F8">
              <w:rPr>
                <w:rFonts w:ascii="Times New Roman" w:hAnsi="Times New Roman"/>
                <w:b/>
                <w:sz w:val="16"/>
                <w:szCs w:val="18"/>
              </w:rPr>
              <w:t>Precizējums (ja nepieciešams)</w:t>
            </w:r>
          </w:p>
        </w:tc>
        <w:tc>
          <w:tcPr>
            <w:tcW w:w="955" w:type="pct"/>
            <w:vMerge w:val="restart"/>
            <w:shd w:val="clear" w:color="auto" w:fill="BDD7EE"/>
            <w:vAlign w:val="center"/>
          </w:tcPr>
          <w:p w14:paraId="0744507C" w14:textId="77777777" w:rsidR="001A3E6F" w:rsidRPr="00A116F8" w:rsidRDefault="001A3E6F" w:rsidP="00A116F8">
            <w:pPr>
              <w:widowControl w:val="0"/>
              <w:spacing w:after="0" w:line="240" w:lineRule="auto"/>
              <w:ind w:left="57" w:right="57"/>
              <w:jc w:val="center"/>
              <w:rPr>
                <w:rFonts w:ascii="Times New Roman" w:hAnsi="Times New Roman" w:cs="Calibri"/>
                <w:b/>
                <w:noProof/>
                <w:sz w:val="16"/>
                <w:szCs w:val="18"/>
              </w:rPr>
            </w:pPr>
            <w:r w:rsidRPr="00A116F8">
              <w:rPr>
                <w:rFonts w:ascii="Times New Roman" w:hAnsi="Times New Roman"/>
                <w:b/>
                <w:sz w:val="16"/>
                <w:szCs w:val="18"/>
              </w:rPr>
              <w:t>Pārbaudes mehānisms</w:t>
            </w:r>
          </w:p>
        </w:tc>
        <w:tc>
          <w:tcPr>
            <w:tcW w:w="760" w:type="pct"/>
            <w:vMerge w:val="restart"/>
            <w:shd w:val="clear" w:color="auto" w:fill="BDD7EE"/>
            <w:vAlign w:val="center"/>
            <w:hideMark/>
          </w:tcPr>
          <w:p w14:paraId="62D06123" w14:textId="77777777" w:rsidR="001A3E6F" w:rsidRPr="00A116F8" w:rsidRDefault="001A3E6F" w:rsidP="00A116F8">
            <w:pPr>
              <w:widowControl w:val="0"/>
              <w:spacing w:after="0" w:line="240" w:lineRule="auto"/>
              <w:ind w:left="57" w:right="57"/>
              <w:jc w:val="center"/>
              <w:rPr>
                <w:rFonts w:ascii="Times New Roman" w:hAnsi="Times New Roman" w:cs="Calibri"/>
                <w:b/>
                <w:noProof/>
                <w:sz w:val="16"/>
                <w:szCs w:val="18"/>
              </w:rPr>
            </w:pPr>
            <w:r w:rsidRPr="00A116F8">
              <w:rPr>
                <w:rFonts w:ascii="Times New Roman" w:hAnsi="Times New Roman"/>
                <w:b/>
                <w:sz w:val="16"/>
                <w:szCs w:val="18"/>
              </w:rPr>
              <w:t>Atskaites punkta un mērķa apraksts</w:t>
            </w:r>
          </w:p>
        </w:tc>
      </w:tr>
      <w:tr w:rsidR="001A3E6F" w:rsidRPr="00A116F8" w14:paraId="71AF216B" w14:textId="77777777" w:rsidTr="009E7D55">
        <w:trPr>
          <w:jc w:val="center"/>
        </w:trPr>
        <w:tc>
          <w:tcPr>
            <w:tcW w:w="163" w:type="pct"/>
            <w:vMerge/>
            <w:vAlign w:val="center"/>
            <w:hideMark/>
          </w:tcPr>
          <w:p w14:paraId="70608D82"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lang w:eastAsia="en-GB"/>
              </w:rPr>
            </w:pPr>
          </w:p>
        </w:tc>
        <w:tc>
          <w:tcPr>
            <w:tcW w:w="314" w:type="pct"/>
            <w:vMerge/>
            <w:vAlign w:val="center"/>
            <w:hideMark/>
          </w:tcPr>
          <w:p w14:paraId="4321AD89"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lang w:eastAsia="en-GB"/>
              </w:rPr>
            </w:pPr>
          </w:p>
        </w:tc>
        <w:tc>
          <w:tcPr>
            <w:tcW w:w="270" w:type="pct"/>
            <w:vMerge/>
            <w:vAlign w:val="center"/>
            <w:hideMark/>
          </w:tcPr>
          <w:p w14:paraId="7E0B3D9A"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lang w:eastAsia="en-GB"/>
              </w:rPr>
            </w:pPr>
          </w:p>
        </w:tc>
        <w:tc>
          <w:tcPr>
            <w:tcW w:w="326" w:type="pct"/>
            <w:vMerge/>
            <w:vAlign w:val="center"/>
            <w:hideMark/>
          </w:tcPr>
          <w:p w14:paraId="10473F2D"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lang w:eastAsia="en-GB"/>
              </w:rPr>
            </w:pPr>
          </w:p>
        </w:tc>
        <w:tc>
          <w:tcPr>
            <w:tcW w:w="336" w:type="pct"/>
            <w:vMerge/>
            <w:vAlign w:val="center"/>
            <w:hideMark/>
          </w:tcPr>
          <w:p w14:paraId="184F4923"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lang w:eastAsia="en-GB"/>
              </w:rPr>
            </w:pPr>
          </w:p>
        </w:tc>
        <w:tc>
          <w:tcPr>
            <w:tcW w:w="298" w:type="pct"/>
            <w:shd w:val="clear" w:color="auto" w:fill="BDD7EE"/>
            <w:vAlign w:val="center"/>
            <w:hideMark/>
          </w:tcPr>
          <w:p w14:paraId="34B58880" w14:textId="77777777" w:rsidR="001A3E6F" w:rsidRPr="00A116F8" w:rsidRDefault="001A3E6F" w:rsidP="00A116F8">
            <w:pPr>
              <w:widowControl w:val="0"/>
              <w:spacing w:after="0" w:line="240" w:lineRule="auto"/>
              <w:ind w:left="57" w:right="57"/>
              <w:jc w:val="center"/>
              <w:rPr>
                <w:rFonts w:ascii="Times New Roman" w:eastAsia="Times New Roman" w:hAnsi="Times New Roman" w:cs="Times New Roman"/>
                <w:b/>
                <w:bCs/>
                <w:noProof/>
                <w:sz w:val="16"/>
                <w:szCs w:val="18"/>
              </w:rPr>
            </w:pPr>
            <w:r w:rsidRPr="00A116F8">
              <w:rPr>
                <w:rFonts w:ascii="Times New Roman" w:hAnsi="Times New Roman"/>
                <w:b/>
                <w:sz w:val="16"/>
                <w:szCs w:val="18"/>
              </w:rPr>
              <w:t>Mērvienība</w:t>
            </w:r>
          </w:p>
        </w:tc>
        <w:tc>
          <w:tcPr>
            <w:tcW w:w="270" w:type="pct"/>
            <w:shd w:val="clear" w:color="auto" w:fill="BDD7EE"/>
            <w:vAlign w:val="center"/>
            <w:hideMark/>
          </w:tcPr>
          <w:p w14:paraId="33426699" w14:textId="77777777" w:rsidR="001A3E6F" w:rsidRPr="00A116F8" w:rsidRDefault="001A3E6F" w:rsidP="00A116F8">
            <w:pPr>
              <w:widowControl w:val="0"/>
              <w:spacing w:after="0" w:line="240" w:lineRule="auto"/>
              <w:ind w:left="57" w:right="57"/>
              <w:jc w:val="center"/>
              <w:rPr>
                <w:rFonts w:ascii="Times New Roman" w:eastAsia="Times New Roman" w:hAnsi="Times New Roman" w:cs="Times New Roman"/>
                <w:b/>
                <w:bCs/>
                <w:noProof/>
                <w:sz w:val="16"/>
                <w:szCs w:val="18"/>
              </w:rPr>
            </w:pPr>
            <w:r w:rsidRPr="00A116F8">
              <w:rPr>
                <w:rFonts w:ascii="Times New Roman" w:hAnsi="Times New Roman"/>
                <w:b/>
                <w:sz w:val="16"/>
                <w:szCs w:val="18"/>
              </w:rPr>
              <w:t>Bāze</w:t>
            </w:r>
          </w:p>
        </w:tc>
        <w:tc>
          <w:tcPr>
            <w:tcW w:w="203" w:type="pct"/>
            <w:shd w:val="clear" w:color="auto" w:fill="BDD7EE"/>
            <w:vAlign w:val="center"/>
            <w:hideMark/>
          </w:tcPr>
          <w:p w14:paraId="1566DC18" w14:textId="77777777" w:rsidR="001A3E6F" w:rsidRPr="00A116F8" w:rsidRDefault="001A3E6F" w:rsidP="00A116F8">
            <w:pPr>
              <w:widowControl w:val="0"/>
              <w:spacing w:after="0" w:line="240" w:lineRule="auto"/>
              <w:ind w:left="57" w:right="57"/>
              <w:jc w:val="center"/>
              <w:rPr>
                <w:rFonts w:ascii="Times New Roman" w:eastAsia="Times New Roman" w:hAnsi="Times New Roman" w:cs="Times New Roman"/>
                <w:b/>
                <w:bCs/>
                <w:noProof/>
                <w:sz w:val="16"/>
                <w:szCs w:val="18"/>
              </w:rPr>
            </w:pPr>
            <w:r w:rsidRPr="00A116F8">
              <w:rPr>
                <w:rFonts w:ascii="Times New Roman" w:hAnsi="Times New Roman"/>
                <w:b/>
                <w:sz w:val="16"/>
                <w:szCs w:val="18"/>
              </w:rPr>
              <w:t>Mērķis</w:t>
            </w:r>
          </w:p>
        </w:tc>
        <w:tc>
          <w:tcPr>
            <w:tcW w:w="136" w:type="pct"/>
            <w:shd w:val="clear" w:color="auto" w:fill="BDD7EE"/>
            <w:vAlign w:val="center"/>
            <w:hideMark/>
          </w:tcPr>
          <w:p w14:paraId="26163666" w14:textId="77777777" w:rsidR="001A3E6F" w:rsidRPr="00A116F8" w:rsidRDefault="001A3E6F" w:rsidP="00A116F8">
            <w:pPr>
              <w:widowControl w:val="0"/>
              <w:spacing w:after="0" w:line="240" w:lineRule="auto"/>
              <w:ind w:left="57" w:right="57"/>
              <w:jc w:val="center"/>
              <w:rPr>
                <w:rFonts w:ascii="Times New Roman" w:eastAsia="Times New Roman" w:hAnsi="Times New Roman" w:cs="Times New Roman"/>
                <w:b/>
                <w:bCs/>
                <w:noProof/>
                <w:sz w:val="16"/>
                <w:szCs w:val="18"/>
              </w:rPr>
            </w:pPr>
            <w:r w:rsidRPr="00A116F8">
              <w:rPr>
                <w:rFonts w:ascii="Times New Roman" w:hAnsi="Times New Roman"/>
                <w:b/>
                <w:sz w:val="16"/>
                <w:szCs w:val="18"/>
              </w:rPr>
              <w:t>Ceturksnis</w:t>
            </w:r>
          </w:p>
        </w:tc>
        <w:tc>
          <w:tcPr>
            <w:tcW w:w="193" w:type="pct"/>
            <w:shd w:val="clear" w:color="auto" w:fill="BDD7EE"/>
            <w:vAlign w:val="center"/>
            <w:hideMark/>
          </w:tcPr>
          <w:p w14:paraId="3D31AAF1" w14:textId="77777777" w:rsidR="001A3E6F" w:rsidRPr="00A116F8" w:rsidRDefault="001A3E6F" w:rsidP="00A116F8">
            <w:pPr>
              <w:widowControl w:val="0"/>
              <w:spacing w:after="0" w:line="240" w:lineRule="auto"/>
              <w:ind w:left="57" w:right="57"/>
              <w:jc w:val="center"/>
              <w:rPr>
                <w:rFonts w:ascii="Times New Roman" w:eastAsia="Times New Roman" w:hAnsi="Times New Roman" w:cs="Times New Roman"/>
                <w:b/>
                <w:bCs/>
                <w:noProof/>
                <w:sz w:val="16"/>
                <w:szCs w:val="18"/>
              </w:rPr>
            </w:pPr>
            <w:r w:rsidRPr="00A116F8">
              <w:rPr>
                <w:rFonts w:ascii="Times New Roman" w:hAnsi="Times New Roman"/>
                <w:b/>
                <w:sz w:val="16"/>
                <w:szCs w:val="18"/>
              </w:rPr>
              <w:t>Gads</w:t>
            </w:r>
          </w:p>
        </w:tc>
        <w:tc>
          <w:tcPr>
            <w:tcW w:w="407" w:type="pct"/>
            <w:vMerge/>
          </w:tcPr>
          <w:p w14:paraId="3577A8C2"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lang w:eastAsia="en-GB"/>
              </w:rPr>
            </w:pPr>
          </w:p>
        </w:tc>
        <w:tc>
          <w:tcPr>
            <w:tcW w:w="370" w:type="pct"/>
            <w:vMerge/>
          </w:tcPr>
          <w:p w14:paraId="4A91DFB6"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lang w:eastAsia="en-GB"/>
              </w:rPr>
            </w:pPr>
          </w:p>
        </w:tc>
        <w:tc>
          <w:tcPr>
            <w:tcW w:w="955" w:type="pct"/>
            <w:vMerge/>
          </w:tcPr>
          <w:p w14:paraId="59401CA9"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color w:val="4F6228" w:themeColor="accent3" w:themeShade="80"/>
                <w:sz w:val="16"/>
                <w:szCs w:val="18"/>
                <w:lang w:eastAsia="en-GB"/>
              </w:rPr>
            </w:pPr>
          </w:p>
        </w:tc>
        <w:tc>
          <w:tcPr>
            <w:tcW w:w="760" w:type="pct"/>
            <w:vMerge/>
            <w:vAlign w:val="center"/>
            <w:hideMark/>
          </w:tcPr>
          <w:p w14:paraId="0B986D8B"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lang w:eastAsia="en-GB"/>
              </w:rPr>
            </w:pPr>
          </w:p>
        </w:tc>
      </w:tr>
      <w:tr w:rsidR="001A3E6F" w:rsidRPr="00A116F8" w14:paraId="1AE63820" w14:textId="77777777" w:rsidTr="009E7D55">
        <w:trPr>
          <w:jc w:val="center"/>
        </w:trPr>
        <w:tc>
          <w:tcPr>
            <w:tcW w:w="163" w:type="pct"/>
            <w:shd w:val="clear" w:color="auto" w:fill="C6EFCE"/>
            <w:hideMark/>
          </w:tcPr>
          <w:p w14:paraId="66A2015A"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166</w:t>
            </w:r>
          </w:p>
        </w:tc>
        <w:tc>
          <w:tcPr>
            <w:tcW w:w="314" w:type="pct"/>
            <w:shd w:val="clear" w:color="auto" w:fill="C6EFCE"/>
            <w:hideMark/>
          </w:tcPr>
          <w:p w14:paraId="701AC0B8"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6.1.1.r. Analītikas stiprināšana un datu pārvaldības attīstība nodokļu administrēšanas un muitas jomā</w:t>
            </w:r>
          </w:p>
        </w:tc>
        <w:tc>
          <w:tcPr>
            <w:tcW w:w="270" w:type="pct"/>
            <w:shd w:val="clear" w:color="auto" w:fill="C6EFCE"/>
            <w:hideMark/>
          </w:tcPr>
          <w:p w14:paraId="4D6049AE"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Atskaites punkts</w:t>
            </w:r>
          </w:p>
        </w:tc>
        <w:tc>
          <w:tcPr>
            <w:tcW w:w="326" w:type="pct"/>
            <w:shd w:val="clear" w:color="auto" w:fill="C6EFCE"/>
            <w:hideMark/>
          </w:tcPr>
          <w:p w14:paraId="01F7755A"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Valsts iestāžu darba plāna ēnu ekonomikas ierobežošanai 2021.–2022. gadam pieņemšana</w:t>
            </w:r>
          </w:p>
        </w:tc>
        <w:tc>
          <w:tcPr>
            <w:tcW w:w="336" w:type="pct"/>
            <w:shd w:val="clear" w:color="auto" w:fill="C6EFCE"/>
            <w:hideMark/>
          </w:tcPr>
          <w:p w14:paraId="0D5DA8B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 xml:space="preserve">Valsts iestāžu darba plāna ēnu ekonomikas ierobežošanai 2021.–2022. gadam pieņemšana </w:t>
            </w:r>
          </w:p>
        </w:tc>
        <w:tc>
          <w:tcPr>
            <w:tcW w:w="298" w:type="pct"/>
            <w:shd w:val="clear" w:color="auto" w:fill="C6EFCE"/>
            <w:hideMark/>
          </w:tcPr>
          <w:p w14:paraId="5D1DE54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Neattiecas</w:t>
            </w:r>
          </w:p>
        </w:tc>
        <w:tc>
          <w:tcPr>
            <w:tcW w:w="270" w:type="pct"/>
            <w:shd w:val="clear" w:color="auto" w:fill="C6EFCE"/>
            <w:hideMark/>
          </w:tcPr>
          <w:p w14:paraId="5EF17DC7"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Neattiecas</w:t>
            </w:r>
          </w:p>
        </w:tc>
        <w:tc>
          <w:tcPr>
            <w:tcW w:w="203" w:type="pct"/>
            <w:shd w:val="clear" w:color="auto" w:fill="C6EFCE"/>
            <w:hideMark/>
          </w:tcPr>
          <w:p w14:paraId="717322D7"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Neattiecas</w:t>
            </w:r>
          </w:p>
        </w:tc>
        <w:tc>
          <w:tcPr>
            <w:tcW w:w="136" w:type="pct"/>
            <w:shd w:val="clear" w:color="auto" w:fill="C6EFCE"/>
            <w:hideMark/>
          </w:tcPr>
          <w:p w14:paraId="690C935B"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4. cet.</w:t>
            </w:r>
          </w:p>
        </w:tc>
        <w:tc>
          <w:tcPr>
            <w:tcW w:w="193" w:type="pct"/>
            <w:shd w:val="clear" w:color="auto" w:fill="C6EFCE"/>
            <w:hideMark/>
          </w:tcPr>
          <w:p w14:paraId="227DF0A3"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2022</w:t>
            </w:r>
          </w:p>
        </w:tc>
        <w:tc>
          <w:tcPr>
            <w:tcW w:w="407" w:type="pct"/>
            <w:shd w:val="clear" w:color="auto" w:fill="C6EFCE"/>
          </w:tcPr>
          <w:p w14:paraId="54856A3D"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Finanšu ministrija</w:t>
            </w:r>
          </w:p>
        </w:tc>
        <w:tc>
          <w:tcPr>
            <w:tcW w:w="370" w:type="pct"/>
            <w:shd w:val="clear" w:color="auto" w:fill="C6EFCE"/>
          </w:tcPr>
          <w:p w14:paraId="1D499BE0"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2BEDA190"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Kopsavilkuma dokuments, kurā pienācīgi pamatots, kā tika apmierinoši sasniegts atskaites punkts (tostarp visi būtiskie elementi), kopā ar atbilstošām saitēm uz pamatojošajiem pierādījumiem.</w:t>
            </w:r>
          </w:p>
          <w:p w14:paraId="565BEC33"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Šā dokumenta pielikumā iekļauj pieņemtā darba plāna kopiju un saiti uz tā publikāciju tiešsaistē (ja nepieciešams).</w:t>
            </w:r>
          </w:p>
        </w:tc>
        <w:tc>
          <w:tcPr>
            <w:tcW w:w="760" w:type="pct"/>
            <w:shd w:val="clear" w:color="auto" w:fill="C6EFCE"/>
            <w:hideMark/>
          </w:tcPr>
          <w:p w14:paraId="1F814708"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Pieņemts valsts iestāžu darba plāns ēnu ekonomikas ierobežošanai 2021.–2022. gadam. Tajā iekļauti šādi rīcības virzieni:</w:t>
            </w:r>
          </w:p>
          <w:p w14:paraId="3D8EC3F7"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nereģistrēta/nelikumīga saimnieciskā darbība;</w:t>
            </w:r>
          </w:p>
          <w:p w14:paraId="2900AE34"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nedeklarēta nodarbinātība;</w:t>
            </w:r>
          </w:p>
          <w:p w14:paraId="1A27C1B5"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nereģistrēti darījumi un nelikumīga preču aprite;</w:t>
            </w:r>
          </w:p>
          <w:p w14:paraId="023EF4CE"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nereģistrēta/nekontrolēta skaidras naudas aprite;</w:t>
            </w:r>
          </w:p>
          <w:p w14:paraId="44423137"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krāpšana nodokļu jomā;</w:t>
            </w:r>
          </w:p>
          <w:p w14:paraId="3A66F588" w14:textId="77777777" w:rsidR="001A3E6F" w:rsidRPr="00A116F8" w:rsidRDefault="001A3E6F" w:rsidP="00A116F8">
            <w:pPr>
              <w:pStyle w:val="ListParagraph"/>
              <w:widowControl w:val="0"/>
              <w:spacing w:after="0" w:line="240" w:lineRule="auto"/>
              <w:ind w:left="57" w:right="57"/>
              <w:contextualSpacing w:val="0"/>
              <w:rPr>
                <w:rFonts w:ascii="Times New Roman" w:hAnsi="Times New Roman" w:cs="Times New Roman"/>
                <w:noProof/>
                <w:sz w:val="16"/>
                <w:szCs w:val="18"/>
              </w:rPr>
            </w:pPr>
            <w:r w:rsidRPr="00A116F8">
              <w:rPr>
                <w:rFonts w:ascii="Times New Roman" w:hAnsi="Times New Roman"/>
                <w:sz w:val="16"/>
                <w:szCs w:val="18"/>
              </w:rPr>
              <w:t>- galvenā uzmanība tajā tiks pievērsta ekonomikas nozarēm ar augstāko ēnu ekonomikas risku, piemēram, būvniecības, tirdzniecības, pakalpojumu, apsardzes, ēdināšanas un viesmīlības, kā arī transporta nozarei.</w:t>
            </w:r>
          </w:p>
        </w:tc>
      </w:tr>
      <w:tr w:rsidR="001A3E6F" w:rsidRPr="00A116F8" w14:paraId="650BEF1B" w14:textId="77777777" w:rsidTr="009E7D55">
        <w:trPr>
          <w:jc w:val="center"/>
        </w:trPr>
        <w:tc>
          <w:tcPr>
            <w:tcW w:w="163" w:type="pct"/>
            <w:shd w:val="clear" w:color="auto" w:fill="C6EFCE"/>
            <w:hideMark/>
          </w:tcPr>
          <w:p w14:paraId="0D03F5AD"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167</w:t>
            </w:r>
          </w:p>
        </w:tc>
        <w:tc>
          <w:tcPr>
            <w:tcW w:w="314" w:type="pct"/>
            <w:shd w:val="clear" w:color="auto" w:fill="C6EFCE"/>
            <w:hideMark/>
          </w:tcPr>
          <w:p w14:paraId="6BF49D5A"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 xml:space="preserve">6.1.1.r. Analītikas stiprināšana un datu pārvaldības attīstība nodokļu administrēšanas </w:t>
            </w:r>
            <w:r w:rsidRPr="00A116F8">
              <w:rPr>
                <w:rFonts w:ascii="Times New Roman" w:hAnsi="Times New Roman"/>
                <w:b/>
                <w:sz w:val="16"/>
                <w:szCs w:val="18"/>
              </w:rPr>
              <w:lastRenderedPageBreak/>
              <w:t>un muitas jomā</w:t>
            </w:r>
          </w:p>
        </w:tc>
        <w:tc>
          <w:tcPr>
            <w:tcW w:w="270" w:type="pct"/>
            <w:shd w:val="clear" w:color="auto" w:fill="C6EFCE"/>
            <w:hideMark/>
          </w:tcPr>
          <w:p w14:paraId="224565AE"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lastRenderedPageBreak/>
              <w:t>Atskaites punkts</w:t>
            </w:r>
          </w:p>
        </w:tc>
        <w:tc>
          <w:tcPr>
            <w:tcW w:w="326" w:type="pct"/>
            <w:shd w:val="clear" w:color="auto" w:fill="C6EFCE"/>
            <w:hideMark/>
          </w:tcPr>
          <w:p w14:paraId="5B5A91E9"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 xml:space="preserve">Nodokļu maksātāju reitingu sistēmas darbības uzsākšana, kontroles </w:t>
            </w:r>
            <w:r w:rsidRPr="00A116F8">
              <w:rPr>
                <w:rFonts w:ascii="Times New Roman" w:hAnsi="Times New Roman"/>
                <w:sz w:val="16"/>
                <w:szCs w:val="18"/>
              </w:rPr>
              <w:lastRenderedPageBreak/>
              <w:t>optimizācija</w:t>
            </w:r>
          </w:p>
        </w:tc>
        <w:tc>
          <w:tcPr>
            <w:tcW w:w="336" w:type="pct"/>
            <w:shd w:val="clear" w:color="auto" w:fill="C6EFCE"/>
            <w:hideMark/>
          </w:tcPr>
          <w:p w14:paraId="3C9C7F59"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lastRenderedPageBreak/>
              <w:t>Tiesību aktu stāšanās spēkā</w:t>
            </w:r>
          </w:p>
        </w:tc>
        <w:tc>
          <w:tcPr>
            <w:tcW w:w="298" w:type="pct"/>
            <w:shd w:val="clear" w:color="auto" w:fill="C6EFCE"/>
            <w:hideMark/>
          </w:tcPr>
          <w:p w14:paraId="5ACE3BCB"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70" w:type="pct"/>
            <w:shd w:val="clear" w:color="auto" w:fill="C6EFCE"/>
            <w:hideMark/>
          </w:tcPr>
          <w:p w14:paraId="34D8B902"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03" w:type="pct"/>
            <w:shd w:val="clear" w:color="auto" w:fill="C6EFCE"/>
            <w:hideMark/>
          </w:tcPr>
          <w:p w14:paraId="793E4888"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136" w:type="pct"/>
            <w:shd w:val="clear" w:color="auto" w:fill="C6EFCE"/>
            <w:hideMark/>
          </w:tcPr>
          <w:p w14:paraId="65717C32"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4. cet.</w:t>
            </w:r>
          </w:p>
        </w:tc>
        <w:tc>
          <w:tcPr>
            <w:tcW w:w="193" w:type="pct"/>
            <w:shd w:val="clear" w:color="auto" w:fill="C6EFCE"/>
            <w:hideMark/>
          </w:tcPr>
          <w:p w14:paraId="4DB66E7E"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2022</w:t>
            </w:r>
          </w:p>
        </w:tc>
        <w:tc>
          <w:tcPr>
            <w:tcW w:w="407" w:type="pct"/>
            <w:shd w:val="clear" w:color="auto" w:fill="C6EFCE"/>
          </w:tcPr>
          <w:p w14:paraId="6AB9B9ED"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Finanšu ministrija</w:t>
            </w:r>
          </w:p>
        </w:tc>
        <w:tc>
          <w:tcPr>
            <w:tcW w:w="370" w:type="pct"/>
            <w:shd w:val="clear" w:color="auto" w:fill="C6EFCE"/>
          </w:tcPr>
          <w:p w14:paraId="721EB759"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1F6CD402"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 xml:space="preserve">Kopsavilkuma dokuments, kurā pienācīgi pamatots, kā tika apmierinoši sasniegts atskaites </w:t>
            </w:r>
            <w:r w:rsidRPr="00A116F8">
              <w:rPr>
                <w:rFonts w:ascii="Times New Roman" w:hAnsi="Times New Roman"/>
                <w:sz w:val="16"/>
                <w:szCs w:val="18"/>
              </w:rPr>
              <w:lastRenderedPageBreak/>
              <w:t>punkts (tostarp visi būtiskie elementi), kopā ar atbilstošām saitēm uz pamatojošajiem pierādījumiem.</w:t>
            </w:r>
          </w:p>
          <w:p w14:paraId="2D0E222D"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Šā dokumenta pielikumā iekļauj šādus dokumentārus pierādījumus:</w:t>
            </w:r>
          </w:p>
          <w:p w14:paraId="1241DCD6"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t>a) to tiesību aktu kopiju, kas nosaka i) nodokļu maksātāju reitingu sistēmas tiesisko regulējumu un ii) optimizētos nodokļu kontroles un inspekciju veidus, kā arī saiti uz publikāciju oficiālajā izdevumā, tostarp atsauci uz norādēm par stāšanos spēkā;</w:t>
            </w:r>
          </w:p>
          <w:p w14:paraId="03C1B1F9"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b) iekšējos dokumentāros pierādījumus, kas apliecina nodokļu kontroles un inspekciju optimizāciju.</w:t>
            </w:r>
          </w:p>
        </w:tc>
        <w:tc>
          <w:tcPr>
            <w:tcW w:w="760" w:type="pct"/>
            <w:shd w:val="clear" w:color="auto" w:fill="C6EFCE"/>
            <w:hideMark/>
          </w:tcPr>
          <w:p w14:paraId="38D541B9"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lastRenderedPageBreak/>
              <w:t>Tiesību aktu grozījumu stāšanās spēkā, tostarp:</w:t>
            </w:r>
          </w:p>
          <w:p w14:paraId="68472CBF"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xml:space="preserve">- iekļauts nodokļu maksātāju reitingu sistēmas tiesiskais </w:t>
            </w:r>
            <w:r w:rsidRPr="00A116F8">
              <w:rPr>
                <w:rFonts w:ascii="Times New Roman" w:hAnsi="Times New Roman"/>
                <w:sz w:val="16"/>
                <w:szCs w:val="18"/>
              </w:rPr>
              <w:lastRenderedPageBreak/>
              <w:t>regulējums, kas nodrošina to novērtējuma publicēšanu;</w:t>
            </w:r>
          </w:p>
          <w:p w14:paraId="0D8C93BA" w14:textId="77777777" w:rsidR="001A3E6F" w:rsidRPr="00A116F8" w:rsidRDefault="001A3E6F" w:rsidP="00A116F8">
            <w:pPr>
              <w:pStyle w:val="ListParagraph"/>
              <w:widowControl w:val="0"/>
              <w:spacing w:after="0" w:line="240" w:lineRule="auto"/>
              <w:ind w:left="57" w:right="57"/>
              <w:contextualSpacing w:val="0"/>
              <w:rPr>
                <w:rFonts w:ascii="Times New Roman" w:eastAsia="Times New Roman" w:hAnsi="Times New Roman" w:cs="Times New Roman"/>
                <w:noProof/>
                <w:sz w:val="16"/>
                <w:szCs w:val="18"/>
              </w:rPr>
            </w:pPr>
            <w:r w:rsidRPr="00A116F8">
              <w:rPr>
                <w:rFonts w:ascii="Times New Roman" w:hAnsi="Times New Roman"/>
                <w:sz w:val="16"/>
                <w:szCs w:val="18"/>
              </w:rPr>
              <w:t>- optimizēti nodokļu kontroles un inspekciju veidi, lai uzlabotu nodokļu kontroles un inspekciju efektivitāti.</w:t>
            </w:r>
          </w:p>
        </w:tc>
      </w:tr>
      <w:tr w:rsidR="001A3E6F" w:rsidRPr="00A116F8" w14:paraId="22FE8A6D" w14:textId="77777777" w:rsidTr="009E7D55">
        <w:trPr>
          <w:jc w:val="center"/>
        </w:trPr>
        <w:tc>
          <w:tcPr>
            <w:tcW w:w="163" w:type="pct"/>
            <w:shd w:val="clear" w:color="auto" w:fill="C6EFCE"/>
            <w:hideMark/>
          </w:tcPr>
          <w:p w14:paraId="15E0C2EA"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lastRenderedPageBreak/>
              <w:t>168</w:t>
            </w:r>
          </w:p>
        </w:tc>
        <w:tc>
          <w:tcPr>
            <w:tcW w:w="314" w:type="pct"/>
            <w:shd w:val="clear" w:color="auto" w:fill="C6EFCE"/>
            <w:hideMark/>
          </w:tcPr>
          <w:p w14:paraId="6AA25842"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6.1.1.r. Analītikas stiprināšana un datu pārvaldības attīstība nodokļu administrēšanas un muitas jomā</w:t>
            </w:r>
          </w:p>
        </w:tc>
        <w:tc>
          <w:tcPr>
            <w:tcW w:w="270" w:type="pct"/>
            <w:shd w:val="clear" w:color="auto" w:fill="C6EFCE"/>
            <w:hideMark/>
          </w:tcPr>
          <w:p w14:paraId="7120C03A"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Atskaites punkts</w:t>
            </w:r>
          </w:p>
        </w:tc>
        <w:tc>
          <w:tcPr>
            <w:tcW w:w="326" w:type="pct"/>
            <w:shd w:val="clear" w:color="auto" w:fill="C6EFCE"/>
            <w:hideMark/>
          </w:tcPr>
          <w:p w14:paraId="107B72A0"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Sāk darboties uz datiem balstītu pakalpojumu grozs katrai nodokļu maksātāju segmentācijas grupai</w:t>
            </w:r>
          </w:p>
        </w:tc>
        <w:tc>
          <w:tcPr>
            <w:tcW w:w="336" w:type="pct"/>
            <w:shd w:val="clear" w:color="auto" w:fill="C6EFCE"/>
            <w:hideMark/>
          </w:tcPr>
          <w:p w14:paraId="6AE919D9"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Izmaiņas Valsts ieņēmumu dienesta iekšējos noteikumos un/vai pakalpojumu sniegšanas platformā(-s)</w:t>
            </w:r>
          </w:p>
        </w:tc>
        <w:tc>
          <w:tcPr>
            <w:tcW w:w="298" w:type="pct"/>
            <w:shd w:val="clear" w:color="auto" w:fill="C6EFCE"/>
            <w:hideMark/>
          </w:tcPr>
          <w:p w14:paraId="0B917CBE"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70" w:type="pct"/>
            <w:shd w:val="clear" w:color="auto" w:fill="C6EFCE"/>
            <w:hideMark/>
          </w:tcPr>
          <w:p w14:paraId="676B2F81"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03" w:type="pct"/>
            <w:shd w:val="clear" w:color="auto" w:fill="C6EFCE"/>
            <w:hideMark/>
          </w:tcPr>
          <w:p w14:paraId="160A67B2"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136" w:type="pct"/>
            <w:shd w:val="clear" w:color="auto" w:fill="C6EFCE"/>
            <w:hideMark/>
          </w:tcPr>
          <w:p w14:paraId="2838C67F"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 cet.</w:t>
            </w:r>
          </w:p>
        </w:tc>
        <w:tc>
          <w:tcPr>
            <w:tcW w:w="193" w:type="pct"/>
            <w:shd w:val="clear" w:color="auto" w:fill="C6EFCE"/>
            <w:hideMark/>
          </w:tcPr>
          <w:p w14:paraId="2523BDC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2024</w:t>
            </w:r>
          </w:p>
        </w:tc>
        <w:tc>
          <w:tcPr>
            <w:tcW w:w="407" w:type="pct"/>
            <w:shd w:val="clear" w:color="auto" w:fill="C6EFCE"/>
          </w:tcPr>
          <w:p w14:paraId="6733FAEB"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Valsts ieņēmumu dienests</w:t>
            </w:r>
          </w:p>
        </w:tc>
        <w:tc>
          <w:tcPr>
            <w:tcW w:w="370" w:type="pct"/>
            <w:shd w:val="clear" w:color="auto" w:fill="C6EFCE"/>
          </w:tcPr>
          <w:p w14:paraId="502DE6BB"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0BF97A37"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 xml:space="preserve">Kopsavilkuma dokuments, kurā pienācīgi pamatots, kā tika apmierinoši sasniegts atskaites punkts (tostarp visi būtiskie elementi), kopā ar atbilstošām saitēm </w:t>
            </w:r>
            <w:r w:rsidRPr="00A116F8">
              <w:rPr>
                <w:rFonts w:ascii="Times New Roman" w:hAnsi="Times New Roman"/>
                <w:sz w:val="16"/>
                <w:szCs w:val="18"/>
              </w:rPr>
              <w:lastRenderedPageBreak/>
              <w:t>uz pamatojošajiem pierādījumiem.</w:t>
            </w:r>
          </w:p>
          <w:p w14:paraId="7CD24121"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Šā dokumenta pielikumā iekļauj šādus dokumentārus pierādījumus:</w:t>
            </w:r>
          </w:p>
          <w:p w14:paraId="29199530"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a) grozītos iekšējos normatīvos aktos, kuros izklāstīti nodokļu maksātāju segmentācijas principi un uzskaitīti katram nodokļu maksātāju segmentam piedāvātie pakalpojumi;</w:t>
            </w:r>
          </w:p>
          <w:p w14:paraId="557D1233"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b) dokumentu, kurā izskaidrotas izmaiņas un priekšrocības salīdzinājumā ar iepriekšējo sistēmu;</w:t>
            </w:r>
          </w:p>
          <w:p w14:paraId="3A301E79"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c) platformas/kanāla izrakstu, kas apliecina uz datiem balstītu pakalpojumu groza stāšanos spēkā.</w:t>
            </w:r>
          </w:p>
        </w:tc>
        <w:tc>
          <w:tcPr>
            <w:tcW w:w="760" w:type="pct"/>
            <w:shd w:val="clear" w:color="auto" w:fill="C6EFCE"/>
            <w:hideMark/>
          </w:tcPr>
          <w:p w14:paraId="630DC9AB"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lastRenderedPageBreak/>
              <w:t>Uz datiem balstītu pakalpojumu groza stāšanās spēkā katrai nodokļu maksātāju segmentācijas grupai.</w:t>
            </w:r>
          </w:p>
        </w:tc>
      </w:tr>
      <w:tr w:rsidR="001A3E6F" w:rsidRPr="00A116F8" w14:paraId="69CF1AB9" w14:textId="77777777" w:rsidTr="009E7D55">
        <w:trPr>
          <w:jc w:val="center"/>
        </w:trPr>
        <w:tc>
          <w:tcPr>
            <w:tcW w:w="163" w:type="pct"/>
            <w:shd w:val="clear" w:color="auto" w:fill="C6EFCE"/>
            <w:hideMark/>
          </w:tcPr>
          <w:p w14:paraId="1A114141"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169</w:t>
            </w:r>
          </w:p>
        </w:tc>
        <w:tc>
          <w:tcPr>
            <w:tcW w:w="314" w:type="pct"/>
            <w:shd w:val="clear" w:color="auto" w:fill="C6EFCE"/>
            <w:hideMark/>
          </w:tcPr>
          <w:p w14:paraId="2301234C"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6.1.1.r. Analītikas stiprināšana un datu pārvaldības attīstība nodokļu administrēšanas un muitas jomā</w:t>
            </w:r>
          </w:p>
        </w:tc>
        <w:tc>
          <w:tcPr>
            <w:tcW w:w="270" w:type="pct"/>
            <w:shd w:val="clear" w:color="auto" w:fill="C6EFCE"/>
            <w:hideMark/>
          </w:tcPr>
          <w:p w14:paraId="7DB3D56D"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Atskaites punkts</w:t>
            </w:r>
          </w:p>
        </w:tc>
        <w:tc>
          <w:tcPr>
            <w:tcW w:w="326" w:type="pct"/>
            <w:shd w:val="clear" w:color="auto" w:fill="C6EFCE"/>
            <w:hideMark/>
          </w:tcPr>
          <w:p w14:paraId="770FA6FD"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 xml:space="preserve">Atbilstības riska pārvaldības rokasgrāmatas publicēšana </w:t>
            </w:r>
          </w:p>
        </w:tc>
        <w:tc>
          <w:tcPr>
            <w:tcW w:w="336" w:type="pct"/>
            <w:shd w:val="clear" w:color="auto" w:fill="C6EFCE"/>
            <w:hideMark/>
          </w:tcPr>
          <w:p w14:paraId="2E86236F"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Grozījumi Valsts ieņēmumu dienesta iekšējos noteikumos</w:t>
            </w:r>
          </w:p>
        </w:tc>
        <w:tc>
          <w:tcPr>
            <w:tcW w:w="298" w:type="pct"/>
            <w:shd w:val="clear" w:color="auto" w:fill="C6EFCE"/>
            <w:hideMark/>
          </w:tcPr>
          <w:p w14:paraId="6B0A25F9"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70" w:type="pct"/>
            <w:shd w:val="clear" w:color="auto" w:fill="C6EFCE"/>
            <w:hideMark/>
          </w:tcPr>
          <w:p w14:paraId="7F5FBAB0"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03" w:type="pct"/>
            <w:shd w:val="clear" w:color="auto" w:fill="C6EFCE"/>
            <w:hideMark/>
          </w:tcPr>
          <w:p w14:paraId="1689EE3F"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136" w:type="pct"/>
            <w:shd w:val="clear" w:color="auto" w:fill="C6EFCE"/>
            <w:hideMark/>
          </w:tcPr>
          <w:p w14:paraId="4485A78D"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3. cet.</w:t>
            </w:r>
          </w:p>
        </w:tc>
        <w:tc>
          <w:tcPr>
            <w:tcW w:w="193" w:type="pct"/>
            <w:shd w:val="clear" w:color="auto" w:fill="C6EFCE"/>
            <w:hideMark/>
          </w:tcPr>
          <w:p w14:paraId="56799CB2"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2023</w:t>
            </w:r>
          </w:p>
        </w:tc>
        <w:tc>
          <w:tcPr>
            <w:tcW w:w="407" w:type="pct"/>
            <w:shd w:val="clear" w:color="auto" w:fill="C6EFCE"/>
          </w:tcPr>
          <w:p w14:paraId="127D35A7"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Valsts ieņēmumu dienests</w:t>
            </w:r>
          </w:p>
        </w:tc>
        <w:tc>
          <w:tcPr>
            <w:tcW w:w="370" w:type="pct"/>
            <w:shd w:val="clear" w:color="auto" w:fill="C6EFCE"/>
          </w:tcPr>
          <w:p w14:paraId="68800B1A"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1336D092"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 xml:space="preserve">Kopsavilkuma dokuments, kurā pienācīgi pamatots, kā tika apmierinoši sasniegts mērķis (tostarp visi būtiskie elementi), kopā ar atbilstošām saitēm uz pamatojošajiem </w:t>
            </w:r>
            <w:r w:rsidRPr="00A116F8">
              <w:rPr>
                <w:rFonts w:ascii="Times New Roman" w:hAnsi="Times New Roman"/>
                <w:sz w:val="16"/>
                <w:szCs w:val="18"/>
              </w:rPr>
              <w:lastRenderedPageBreak/>
              <w:t>pierādījumiem.</w:t>
            </w:r>
          </w:p>
          <w:p w14:paraId="38EC28A3"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Šā dokumenta pielikumā iekļauj šādus dokumentārus pierādījumus:</w:t>
            </w:r>
          </w:p>
          <w:p w14:paraId="56DFC683"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a) rokasgrāmatas kopiju;</w:t>
            </w:r>
          </w:p>
          <w:p w14:paraId="61CF6C80"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b) apliecinājumu par rokasgrāmatas publicēšanu.</w:t>
            </w:r>
          </w:p>
        </w:tc>
        <w:tc>
          <w:tcPr>
            <w:tcW w:w="760" w:type="pct"/>
            <w:shd w:val="clear" w:color="auto" w:fill="C6EFCE"/>
            <w:hideMark/>
          </w:tcPr>
          <w:p w14:paraId="6D824D54"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lastRenderedPageBreak/>
              <w:t>Publicēta rokasgrāmata par nedeklarēto algu metodoloģisko atbilstības riska pārvaldību, tostarp:</w:t>
            </w:r>
          </w:p>
          <w:p w14:paraId="3ADD7FC2"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riska novērtēšanas pamatnostādnes;</w:t>
            </w:r>
          </w:p>
          <w:p w14:paraId="5E7B1336"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“aplokšņu algu maksātāju” tipoloģiju aspekti;</w:t>
            </w:r>
          </w:p>
          <w:p w14:paraId="329CE160"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lastRenderedPageBreak/>
              <w:t>- pieejamo preventīvo un kontroles instrumentu aspekti;</w:t>
            </w:r>
          </w:p>
          <w:p w14:paraId="477EE2C9"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tiesas nolēmumu analīze nedeklarēto algu jomā.</w:t>
            </w:r>
          </w:p>
        </w:tc>
      </w:tr>
      <w:tr w:rsidR="001A3E6F" w:rsidRPr="00A116F8" w14:paraId="54677B1F" w14:textId="77777777" w:rsidTr="009E7D55">
        <w:trPr>
          <w:jc w:val="center"/>
        </w:trPr>
        <w:tc>
          <w:tcPr>
            <w:tcW w:w="163" w:type="pct"/>
            <w:shd w:val="clear" w:color="auto" w:fill="C6EFCE"/>
            <w:hideMark/>
          </w:tcPr>
          <w:p w14:paraId="49412604"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lastRenderedPageBreak/>
              <w:t>170</w:t>
            </w:r>
          </w:p>
        </w:tc>
        <w:tc>
          <w:tcPr>
            <w:tcW w:w="314" w:type="pct"/>
            <w:shd w:val="clear" w:color="auto" w:fill="C6EFCE"/>
            <w:hideMark/>
          </w:tcPr>
          <w:p w14:paraId="635C3620"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6.1.1.r. Analītikas stiprināšana un datu pārvaldības attīstība nodokļu administrēšanas un muitas jomā</w:t>
            </w:r>
          </w:p>
        </w:tc>
        <w:tc>
          <w:tcPr>
            <w:tcW w:w="270" w:type="pct"/>
            <w:shd w:val="clear" w:color="auto" w:fill="C6EFCE"/>
            <w:hideMark/>
          </w:tcPr>
          <w:p w14:paraId="63955F30"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Mērķis</w:t>
            </w:r>
          </w:p>
        </w:tc>
        <w:tc>
          <w:tcPr>
            <w:tcW w:w="326" w:type="pct"/>
            <w:shd w:val="clear" w:color="auto" w:fill="C6EFCE"/>
            <w:hideMark/>
          </w:tcPr>
          <w:p w14:paraId="74718E0D"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Valsts pētniecības programmas “Ēnu ekonomikas samazināšana, lai nodrošinātu valsts ilgtspējīgu attīstību” īstenošana</w:t>
            </w:r>
          </w:p>
        </w:tc>
        <w:tc>
          <w:tcPr>
            <w:tcW w:w="336" w:type="pct"/>
            <w:shd w:val="clear" w:color="auto" w:fill="C6EFCE"/>
            <w:hideMark/>
          </w:tcPr>
          <w:p w14:paraId="43636BDA"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98" w:type="pct"/>
            <w:shd w:val="clear" w:color="auto" w:fill="C6EFCE"/>
            <w:hideMark/>
          </w:tcPr>
          <w:p w14:paraId="582D7006"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Pētījumu ziņojumu skaits</w:t>
            </w:r>
          </w:p>
        </w:tc>
        <w:tc>
          <w:tcPr>
            <w:tcW w:w="270" w:type="pct"/>
            <w:shd w:val="clear" w:color="auto" w:fill="C6EFCE"/>
            <w:hideMark/>
          </w:tcPr>
          <w:p w14:paraId="622F6A3F"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0</w:t>
            </w:r>
          </w:p>
        </w:tc>
        <w:tc>
          <w:tcPr>
            <w:tcW w:w="203" w:type="pct"/>
            <w:shd w:val="clear" w:color="auto" w:fill="C6EFCE"/>
            <w:hideMark/>
          </w:tcPr>
          <w:p w14:paraId="500BEB72"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5</w:t>
            </w:r>
          </w:p>
        </w:tc>
        <w:tc>
          <w:tcPr>
            <w:tcW w:w="136" w:type="pct"/>
            <w:shd w:val="clear" w:color="auto" w:fill="C6EFCE"/>
            <w:hideMark/>
          </w:tcPr>
          <w:p w14:paraId="74545837"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4. cet.</w:t>
            </w:r>
          </w:p>
        </w:tc>
        <w:tc>
          <w:tcPr>
            <w:tcW w:w="193" w:type="pct"/>
            <w:shd w:val="clear" w:color="auto" w:fill="C6EFCE"/>
            <w:hideMark/>
          </w:tcPr>
          <w:p w14:paraId="62C9341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2022</w:t>
            </w:r>
          </w:p>
        </w:tc>
        <w:tc>
          <w:tcPr>
            <w:tcW w:w="407" w:type="pct"/>
            <w:shd w:val="clear" w:color="auto" w:fill="C6EFCE"/>
          </w:tcPr>
          <w:p w14:paraId="5BDFFE71"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Finanšu ministrija</w:t>
            </w:r>
          </w:p>
        </w:tc>
        <w:tc>
          <w:tcPr>
            <w:tcW w:w="370" w:type="pct"/>
            <w:shd w:val="clear" w:color="auto" w:fill="C6EFCE"/>
          </w:tcPr>
          <w:p w14:paraId="3B3115B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651AA6BB"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Kopsavilkuma dokuments, kurā pienācīgi pamatots, kā tika apmierinoši sasniegts mērķis (tostarp visi būtiskie elementi), kopā ar atbilstošām saitēm uz pamatojošajiem pierādījumiem.</w:t>
            </w:r>
          </w:p>
          <w:p w14:paraId="4A7B35F1"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Šā dokumenta pielikumā iekļauj šādus dokumentārus pierādījumus:</w:t>
            </w:r>
          </w:p>
          <w:p w14:paraId="73D12881"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a) visu piecu pētījumu kopijas;</w:t>
            </w:r>
          </w:p>
          <w:p w14:paraId="3A0BC16B"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b) kopiju ziņojumiem par politikas ieteikumiem cīņai pret izvairīšanos no nodokļu maksāšanas, un saite uz tiem;</w:t>
            </w:r>
          </w:p>
          <w:p w14:paraId="7007F6B7"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 xml:space="preserve">c) kopiju ziņojumiem par politikas ieteikumiem nelikumīgas </w:t>
            </w:r>
            <w:r w:rsidRPr="00A116F8">
              <w:rPr>
                <w:rFonts w:ascii="Times New Roman" w:hAnsi="Times New Roman"/>
                <w:sz w:val="16"/>
                <w:szCs w:val="18"/>
              </w:rPr>
              <w:lastRenderedPageBreak/>
              <w:t>naudas aprites riska mazināšanai, un saite uz tiem;</w:t>
            </w:r>
          </w:p>
          <w:p w14:paraId="7C90CA4E"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d) ēnu ekonomikas novērtēšanas metodikas kopiju.</w:t>
            </w:r>
          </w:p>
        </w:tc>
        <w:tc>
          <w:tcPr>
            <w:tcW w:w="760" w:type="pct"/>
            <w:shd w:val="clear" w:color="auto" w:fill="C6EFCE"/>
            <w:hideMark/>
          </w:tcPr>
          <w:p w14:paraId="59AE0E0B" w14:textId="77777777" w:rsidR="001A3E6F" w:rsidRPr="00A116F8" w:rsidRDefault="001A3E6F" w:rsidP="00A116F8">
            <w:pPr>
              <w:widowControl w:val="0"/>
              <w:spacing w:after="0" w:line="240" w:lineRule="auto"/>
              <w:ind w:left="57" w:right="57"/>
              <w:rPr>
                <w:rFonts w:ascii="Times New Roman" w:hAnsi="Times New Roman" w:cs="Times New Roman"/>
                <w:noProof/>
                <w:sz w:val="16"/>
                <w:szCs w:val="18"/>
              </w:rPr>
            </w:pPr>
            <w:r w:rsidRPr="00A116F8">
              <w:rPr>
                <w:rFonts w:ascii="Times New Roman" w:hAnsi="Times New Roman"/>
                <w:sz w:val="16"/>
                <w:szCs w:val="18"/>
              </w:rPr>
              <w:lastRenderedPageBreak/>
              <w:t>Nodokļu saistību izpildes jomā veic šādus pētījumus:</w:t>
            </w:r>
          </w:p>
          <w:p w14:paraId="055D91A5"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ziņojums par faktoriem, kas ietekmē ēnu ekonomiku Latvijā, galveno uzmanību pievēršot svarīgākajām nozarēm;</w:t>
            </w:r>
          </w:p>
          <w:p w14:paraId="71A90BA7"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ziņojums par faktoriem, kas nosaka fizisku personu izvairīšanos no nodokļu maksāšanas, tostarp analīze par ēnu ekonomikas līmeņa ietekmi uz nodokļu saistību izpildi;</w:t>
            </w:r>
          </w:p>
          <w:p w14:paraId="7D310604"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ziņojums ar politikas ieteikumiem attiecībā uz likumdošanas, organizatoriskiem, tehnoloģiskiem un citiem uzlabojumiem, lai uzlabotu nodokļu saistību izpildi, tostarp novērtējums par ierosināto ieteikumu finansiālo ietekmi;</w:t>
            </w:r>
          </w:p>
          <w:p w14:paraId="5CC0CD80"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xml:space="preserve">- ziņojums, kurā novērtēti nelikumīgu </w:t>
            </w:r>
            <w:r w:rsidRPr="00A116F8">
              <w:rPr>
                <w:rFonts w:ascii="Times New Roman" w:hAnsi="Times New Roman"/>
                <w:sz w:val="16"/>
                <w:szCs w:val="18"/>
              </w:rPr>
              <w:lastRenderedPageBreak/>
              <w:t>darbību dēļ neiegūtie budžeta ieņēmumi, tostarp ieteikumi tiesību aktu grozījumiem nelikumīgas naudas aprites riska mazināšanai;</w:t>
            </w:r>
          </w:p>
          <w:p w14:paraId="6B987FB0"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xml:space="preserve">- ēnu ekonomikas mērīšanas metodikas izstrāde, izmantojot dinamisku “vairāku indikatoru – vairāku cēloņu” modeli, tostarp sadalījumu pēc nodokļu veidiem, uzņēmuma lieluma un nozarēm. </w:t>
            </w:r>
          </w:p>
        </w:tc>
      </w:tr>
      <w:tr w:rsidR="001A3E6F" w:rsidRPr="00A116F8" w14:paraId="3F5CF63E" w14:textId="77777777" w:rsidTr="009E7D55">
        <w:trPr>
          <w:jc w:val="center"/>
        </w:trPr>
        <w:tc>
          <w:tcPr>
            <w:tcW w:w="163" w:type="pct"/>
            <w:shd w:val="clear" w:color="auto" w:fill="C6EFCE"/>
            <w:hideMark/>
          </w:tcPr>
          <w:p w14:paraId="20EB3B97"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lastRenderedPageBreak/>
              <w:t>171</w:t>
            </w:r>
          </w:p>
        </w:tc>
        <w:tc>
          <w:tcPr>
            <w:tcW w:w="314" w:type="pct"/>
            <w:shd w:val="clear" w:color="auto" w:fill="C6EFCE"/>
            <w:hideMark/>
          </w:tcPr>
          <w:p w14:paraId="7B59D5D6"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6.1.1.r. Analītikas stiprināšana un datu pārvaldības attīstība nodokļu administrēšanas un muitas jomā</w:t>
            </w:r>
          </w:p>
        </w:tc>
        <w:tc>
          <w:tcPr>
            <w:tcW w:w="270" w:type="pct"/>
            <w:shd w:val="clear" w:color="auto" w:fill="C6EFCE"/>
            <w:hideMark/>
          </w:tcPr>
          <w:p w14:paraId="406D659C"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Atskaites punkts</w:t>
            </w:r>
          </w:p>
        </w:tc>
        <w:tc>
          <w:tcPr>
            <w:tcW w:w="326" w:type="pct"/>
            <w:shd w:val="clear" w:color="auto" w:fill="C6EFCE"/>
            <w:hideMark/>
          </w:tcPr>
          <w:p w14:paraId="3FDFD6AE"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Pētījumu rezultātu ieviešana</w:t>
            </w:r>
          </w:p>
        </w:tc>
        <w:tc>
          <w:tcPr>
            <w:tcW w:w="336" w:type="pct"/>
            <w:shd w:val="clear" w:color="auto" w:fill="C6EFCE"/>
            <w:hideMark/>
          </w:tcPr>
          <w:p w14:paraId="093BB638"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Publicēts novērtējuma ziņojums par ēnu ekonomiku</w:t>
            </w:r>
          </w:p>
        </w:tc>
        <w:tc>
          <w:tcPr>
            <w:tcW w:w="298" w:type="pct"/>
            <w:shd w:val="clear" w:color="auto" w:fill="C6EFCE"/>
            <w:hideMark/>
          </w:tcPr>
          <w:p w14:paraId="52CA3020"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Neattiecas</w:t>
            </w:r>
          </w:p>
        </w:tc>
        <w:tc>
          <w:tcPr>
            <w:tcW w:w="270" w:type="pct"/>
            <w:shd w:val="clear" w:color="auto" w:fill="C6EFCE"/>
            <w:hideMark/>
          </w:tcPr>
          <w:p w14:paraId="31A514CA"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Neattiecas</w:t>
            </w:r>
          </w:p>
        </w:tc>
        <w:tc>
          <w:tcPr>
            <w:tcW w:w="203" w:type="pct"/>
            <w:shd w:val="clear" w:color="auto" w:fill="C6EFCE"/>
            <w:hideMark/>
          </w:tcPr>
          <w:p w14:paraId="251B6911"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Neattiecas</w:t>
            </w:r>
          </w:p>
        </w:tc>
        <w:tc>
          <w:tcPr>
            <w:tcW w:w="136" w:type="pct"/>
            <w:shd w:val="clear" w:color="auto" w:fill="C6EFCE"/>
            <w:hideMark/>
          </w:tcPr>
          <w:p w14:paraId="279A894B"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4. cet.</w:t>
            </w:r>
          </w:p>
        </w:tc>
        <w:tc>
          <w:tcPr>
            <w:tcW w:w="193" w:type="pct"/>
            <w:shd w:val="clear" w:color="auto" w:fill="C6EFCE"/>
            <w:hideMark/>
          </w:tcPr>
          <w:p w14:paraId="6E91CD19"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2023</w:t>
            </w:r>
          </w:p>
        </w:tc>
        <w:tc>
          <w:tcPr>
            <w:tcW w:w="407" w:type="pct"/>
            <w:shd w:val="clear" w:color="auto" w:fill="C6EFCE"/>
          </w:tcPr>
          <w:p w14:paraId="6A762387"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Finanšu ministrija</w:t>
            </w:r>
          </w:p>
        </w:tc>
        <w:tc>
          <w:tcPr>
            <w:tcW w:w="370" w:type="pct"/>
            <w:shd w:val="clear" w:color="auto" w:fill="C6EFCE"/>
          </w:tcPr>
          <w:p w14:paraId="513DDE2A"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4D80CF38"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Kopsavilkuma dokuments, kurā pienācīgi pamatots, kā tika apmierinoši sasniegts atskaites punkts (tostarp visi būtiskie elementi), kopā ar atbilstošām saitēm uz pamatojošajiem pierādījumiem.</w:t>
            </w:r>
          </w:p>
          <w:p w14:paraId="619A68A4"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Šā dokumenta pielikumā iekļauj publicētā novērtējuma ziņojuma par ēnu ekonomiku kopiju un saiti uz to.</w:t>
            </w:r>
          </w:p>
        </w:tc>
        <w:tc>
          <w:tcPr>
            <w:tcW w:w="760" w:type="pct"/>
            <w:shd w:val="clear" w:color="auto" w:fill="C6EFCE"/>
            <w:hideMark/>
          </w:tcPr>
          <w:p w14:paraId="7BAD387C" w14:textId="77777777" w:rsidR="001A3E6F" w:rsidRPr="00A116F8" w:rsidRDefault="001A3E6F" w:rsidP="00A116F8">
            <w:pPr>
              <w:widowControl w:val="0"/>
              <w:spacing w:after="0" w:line="240" w:lineRule="auto"/>
              <w:ind w:left="57" w:right="57"/>
              <w:rPr>
                <w:rFonts w:ascii="Times New Roman" w:hAnsi="Times New Roman" w:cs="Times New Roman"/>
                <w:noProof/>
                <w:sz w:val="16"/>
                <w:szCs w:val="18"/>
              </w:rPr>
            </w:pPr>
            <w:r w:rsidRPr="00A116F8">
              <w:rPr>
                <w:rFonts w:ascii="Times New Roman" w:hAnsi="Times New Roman"/>
                <w:sz w:val="16"/>
                <w:szCs w:val="18"/>
              </w:rPr>
              <w:t>Publicē pirmo novērtējuma ziņojumu par ēnu ekonomikas apmēru, pamatojoties uz 2022. gadā izstrādāto metodiku.</w:t>
            </w:r>
          </w:p>
        </w:tc>
      </w:tr>
      <w:tr w:rsidR="001A3E6F" w:rsidRPr="00A116F8" w14:paraId="713CE136" w14:textId="77777777" w:rsidTr="009E7D55">
        <w:trPr>
          <w:jc w:val="center"/>
        </w:trPr>
        <w:tc>
          <w:tcPr>
            <w:tcW w:w="163" w:type="pct"/>
            <w:shd w:val="clear" w:color="auto" w:fill="C6EFCE"/>
            <w:hideMark/>
          </w:tcPr>
          <w:p w14:paraId="6C5F727A"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172</w:t>
            </w:r>
          </w:p>
        </w:tc>
        <w:tc>
          <w:tcPr>
            <w:tcW w:w="314" w:type="pct"/>
            <w:shd w:val="clear" w:color="auto" w:fill="C6EFCE"/>
            <w:hideMark/>
          </w:tcPr>
          <w:p w14:paraId="24B796E0"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6.1.1.1.i. Esošo analītisko risinājumu modernizācija</w:t>
            </w:r>
          </w:p>
        </w:tc>
        <w:tc>
          <w:tcPr>
            <w:tcW w:w="270" w:type="pct"/>
            <w:shd w:val="clear" w:color="auto" w:fill="C6EFCE"/>
            <w:hideMark/>
          </w:tcPr>
          <w:p w14:paraId="3223E039"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Atskaites punkts</w:t>
            </w:r>
          </w:p>
        </w:tc>
        <w:tc>
          <w:tcPr>
            <w:tcW w:w="326" w:type="pct"/>
            <w:shd w:val="clear" w:color="auto" w:fill="C6EFCE"/>
            <w:hideMark/>
          </w:tcPr>
          <w:p w14:paraId="255DC42C"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 xml:space="preserve">Modernizētu analītisko risinājumu darbības uzsākšana </w:t>
            </w:r>
          </w:p>
        </w:tc>
        <w:tc>
          <w:tcPr>
            <w:tcW w:w="336" w:type="pct"/>
            <w:shd w:val="clear" w:color="auto" w:fill="C6EFCE"/>
            <w:hideMark/>
          </w:tcPr>
          <w:p w14:paraId="193BA12E"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Izstrādātas un ieviestas modernas riska analīzes sistēmas</w:t>
            </w:r>
          </w:p>
        </w:tc>
        <w:tc>
          <w:tcPr>
            <w:tcW w:w="298" w:type="pct"/>
            <w:shd w:val="clear" w:color="auto" w:fill="C6EFCE"/>
            <w:hideMark/>
          </w:tcPr>
          <w:p w14:paraId="1FA32958"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70" w:type="pct"/>
            <w:shd w:val="clear" w:color="auto" w:fill="C6EFCE"/>
            <w:hideMark/>
          </w:tcPr>
          <w:p w14:paraId="5175E152"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03" w:type="pct"/>
            <w:shd w:val="clear" w:color="auto" w:fill="C6EFCE"/>
            <w:hideMark/>
          </w:tcPr>
          <w:p w14:paraId="3251E427"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136" w:type="pct"/>
            <w:shd w:val="clear" w:color="auto" w:fill="C6EFCE"/>
            <w:hideMark/>
          </w:tcPr>
          <w:p w14:paraId="0AAA6C16"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 cet.</w:t>
            </w:r>
          </w:p>
        </w:tc>
        <w:tc>
          <w:tcPr>
            <w:tcW w:w="193" w:type="pct"/>
            <w:shd w:val="clear" w:color="auto" w:fill="C6EFCE"/>
            <w:hideMark/>
          </w:tcPr>
          <w:p w14:paraId="4701392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2024</w:t>
            </w:r>
          </w:p>
        </w:tc>
        <w:tc>
          <w:tcPr>
            <w:tcW w:w="407" w:type="pct"/>
            <w:shd w:val="clear" w:color="auto" w:fill="C6EFCE"/>
          </w:tcPr>
          <w:p w14:paraId="14FA2047"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Valsts ieņēmumu dienests</w:t>
            </w:r>
          </w:p>
        </w:tc>
        <w:tc>
          <w:tcPr>
            <w:tcW w:w="370" w:type="pct"/>
            <w:shd w:val="clear" w:color="auto" w:fill="C6EFCE"/>
          </w:tcPr>
          <w:p w14:paraId="5AB5037B"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6D536EA8"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 xml:space="preserve">Kopsavilkuma dokuments, kurā pienācīgi pamatots, kā tika apmierinoši </w:t>
            </w:r>
            <w:r w:rsidRPr="00A116F8">
              <w:rPr>
                <w:rFonts w:ascii="Times New Roman" w:hAnsi="Times New Roman"/>
                <w:sz w:val="16"/>
                <w:szCs w:val="18"/>
              </w:rPr>
              <w:lastRenderedPageBreak/>
              <w:t>sasniegts atskaites punkts (tostarp visi būtiskie elementi), kopā ar atbilstošām saitēm uz pamatojošajiem pierādījumiem.</w:t>
            </w:r>
          </w:p>
          <w:p w14:paraId="34C90F3B"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Šā dokumenta pielikumā iekļauj šādus dokumentārus pierādījumus:</w:t>
            </w:r>
          </w:p>
          <w:p w14:paraId="205A0900"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t xml:space="preserve">a) kopiju apliecinājumam par pabeigšanu, kas izsniegts saskaņā ar valsts tiesību aktiem un apliecina, ka pabeigta riska sistēmu pārcelšana uz vienotu analītisko platformu, riska sistēmas individuālo nodokļu maksātājiem un akcīzes nodokļa riska pārvaldības sistēmas izstrāde un ieviešana un </w:t>
            </w:r>
            <w:r w:rsidRPr="00A116F8">
              <w:rPr>
                <w:rFonts w:ascii="Times New Roman" w:hAnsi="Times New Roman"/>
                <w:i/>
                <w:iCs/>
                <w:sz w:val="16"/>
                <w:szCs w:val="18"/>
              </w:rPr>
              <w:t>ESKORT</w:t>
            </w:r>
            <w:r w:rsidRPr="00A116F8">
              <w:rPr>
                <w:rFonts w:ascii="Times New Roman" w:hAnsi="Times New Roman"/>
                <w:sz w:val="16"/>
                <w:szCs w:val="18"/>
              </w:rPr>
              <w:t xml:space="preserve"> sistēmas pārnešana uz </w:t>
            </w:r>
            <w:r w:rsidRPr="00A116F8">
              <w:rPr>
                <w:rFonts w:ascii="Times New Roman" w:hAnsi="Times New Roman"/>
                <w:i/>
                <w:iCs/>
                <w:sz w:val="16"/>
                <w:szCs w:val="18"/>
              </w:rPr>
              <w:t>SAP HANA</w:t>
            </w:r>
            <w:r w:rsidRPr="00A116F8">
              <w:rPr>
                <w:rFonts w:ascii="Times New Roman" w:hAnsi="Times New Roman"/>
                <w:sz w:val="16"/>
                <w:szCs w:val="18"/>
              </w:rPr>
              <w:t xml:space="preserve"> datubāzi;</w:t>
            </w:r>
          </w:p>
          <w:p w14:paraId="3918122D"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b) tādu tehnisko specifikāciju izrakstu, kas sasaista to prasības ar atskaites punkta sasniegšanu.</w:t>
            </w:r>
          </w:p>
        </w:tc>
        <w:tc>
          <w:tcPr>
            <w:tcW w:w="760" w:type="pct"/>
            <w:shd w:val="clear" w:color="auto" w:fill="C6EFCE"/>
            <w:hideMark/>
          </w:tcPr>
          <w:p w14:paraId="6B7E25A2"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lastRenderedPageBreak/>
              <w:t>Ir pabeigti šādi uzlabojumi:</w:t>
            </w:r>
          </w:p>
          <w:p w14:paraId="61769729"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xml:space="preserve">pašreizējās riska sistēmas ir migrētas uz vienotu analītisko </w:t>
            </w:r>
            <w:r w:rsidRPr="00A116F8">
              <w:rPr>
                <w:rFonts w:ascii="Times New Roman" w:hAnsi="Times New Roman"/>
                <w:sz w:val="16"/>
                <w:szCs w:val="18"/>
              </w:rPr>
              <w:lastRenderedPageBreak/>
              <w:t>platformu;</w:t>
            </w:r>
          </w:p>
          <w:p w14:paraId="1D91DB89"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izstrādāta un ieviesta riska sistēma individuālo nodokļu maksātājiem;</w:t>
            </w:r>
          </w:p>
          <w:p w14:paraId="7F9FCFDD"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izstrādāta un ieviesta akcīzes nodokļa riska pārvaldības sistēma;</w:t>
            </w:r>
          </w:p>
          <w:p w14:paraId="30F63ADC"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i/>
                <w:iCs/>
                <w:sz w:val="16"/>
                <w:szCs w:val="18"/>
              </w:rPr>
              <w:t>ESKORT</w:t>
            </w:r>
            <w:r w:rsidRPr="00A116F8">
              <w:rPr>
                <w:rFonts w:ascii="Times New Roman" w:hAnsi="Times New Roman"/>
                <w:sz w:val="16"/>
                <w:szCs w:val="18"/>
              </w:rPr>
              <w:t xml:space="preserve"> sistēma pārnesta uz </w:t>
            </w:r>
            <w:r w:rsidRPr="00A116F8">
              <w:rPr>
                <w:rFonts w:ascii="Times New Roman" w:hAnsi="Times New Roman"/>
                <w:i/>
                <w:iCs/>
                <w:sz w:val="16"/>
                <w:szCs w:val="18"/>
              </w:rPr>
              <w:t xml:space="preserve">SAP HANA </w:t>
            </w:r>
            <w:r w:rsidRPr="00A116F8">
              <w:rPr>
                <w:rFonts w:ascii="Times New Roman" w:hAnsi="Times New Roman"/>
                <w:sz w:val="16"/>
                <w:szCs w:val="18"/>
              </w:rPr>
              <w:t>datubāzi.</w:t>
            </w:r>
          </w:p>
        </w:tc>
      </w:tr>
      <w:tr w:rsidR="001A3E6F" w:rsidRPr="00A116F8" w14:paraId="6C93368D" w14:textId="77777777" w:rsidTr="009E7D55">
        <w:trPr>
          <w:jc w:val="center"/>
        </w:trPr>
        <w:tc>
          <w:tcPr>
            <w:tcW w:w="163" w:type="pct"/>
            <w:shd w:val="clear" w:color="auto" w:fill="C6EFCE"/>
            <w:hideMark/>
          </w:tcPr>
          <w:p w14:paraId="4798C5E9"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lastRenderedPageBreak/>
              <w:t>173</w:t>
            </w:r>
          </w:p>
        </w:tc>
        <w:tc>
          <w:tcPr>
            <w:tcW w:w="314" w:type="pct"/>
            <w:shd w:val="clear" w:color="auto" w:fill="C6EFCE"/>
            <w:hideMark/>
          </w:tcPr>
          <w:p w14:paraId="4AED47B2"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 xml:space="preserve">6.1.1.2.i. Jaunu analītisko </w:t>
            </w:r>
            <w:r w:rsidRPr="00A116F8">
              <w:rPr>
                <w:rFonts w:ascii="Times New Roman" w:hAnsi="Times New Roman"/>
                <w:b/>
                <w:sz w:val="16"/>
                <w:szCs w:val="18"/>
              </w:rPr>
              <w:lastRenderedPageBreak/>
              <w:t>sistēmu izstrāde</w:t>
            </w:r>
          </w:p>
        </w:tc>
        <w:tc>
          <w:tcPr>
            <w:tcW w:w="270" w:type="pct"/>
            <w:shd w:val="clear" w:color="auto" w:fill="C6EFCE"/>
            <w:hideMark/>
          </w:tcPr>
          <w:p w14:paraId="0BE45F8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lastRenderedPageBreak/>
              <w:t>Atskaites punkts</w:t>
            </w:r>
          </w:p>
        </w:tc>
        <w:tc>
          <w:tcPr>
            <w:tcW w:w="326" w:type="pct"/>
            <w:shd w:val="clear" w:color="auto" w:fill="C6EFCE"/>
            <w:hideMark/>
          </w:tcPr>
          <w:p w14:paraId="53311B5A"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 xml:space="preserve">Jaunu analītisko sistēmu darbības </w:t>
            </w:r>
            <w:r w:rsidRPr="00A116F8">
              <w:rPr>
                <w:rFonts w:ascii="Times New Roman" w:hAnsi="Times New Roman"/>
                <w:sz w:val="16"/>
                <w:szCs w:val="18"/>
              </w:rPr>
              <w:lastRenderedPageBreak/>
              <w:t>uzsākšana</w:t>
            </w:r>
          </w:p>
        </w:tc>
        <w:tc>
          <w:tcPr>
            <w:tcW w:w="336" w:type="pct"/>
            <w:shd w:val="clear" w:color="auto" w:fill="C6EFCE"/>
            <w:hideMark/>
          </w:tcPr>
          <w:p w14:paraId="1DF321B7"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lastRenderedPageBreak/>
              <w:t xml:space="preserve">Sāk darboties moderna riska </w:t>
            </w:r>
            <w:r w:rsidRPr="00A116F8">
              <w:rPr>
                <w:rFonts w:ascii="Times New Roman" w:hAnsi="Times New Roman"/>
                <w:sz w:val="16"/>
                <w:szCs w:val="18"/>
              </w:rPr>
              <w:lastRenderedPageBreak/>
              <w:t>analīzes sistēma</w:t>
            </w:r>
          </w:p>
        </w:tc>
        <w:tc>
          <w:tcPr>
            <w:tcW w:w="298" w:type="pct"/>
            <w:shd w:val="clear" w:color="auto" w:fill="C6EFCE"/>
            <w:hideMark/>
          </w:tcPr>
          <w:p w14:paraId="1361310A"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70" w:type="pct"/>
            <w:shd w:val="clear" w:color="auto" w:fill="C6EFCE"/>
            <w:hideMark/>
          </w:tcPr>
          <w:p w14:paraId="12A3120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03" w:type="pct"/>
            <w:shd w:val="clear" w:color="auto" w:fill="C6EFCE"/>
            <w:hideMark/>
          </w:tcPr>
          <w:p w14:paraId="14F704F0"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136" w:type="pct"/>
            <w:shd w:val="clear" w:color="auto" w:fill="C6EFCE"/>
            <w:hideMark/>
          </w:tcPr>
          <w:p w14:paraId="63852ABA"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 cet.</w:t>
            </w:r>
          </w:p>
        </w:tc>
        <w:tc>
          <w:tcPr>
            <w:tcW w:w="193" w:type="pct"/>
            <w:shd w:val="clear" w:color="auto" w:fill="C6EFCE"/>
            <w:hideMark/>
          </w:tcPr>
          <w:p w14:paraId="06C4FC9D"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2024</w:t>
            </w:r>
          </w:p>
        </w:tc>
        <w:tc>
          <w:tcPr>
            <w:tcW w:w="407" w:type="pct"/>
            <w:shd w:val="clear" w:color="auto" w:fill="C6EFCE"/>
          </w:tcPr>
          <w:p w14:paraId="4E1BBABF"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 xml:space="preserve">Valsts ieņēmumu </w:t>
            </w:r>
            <w:r w:rsidRPr="00A116F8">
              <w:rPr>
                <w:rFonts w:ascii="Times New Roman" w:hAnsi="Times New Roman"/>
                <w:sz w:val="16"/>
                <w:szCs w:val="18"/>
              </w:rPr>
              <w:lastRenderedPageBreak/>
              <w:t>dienests</w:t>
            </w:r>
          </w:p>
        </w:tc>
        <w:tc>
          <w:tcPr>
            <w:tcW w:w="370" w:type="pct"/>
            <w:shd w:val="clear" w:color="auto" w:fill="C6EFCE"/>
          </w:tcPr>
          <w:p w14:paraId="18D81592"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34C02FE5"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 xml:space="preserve">Kopsavilkuma dokuments, kurā </w:t>
            </w:r>
            <w:r w:rsidRPr="00A116F8">
              <w:rPr>
                <w:rFonts w:ascii="Times New Roman" w:hAnsi="Times New Roman"/>
                <w:sz w:val="16"/>
                <w:szCs w:val="18"/>
              </w:rPr>
              <w:lastRenderedPageBreak/>
              <w:t>pienācīgi pamatots, kā tika apmierinoši sasniegts atskaites punkts (tostarp visi būtiskie elementi), kopā ar atbilstošām saitēm uz pamatojošajiem pierādījumiem.</w:t>
            </w:r>
          </w:p>
          <w:p w14:paraId="4BFA4453"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Šā dokumenta pielikumā iekļauj šādus dokumentārus pierādījumus:</w:t>
            </w:r>
          </w:p>
          <w:p w14:paraId="5B1BFFB7"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a) kopiju apliecinājumam par pabeigšanu, kas izsniegts saskaņā ar valsts tiesību aktiem un apliecina nodokļu maksātāju segmentācijas IT sistēmas izstrādi un darbības uzsākšanu;</w:t>
            </w:r>
          </w:p>
          <w:p w14:paraId="5C2DE7F8"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b) tādu tehnisko specifikāciju izrakstu, kas sasaista to prasības ar atskaites punkta sasniegšanu.</w:t>
            </w:r>
          </w:p>
        </w:tc>
        <w:tc>
          <w:tcPr>
            <w:tcW w:w="760" w:type="pct"/>
            <w:shd w:val="clear" w:color="auto" w:fill="C6EFCE"/>
            <w:hideMark/>
          </w:tcPr>
          <w:p w14:paraId="682902C9"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lastRenderedPageBreak/>
              <w:t xml:space="preserve">Izstrādā un sāk izmantot IT sistēmu </w:t>
            </w:r>
            <w:r w:rsidRPr="00A116F8">
              <w:rPr>
                <w:rFonts w:ascii="Times New Roman" w:hAnsi="Times New Roman"/>
                <w:sz w:val="16"/>
                <w:szCs w:val="18"/>
              </w:rPr>
              <w:lastRenderedPageBreak/>
              <w:t>nodokļu maksātāju segmentācijai (tostarp integrāciju publicētā datubāzē un datu vizualizāciju Elektroniskās deklarēšanas sistēmā (EDS)).</w:t>
            </w:r>
          </w:p>
          <w:p w14:paraId="085CD63A"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Jaunā sistēma ir integrēta nodokļu maksātāja 360 grādu analīzē.</w:t>
            </w:r>
          </w:p>
        </w:tc>
      </w:tr>
      <w:tr w:rsidR="001A3E6F" w:rsidRPr="00A116F8" w14:paraId="36F2E2FC" w14:textId="77777777" w:rsidTr="009E7D55">
        <w:trPr>
          <w:jc w:val="center"/>
        </w:trPr>
        <w:tc>
          <w:tcPr>
            <w:tcW w:w="163" w:type="pct"/>
            <w:shd w:val="clear" w:color="auto" w:fill="C6EFCE"/>
            <w:hideMark/>
          </w:tcPr>
          <w:p w14:paraId="66A0A400"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lastRenderedPageBreak/>
              <w:t>174</w:t>
            </w:r>
          </w:p>
        </w:tc>
        <w:tc>
          <w:tcPr>
            <w:tcW w:w="314" w:type="pct"/>
            <w:shd w:val="clear" w:color="auto" w:fill="C6EFCE"/>
            <w:hideMark/>
          </w:tcPr>
          <w:p w14:paraId="3BC079AE"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6.1.1.3.i.</w:t>
            </w:r>
          </w:p>
          <w:p w14:paraId="6208CE58"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Personāla sagatavošana darbam ar analītisko platformu un konsultācijas</w:t>
            </w:r>
          </w:p>
        </w:tc>
        <w:tc>
          <w:tcPr>
            <w:tcW w:w="270" w:type="pct"/>
            <w:shd w:val="clear" w:color="auto" w:fill="C6EFCE"/>
            <w:hideMark/>
          </w:tcPr>
          <w:p w14:paraId="06E0E069"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Mērķis</w:t>
            </w:r>
          </w:p>
        </w:tc>
        <w:tc>
          <w:tcPr>
            <w:tcW w:w="326" w:type="pct"/>
            <w:shd w:val="clear" w:color="auto" w:fill="C6EFCE"/>
            <w:hideMark/>
          </w:tcPr>
          <w:p w14:paraId="7C0DD8D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Darbinieku sagatavošana darbam ar analītisko platformu</w:t>
            </w:r>
          </w:p>
        </w:tc>
        <w:tc>
          <w:tcPr>
            <w:tcW w:w="336" w:type="pct"/>
            <w:shd w:val="clear" w:color="auto" w:fill="C6EFCE"/>
            <w:hideMark/>
          </w:tcPr>
          <w:p w14:paraId="3A446887"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98" w:type="pct"/>
            <w:shd w:val="clear" w:color="auto" w:fill="C6EFCE"/>
            <w:hideMark/>
          </w:tcPr>
          <w:p w14:paraId="6D6AD456"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Mācību sertifikātu skaits</w:t>
            </w:r>
          </w:p>
        </w:tc>
        <w:tc>
          <w:tcPr>
            <w:tcW w:w="270" w:type="pct"/>
            <w:shd w:val="clear" w:color="auto" w:fill="C6EFCE"/>
            <w:hideMark/>
          </w:tcPr>
          <w:p w14:paraId="3660EA84"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0</w:t>
            </w:r>
          </w:p>
        </w:tc>
        <w:tc>
          <w:tcPr>
            <w:tcW w:w="203" w:type="pct"/>
            <w:shd w:val="clear" w:color="auto" w:fill="C6EFCE"/>
            <w:hideMark/>
          </w:tcPr>
          <w:p w14:paraId="3F11ACC9"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50</w:t>
            </w:r>
          </w:p>
        </w:tc>
        <w:tc>
          <w:tcPr>
            <w:tcW w:w="136" w:type="pct"/>
            <w:shd w:val="clear" w:color="auto" w:fill="C6EFCE"/>
            <w:hideMark/>
          </w:tcPr>
          <w:p w14:paraId="241E64E7"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4. cet.</w:t>
            </w:r>
          </w:p>
        </w:tc>
        <w:tc>
          <w:tcPr>
            <w:tcW w:w="193" w:type="pct"/>
            <w:shd w:val="clear" w:color="auto" w:fill="C6EFCE"/>
            <w:hideMark/>
          </w:tcPr>
          <w:p w14:paraId="3D11A924"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2023</w:t>
            </w:r>
          </w:p>
        </w:tc>
        <w:tc>
          <w:tcPr>
            <w:tcW w:w="407" w:type="pct"/>
            <w:shd w:val="clear" w:color="auto" w:fill="C6EFCE"/>
          </w:tcPr>
          <w:p w14:paraId="69929EE5"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Valsts ieņēmumu dienests</w:t>
            </w:r>
          </w:p>
        </w:tc>
        <w:tc>
          <w:tcPr>
            <w:tcW w:w="370" w:type="pct"/>
            <w:shd w:val="clear" w:color="auto" w:fill="C6EFCE"/>
          </w:tcPr>
          <w:p w14:paraId="38E6A8B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03E308B7"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 xml:space="preserve">Kopsavilkuma dokuments, kurā pienācīgi pamatots, kā tika apmierinoši sasniegts mērķis (tostarp visi būtiskie elementi), kopā ar atbilstošām saitēm </w:t>
            </w:r>
            <w:r w:rsidRPr="00A116F8">
              <w:rPr>
                <w:rFonts w:ascii="Times New Roman" w:hAnsi="Times New Roman"/>
                <w:sz w:val="16"/>
                <w:szCs w:val="18"/>
              </w:rPr>
              <w:lastRenderedPageBreak/>
              <w:t>uz pamatojošajiem pierādījumiem.</w:t>
            </w:r>
          </w:p>
          <w:p w14:paraId="37D2099B"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Šā dokumenta pielikumā iekļauj šādus dokumentārus pierādījumus:</w:t>
            </w:r>
          </w:p>
          <w:p w14:paraId="0FC750D5"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a) 50 sertifikātu kopijas, kas apliecina mācību programmu pabeigšanu;</w:t>
            </w:r>
          </w:p>
          <w:p w14:paraId="6C74C6D4"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b) specifikācijas saskaņā ar mācību prasībām (t. i., pabeigtās stundas, mācību svarīgākās jomas).</w:t>
            </w:r>
          </w:p>
        </w:tc>
        <w:tc>
          <w:tcPr>
            <w:tcW w:w="760" w:type="pct"/>
            <w:shd w:val="clear" w:color="auto" w:fill="C6EFCE"/>
            <w:hideMark/>
          </w:tcPr>
          <w:p w14:paraId="56FCAFD8" w14:textId="77777777" w:rsidR="001A3E6F" w:rsidRPr="00A116F8" w:rsidRDefault="001A3E6F" w:rsidP="00A116F8">
            <w:pPr>
              <w:widowControl w:val="0"/>
              <w:spacing w:after="0" w:line="240" w:lineRule="auto"/>
              <w:ind w:left="57" w:right="57"/>
              <w:rPr>
                <w:rFonts w:ascii="Times New Roman" w:hAnsi="Times New Roman" w:cs="Times New Roman"/>
                <w:noProof/>
                <w:sz w:val="16"/>
                <w:szCs w:val="18"/>
              </w:rPr>
            </w:pPr>
            <w:r w:rsidRPr="00A116F8">
              <w:rPr>
                <w:rFonts w:ascii="Times New Roman" w:hAnsi="Times New Roman"/>
                <w:sz w:val="16"/>
                <w:szCs w:val="18"/>
              </w:rPr>
              <w:lastRenderedPageBreak/>
              <w:t xml:space="preserve">50 VID speciālisti ir sagatavoti darbam ar </w:t>
            </w:r>
            <w:r w:rsidRPr="00A116F8">
              <w:rPr>
                <w:rFonts w:ascii="Times New Roman" w:hAnsi="Times New Roman"/>
                <w:i/>
                <w:iCs/>
                <w:sz w:val="16"/>
                <w:szCs w:val="18"/>
              </w:rPr>
              <w:t>SAP HANA</w:t>
            </w:r>
            <w:r w:rsidRPr="00A116F8">
              <w:rPr>
                <w:rFonts w:ascii="Times New Roman" w:hAnsi="Times New Roman"/>
                <w:sz w:val="16"/>
                <w:szCs w:val="18"/>
              </w:rPr>
              <w:t xml:space="preserve"> platformu. Mācībās galvenā uzmanība tiek pievērsta prasmēm, kas vajadzīgas darbam ar </w:t>
            </w:r>
            <w:r w:rsidRPr="00A116F8">
              <w:rPr>
                <w:rFonts w:ascii="Times New Roman" w:hAnsi="Times New Roman"/>
                <w:i/>
                <w:iCs/>
                <w:sz w:val="16"/>
                <w:szCs w:val="18"/>
              </w:rPr>
              <w:t>SAP HANA</w:t>
            </w:r>
            <w:r w:rsidRPr="00A116F8">
              <w:rPr>
                <w:rFonts w:ascii="Times New Roman" w:hAnsi="Times New Roman"/>
                <w:sz w:val="16"/>
                <w:szCs w:val="18"/>
              </w:rPr>
              <w:t xml:space="preserve"> sistēmu, un praktiskām prasmēm sistēmas </w:t>
            </w:r>
            <w:r w:rsidRPr="00A116F8">
              <w:rPr>
                <w:rFonts w:ascii="Times New Roman" w:hAnsi="Times New Roman"/>
                <w:sz w:val="16"/>
                <w:szCs w:val="18"/>
              </w:rPr>
              <w:lastRenderedPageBreak/>
              <w:t>administrēšanā.</w:t>
            </w:r>
          </w:p>
        </w:tc>
      </w:tr>
      <w:tr w:rsidR="001A3E6F" w:rsidRPr="00A116F8" w14:paraId="3FFB08D4" w14:textId="77777777" w:rsidTr="009E7D55">
        <w:trPr>
          <w:jc w:val="center"/>
        </w:trPr>
        <w:tc>
          <w:tcPr>
            <w:tcW w:w="163" w:type="pct"/>
            <w:shd w:val="clear" w:color="auto" w:fill="C6EFCE"/>
            <w:hideMark/>
          </w:tcPr>
          <w:p w14:paraId="1EFABE82"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lastRenderedPageBreak/>
              <w:t>175</w:t>
            </w:r>
          </w:p>
        </w:tc>
        <w:tc>
          <w:tcPr>
            <w:tcW w:w="314" w:type="pct"/>
            <w:shd w:val="clear" w:color="auto" w:fill="C6EFCE"/>
            <w:hideMark/>
          </w:tcPr>
          <w:p w14:paraId="146B365B"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6.1.2.r.</w:t>
            </w:r>
          </w:p>
          <w:p w14:paraId="7010EC37"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 xml:space="preserve">Muitas kontroles punktos skenēto attēlu attālināta un centralizēta analīze </w:t>
            </w:r>
          </w:p>
        </w:tc>
        <w:tc>
          <w:tcPr>
            <w:tcW w:w="270" w:type="pct"/>
            <w:shd w:val="clear" w:color="auto" w:fill="C6EFCE"/>
            <w:hideMark/>
          </w:tcPr>
          <w:p w14:paraId="5442EBCC"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Mērķis</w:t>
            </w:r>
          </w:p>
        </w:tc>
        <w:tc>
          <w:tcPr>
            <w:tcW w:w="326" w:type="pct"/>
            <w:shd w:val="clear" w:color="auto" w:fill="C6EFCE"/>
            <w:hideMark/>
          </w:tcPr>
          <w:p w14:paraId="265CC7A7"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bookmarkStart w:id="29" w:name="_Hlk146707515"/>
            <w:r w:rsidRPr="00A116F8">
              <w:rPr>
                <w:rFonts w:ascii="Times New Roman" w:hAnsi="Times New Roman"/>
                <w:sz w:val="16"/>
                <w:szCs w:val="18"/>
              </w:rPr>
              <w:t>Latvijas muitas kontroles punktos skenēto kravu attēlu, kurus analizē attālināti un centralizēti, īpatsvars</w:t>
            </w:r>
            <w:bookmarkEnd w:id="29"/>
          </w:p>
        </w:tc>
        <w:tc>
          <w:tcPr>
            <w:tcW w:w="336" w:type="pct"/>
            <w:shd w:val="clear" w:color="auto" w:fill="C6EFCE"/>
            <w:hideMark/>
          </w:tcPr>
          <w:p w14:paraId="506423A4"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98" w:type="pct"/>
            <w:shd w:val="clear" w:color="auto" w:fill="C6EFCE"/>
            <w:hideMark/>
          </w:tcPr>
          <w:p w14:paraId="2CB8197B"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 xml:space="preserve">% </w:t>
            </w:r>
          </w:p>
        </w:tc>
        <w:tc>
          <w:tcPr>
            <w:tcW w:w="270" w:type="pct"/>
            <w:shd w:val="clear" w:color="auto" w:fill="C6EFCE"/>
            <w:hideMark/>
          </w:tcPr>
          <w:p w14:paraId="2DB6416D"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0</w:t>
            </w:r>
          </w:p>
        </w:tc>
        <w:tc>
          <w:tcPr>
            <w:tcW w:w="203" w:type="pct"/>
            <w:shd w:val="clear" w:color="auto" w:fill="C6EFCE"/>
            <w:hideMark/>
          </w:tcPr>
          <w:p w14:paraId="43F8BFD9"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95</w:t>
            </w:r>
          </w:p>
        </w:tc>
        <w:tc>
          <w:tcPr>
            <w:tcW w:w="136" w:type="pct"/>
            <w:shd w:val="clear" w:color="auto" w:fill="C6EFCE"/>
            <w:hideMark/>
          </w:tcPr>
          <w:p w14:paraId="38E4CC16"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3. cet.</w:t>
            </w:r>
          </w:p>
        </w:tc>
        <w:tc>
          <w:tcPr>
            <w:tcW w:w="193" w:type="pct"/>
            <w:shd w:val="clear" w:color="auto" w:fill="C6EFCE"/>
            <w:hideMark/>
          </w:tcPr>
          <w:p w14:paraId="3C76432E"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2026</w:t>
            </w:r>
          </w:p>
        </w:tc>
        <w:tc>
          <w:tcPr>
            <w:tcW w:w="407" w:type="pct"/>
            <w:shd w:val="clear" w:color="auto" w:fill="C6EFCE"/>
          </w:tcPr>
          <w:p w14:paraId="1FFC17BA"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Valsts ieņēmumu dienests</w:t>
            </w:r>
          </w:p>
        </w:tc>
        <w:tc>
          <w:tcPr>
            <w:tcW w:w="370" w:type="pct"/>
            <w:shd w:val="clear" w:color="auto" w:fill="C6EFCE"/>
          </w:tcPr>
          <w:p w14:paraId="2526F02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61D79069"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Kopsavilkuma dokuments, kurā pienācīgi pamatots, kā tika apmierinoši sasniegts mērķis (tostarp visi būtiskie elementi), kopā ar atbilstošām saitēm uz pamatojošajiem pierādījumiem.</w:t>
            </w:r>
          </w:p>
          <w:p w14:paraId="25CBE53C"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Šā dokumenta pielikumā iekļauj kopiju kopsavilkuma ziņojumam par muitas kontroles pasākumiem un tā dokumenta kopiju, kurā minētas ziņojuma daļas, kas attiecas uz mērķa izpildi.</w:t>
            </w:r>
          </w:p>
        </w:tc>
        <w:tc>
          <w:tcPr>
            <w:tcW w:w="760" w:type="pct"/>
            <w:shd w:val="clear" w:color="auto" w:fill="C6EFCE"/>
            <w:hideMark/>
          </w:tcPr>
          <w:p w14:paraId="1A260784"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xml:space="preserve">95 % kravu attēlu tiek analizēti centralizēti un attālināti, izmantojot </w:t>
            </w:r>
            <w:r w:rsidRPr="00A116F8">
              <w:rPr>
                <w:rFonts w:ascii="Times New Roman" w:hAnsi="Times New Roman"/>
                <w:i/>
                <w:iCs/>
                <w:sz w:val="16"/>
                <w:szCs w:val="18"/>
              </w:rPr>
              <w:t>BAXE</w:t>
            </w:r>
            <w:r w:rsidRPr="00A116F8">
              <w:rPr>
                <w:rFonts w:ascii="Times New Roman" w:hAnsi="Times New Roman"/>
                <w:sz w:val="16"/>
                <w:szCs w:val="18"/>
              </w:rPr>
              <w:t xml:space="preserve"> sistēmu.</w:t>
            </w:r>
          </w:p>
        </w:tc>
      </w:tr>
      <w:tr w:rsidR="001A3E6F" w:rsidRPr="00A116F8" w14:paraId="04E2AB19" w14:textId="77777777" w:rsidTr="009E7D55">
        <w:trPr>
          <w:jc w:val="center"/>
        </w:trPr>
        <w:tc>
          <w:tcPr>
            <w:tcW w:w="163" w:type="pct"/>
            <w:shd w:val="clear" w:color="auto" w:fill="C6EFCE"/>
            <w:hideMark/>
          </w:tcPr>
          <w:p w14:paraId="1C8E777F"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lastRenderedPageBreak/>
              <w:t>176</w:t>
            </w:r>
          </w:p>
        </w:tc>
        <w:tc>
          <w:tcPr>
            <w:tcW w:w="314" w:type="pct"/>
            <w:shd w:val="clear" w:color="auto" w:fill="C6EFCE"/>
            <w:hideMark/>
          </w:tcPr>
          <w:p w14:paraId="208B0BBF"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6.1.2.1.i.</w:t>
            </w:r>
          </w:p>
          <w:p w14:paraId="114E523E"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 xml:space="preserve">Dzelzceļa rentgena iekārtu sasaiste ar </w:t>
            </w:r>
            <w:r w:rsidRPr="00A116F8">
              <w:rPr>
                <w:rFonts w:ascii="Times New Roman" w:hAnsi="Times New Roman"/>
                <w:b/>
                <w:i/>
                <w:iCs/>
                <w:sz w:val="16"/>
                <w:szCs w:val="18"/>
              </w:rPr>
              <w:t>BAXE</w:t>
            </w:r>
            <w:r w:rsidRPr="00A116F8">
              <w:rPr>
                <w:rFonts w:ascii="Times New Roman" w:hAnsi="Times New Roman"/>
                <w:b/>
                <w:sz w:val="16"/>
                <w:szCs w:val="18"/>
              </w:rPr>
              <w:t xml:space="preserve"> un mākslīgā intelekta izmantošana dzelzceļu kravu skenēšanas attēlu analīzei</w:t>
            </w:r>
          </w:p>
        </w:tc>
        <w:tc>
          <w:tcPr>
            <w:tcW w:w="270" w:type="pct"/>
            <w:shd w:val="clear" w:color="auto" w:fill="C6EFCE"/>
            <w:hideMark/>
          </w:tcPr>
          <w:p w14:paraId="04B5BC50"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Atskaites punkts</w:t>
            </w:r>
          </w:p>
        </w:tc>
        <w:tc>
          <w:tcPr>
            <w:tcW w:w="326" w:type="pct"/>
            <w:shd w:val="clear" w:color="auto" w:fill="C6EFCE"/>
            <w:hideMark/>
          </w:tcPr>
          <w:p w14:paraId="4B060DD9"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 xml:space="preserve">Dzelzceļa muitas kontroles punktu skeneri savienoti ar rentgena iekārtu attēlu apmaiņas sistēmu </w:t>
            </w:r>
            <w:r w:rsidRPr="00A116F8">
              <w:rPr>
                <w:rFonts w:ascii="Times New Roman" w:hAnsi="Times New Roman"/>
                <w:i/>
                <w:iCs/>
                <w:sz w:val="16"/>
                <w:szCs w:val="18"/>
              </w:rPr>
              <w:t>BAXE</w:t>
            </w:r>
          </w:p>
        </w:tc>
        <w:tc>
          <w:tcPr>
            <w:tcW w:w="336" w:type="pct"/>
            <w:shd w:val="clear" w:color="auto" w:fill="C6EFCE"/>
            <w:hideMark/>
          </w:tcPr>
          <w:p w14:paraId="424E0DEE"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Parakstīts pieņemšanas akts</w:t>
            </w:r>
          </w:p>
        </w:tc>
        <w:tc>
          <w:tcPr>
            <w:tcW w:w="298" w:type="pct"/>
            <w:shd w:val="clear" w:color="auto" w:fill="C6EFCE"/>
            <w:hideMark/>
          </w:tcPr>
          <w:p w14:paraId="477943F8"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70" w:type="pct"/>
            <w:shd w:val="clear" w:color="auto" w:fill="C6EFCE"/>
            <w:hideMark/>
          </w:tcPr>
          <w:p w14:paraId="12315923"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03" w:type="pct"/>
            <w:shd w:val="clear" w:color="auto" w:fill="C6EFCE"/>
            <w:hideMark/>
          </w:tcPr>
          <w:p w14:paraId="0A35579A"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136" w:type="pct"/>
            <w:shd w:val="clear" w:color="auto" w:fill="C6EFCE"/>
            <w:hideMark/>
          </w:tcPr>
          <w:p w14:paraId="3B6E7827"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1. cet.</w:t>
            </w:r>
          </w:p>
        </w:tc>
        <w:tc>
          <w:tcPr>
            <w:tcW w:w="193" w:type="pct"/>
            <w:shd w:val="clear" w:color="auto" w:fill="C6EFCE"/>
            <w:hideMark/>
          </w:tcPr>
          <w:p w14:paraId="18043568"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2025</w:t>
            </w:r>
          </w:p>
        </w:tc>
        <w:tc>
          <w:tcPr>
            <w:tcW w:w="407" w:type="pct"/>
            <w:shd w:val="clear" w:color="auto" w:fill="C6EFCE"/>
          </w:tcPr>
          <w:p w14:paraId="748183F6"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Valsts ieņēmumu dienests</w:t>
            </w:r>
          </w:p>
        </w:tc>
        <w:tc>
          <w:tcPr>
            <w:tcW w:w="370" w:type="pct"/>
            <w:shd w:val="clear" w:color="auto" w:fill="C6EFCE"/>
          </w:tcPr>
          <w:p w14:paraId="27B06283"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34C01608"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Kopsavilkuma dokuments, kurā pienācīgi pamatots, kā tika apmierinoši sasniegts atskaites punkts (tostarp visi būtiskie elementi), kopā ar atbilstošām saitēm uz pamatojošajiem pierādījumiem.</w:t>
            </w:r>
          </w:p>
          <w:p w14:paraId="4819ED99"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Šā dokumenta pielikumā iekļauj šādus dokumentārus pierādījumus:</w:t>
            </w:r>
          </w:p>
          <w:p w14:paraId="25BCE55E"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t>a) kopiju apliecinājumam par pabeigšanu, kas izsniegts saskaņā ar valsts tiesību aktiem un apliecina kontroles punktu “Indra” un “Kārsava” skeneru sasaisti ar</w:t>
            </w:r>
            <w:r w:rsidRPr="00A116F8">
              <w:rPr>
                <w:rFonts w:ascii="Times New Roman" w:hAnsi="Times New Roman"/>
                <w:i/>
                <w:iCs/>
                <w:sz w:val="16"/>
                <w:szCs w:val="18"/>
              </w:rPr>
              <w:t xml:space="preserve"> BAXE</w:t>
            </w:r>
            <w:r w:rsidRPr="00A116F8">
              <w:rPr>
                <w:rFonts w:ascii="Times New Roman" w:hAnsi="Times New Roman"/>
                <w:sz w:val="16"/>
                <w:szCs w:val="18"/>
              </w:rPr>
              <w:t xml:space="preserve"> sistēmu;</w:t>
            </w:r>
          </w:p>
          <w:p w14:paraId="5AB8185F"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b) tādu tehnisko specifikāciju izrakstu, kas sasaista to prasības ar atskaites punkta sasniegšanu.</w:t>
            </w:r>
          </w:p>
        </w:tc>
        <w:tc>
          <w:tcPr>
            <w:tcW w:w="760" w:type="pct"/>
            <w:shd w:val="clear" w:color="auto" w:fill="C6EFCE"/>
            <w:hideMark/>
          </w:tcPr>
          <w:p w14:paraId="638BCA74"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xml:space="preserve">Dzelzceļa skeneri muitas kontroles punktos “Indra” un “Kārsava” savienoti ar </w:t>
            </w:r>
            <w:r w:rsidRPr="00A116F8">
              <w:rPr>
                <w:rFonts w:ascii="Times New Roman" w:hAnsi="Times New Roman"/>
                <w:i/>
                <w:iCs/>
                <w:sz w:val="16"/>
                <w:szCs w:val="18"/>
              </w:rPr>
              <w:t xml:space="preserve">BAXE </w:t>
            </w:r>
            <w:r w:rsidRPr="00A116F8">
              <w:rPr>
                <w:rFonts w:ascii="Times New Roman" w:hAnsi="Times New Roman"/>
                <w:sz w:val="16"/>
                <w:szCs w:val="18"/>
              </w:rPr>
              <w:t>informācijas sistēmu.</w:t>
            </w:r>
          </w:p>
        </w:tc>
      </w:tr>
      <w:tr w:rsidR="001A3E6F" w:rsidRPr="00A116F8" w14:paraId="24C8BF61" w14:textId="77777777" w:rsidTr="009E7D55">
        <w:trPr>
          <w:jc w:val="center"/>
        </w:trPr>
        <w:tc>
          <w:tcPr>
            <w:tcW w:w="163" w:type="pct"/>
            <w:shd w:val="clear" w:color="auto" w:fill="C6EFCE"/>
            <w:hideMark/>
          </w:tcPr>
          <w:p w14:paraId="06CA813A"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177</w:t>
            </w:r>
          </w:p>
        </w:tc>
        <w:tc>
          <w:tcPr>
            <w:tcW w:w="314" w:type="pct"/>
            <w:shd w:val="clear" w:color="auto" w:fill="C6EFCE"/>
            <w:hideMark/>
          </w:tcPr>
          <w:p w14:paraId="21CC48D1"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6.1.2.1.i.</w:t>
            </w:r>
          </w:p>
          <w:p w14:paraId="35123CFD"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 xml:space="preserve">Dzelzceļa rentgena iekārtu sasaiste ar </w:t>
            </w:r>
            <w:r w:rsidRPr="00A116F8">
              <w:rPr>
                <w:rFonts w:ascii="Times New Roman" w:hAnsi="Times New Roman"/>
                <w:b/>
                <w:i/>
                <w:iCs/>
                <w:sz w:val="16"/>
                <w:szCs w:val="18"/>
              </w:rPr>
              <w:t>BAXE</w:t>
            </w:r>
            <w:r w:rsidRPr="00A116F8">
              <w:rPr>
                <w:rFonts w:ascii="Times New Roman" w:hAnsi="Times New Roman"/>
                <w:b/>
                <w:sz w:val="16"/>
                <w:szCs w:val="18"/>
              </w:rPr>
              <w:t xml:space="preserve"> un mākslīgā intelekta izmantošana dzelzceļu kravu skenēšanas attēlu </w:t>
            </w:r>
            <w:r w:rsidRPr="00A116F8">
              <w:rPr>
                <w:rFonts w:ascii="Times New Roman" w:hAnsi="Times New Roman"/>
                <w:b/>
                <w:sz w:val="16"/>
                <w:szCs w:val="18"/>
              </w:rPr>
              <w:lastRenderedPageBreak/>
              <w:t xml:space="preserve">analīzei </w:t>
            </w:r>
          </w:p>
        </w:tc>
        <w:tc>
          <w:tcPr>
            <w:tcW w:w="270" w:type="pct"/>
            <w:shd w:val="clear" w:color="auto" w:fill="C6EFCE"/>
            <w:hideMark/>
          </w:tcPr>
          <w:p w14:paraId="17BA7F31"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lastRenderedPageBreak/>
              <w:t>Atskaites punkts</w:t>
            </w:r>
          </w:p>
        </w:tc>
        <w:tc>
          <w:tcPr>
            <w:tcW w:w="326" w:type="pct"/>
            <w:shd w:val="clear" w:color="auto" w:fill="C6EFCE"/>
            <w:hideMark/>
          </w:tcPr>
          <w:p w14:paraId="68AE4700"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Ieviesta dzelzceļa kravu skenēto attēlu analīzes platforma</w:t>
            </w:r>
          </w:p>
        </w:tc>
        <w:tc>
          <w:tcPr>
            <w:tcW w:w="336" w:type="pct"/>
            <w:shd w:val="clear" w:color="auto" w:fill="C6EFCE"/>
            <w:hideMark/>
          </w:tcPr>
          <w:p w14:paraId="00E6C0CB"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Parakstīts pieņemšanas akts</w:t>
            </w:r>
          </w:p>
        </w:tc>
        <w:tc>
          <w:tcPr>
            <w:tcW w:w="298" w:type="pct"/>
            <w:shd w:val="clear" w:color="auto" w:fill="C6EFCE"/>
            <w:hideMark/>
          </w:tcPr>
          <w:p w14:paraId="2F7ECD8A"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70" w:type="pct"/>
            <w:shd w:val="clear" w:color="auto" w:fill="C6EFCE"/>
            <w:hideMark/>
          </w:tcPr>
          <w:p w14:paraId="2E9FFDE7"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03" w:type="pct"/>
            <w:shd w:val="clear" w:color="auto" w:fill="C6EFCE"/>
            <w:hideMark/>
          </w:tcPr>
          <w:p w14:paraId="4ADC52EF"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136" w:type="pct"/>
            <w:shd w:val="clear" w:color="auto" w:fill="C6EFCE"/>
            <w:hideMark/>
          </w:tcPr>
          <w:p w14:paraId="01666C03"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1. cet.</w:t>
            </w:r>
          </w:p>
        </w:tc>
        <w:tc>
          <w:tcPr>
            <w:tcW w:w="193" w:type="pct"/>
            <w:shd w:val="clear" w:color="auto" w:fill="C6EFCE"/>
            <w:hideMark/>
          </w:tcPr>
          <w:p w14:paraId="514A6E54"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2026</w:t>
            </w:r>
          </w:p>
        </w:tc>
        <w:tc>
          <w:tcPr>
            <w:tcW w:w="407" w:type="pct"/>
            <w:shd w:val="clear" w:color="auto" w:fill="C6EFCE"/>
          </w:tcPr>
          <w:p w14:paraId="2F77720C"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Valsts ieņēmumu dienests</w:t>
            </w:r>
          </w:p>
        </w:tc>
        <w:tc>
          <w:tcPr>
            <w:tcW w:w="370" w:type="pct"/>
            <w:shd w:val="clear" w:color="auto" w:fill="C6EFCE"/>
          </w:tcPr>
          <w:p w14:paraId="145EFA06"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1AAA6C7B"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 xml:space="preserve">Kopsavilkuma dokuments, kurā pienācīgi pamatots, kā tika apmierinoši sasniegts atskaites punkts (tostarp visi būtiskie elementi), kopā ar </w:t>
            </w:r>
            <w:r w:rsidRPr="00A116F8">
              <w:rPr>
                <w:rFonts w:ascii="Times New Roman" w:hAnsi="Times New Roman"/>
                <w:sz w:val="16"/>
                <w:szCs w:val="18"/>
              </w:rPr>
              <w:lastRenderedPageBreak/>
              <w:t>atbilstošām saitēm uz pamatojošajiem pierādījumiem.</w:t>
            </w:r>
          </w:p>
          <w:p w14:paraId="17107C49"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Šā dokumenta pielikumā iekļauj šādus dokumentārus pierādījumus:</w:t>
            </w:r>
          </w:p>
          <w:p w14:paraId="6E7CA893"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t>a) kopiju apliecinājumam par pabeigšanu, kas izsniegts saskaņā ar valsts tiesību aktiem un apliecina automatizētas rentgena attēlu analīzes platformas lietošanu, kurā tiek izmantots mākslīgais intelekts dzelzceļa kravu skenēšanas attālu analīzei;</w:t>
            </w:r>
          </w:p>
          <w:p w14:paraId="3F5C081D"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b) tādu tehnisko specifikāciju izrakstu, kas sasaista to prasības ar atskaites punkta sasniegšanu.</w:t>
            </w:r>
          </w:p>
        </w:tc>
        <w:tc>
          <w:tcPr>
            <w:tcW w:w="760" w:type="pct"/>
            <w:shd w:val="clear" w:color="auto" w:fill="C6EFCE"/>
            <w:hideMark/>
          </w:tcPr>
          <w:p w14:paraId="48B00BFD"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lastRenderedPageBreak/>
              <w:t>Dzelzceļa kravu skenēšanas attēlu analīzei tiek lietota automatizēta rentgena attēlu analīzes platforma, kurā izmanto mākslīgo intelektu.</w:t>
            </w:r>
          </w:p>
        </w:tc>
      </w:tr>
      <w:tr w:rsidR="001A3E6F" w:rsidRPr="00A116F8" w14:paraId="164228D9" w14:textId="77777777" w:rsidTr="009E7D55">
        <w:trPr>
          <w:jc w:val="center"/>
        </w:trPr>
        <w:tc>
          <w:tcPr>
            <w:tcW w:w="163" w:type="pct"/>
            <w:shd w:val="clear" w:color="auto" w:fill="C6EFCE"/>
            <w:hideMark/>
          </w:tcPr>
          <w:p w14:paraId="4462B73E"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178</w:t>
            </w:r>
          </w:p>
        </w:tc>
        <w:tc>
          <w:tcPr>
            <w:tcW w:w="314" w:type="pct"/>
            <w:shd w:val="clear" w:color="auto" w:fill="C6EFCE"/>
            <w:hideMark/>
          </w:tcPr>
          <w:p w14:paraId="1A1C988C"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6.1.2.2.i.</w:t>
            </w:r>
          </w:p>
          <w:p w14:paraId="5614F03A"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Muitas laboratorijas kapacitātes celšana</w:t>
            </w:r>
          </w:p>
        </w:tc>
        <w:tc>
          <w:tcPr>
            <w:tcW w:w="270" w:type="pct"/>
            <w:shd w:val="clear" w:color="auto" w:fill="C6EFCE"/>
            <w:hideMark/>
          </w:tcPr>
          <w:p w14:paraId="7C50B1D7"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Atskaites punkts</w:t>
            </w:r>
          </w:p>
        </w:tc>
        <w:tc>
          <w:tcPr>
            <w:tcW w:w="326" w:type="pct"/>
            <w:shd w:val="clear" w:color="auto" w:fill="C6EFCE"/>
            <w:hideMark/>
          </w:tcPr>
          <w:p w14:paraId="3EC37DF7"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 xml:space="preserve">Iegādāts un uzstādīts spektrofotometrs lietošanai muitas laboratorijā </w:t>
            </w:r>
          </w:p>
        </w:tc>
        <w:tc>
          <w:tcPr>
            <w:tcW w:w="336" w:type="pct"/>
            <w:shd w:val="clear" w:color="auto" w:fill="C6EFCE"/>
            <w:hideMark/>
          </w:tcPr>
          <w:p w14:paraId="6CC4461E"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Parakstīts pieņemšanas akts</w:t>
            </w:r>
          </w:p>
        </w:tc>
        <w:tc>
          <w:tcPr>
            <w:tcW w:w="298" w:type="pct"/>
            <w:shd w:val="clear" w:color="auto" w:fill="C6EFCE"/>
            <w:hideMark/>
          </w:tcPr>
          <w:p w14:paraId="40C2E17D"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70" w:type="pct"/>
            <w:shd w:val="clear" w:color="auto" w:fill="C6EFCE"/>
            <w:hideMark/>
          </w:tcPr>
          <w:p w14:paraId="0F51442A"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03" w:type="pct"/>
            <w:shd w:val="clear" w:color="auto" w:fill="C6EFCE"/>
            <w:hideMark/>
          </w:tcPr>
          <w:p w14:paraId="3BB0CB3C"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136" w:type="pct"/>
            <w:shd w:val="clear" w:color="auto" w:fill="C6EFCE"/>
            <w:hideMark/>
          </w:tcPr>
          <w:p w14:paraId="08719DAF"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4. cet.</w:t>
            </w:r>
          </w:p>
        </w:tc>
        <w:tc>
          <w:tcPr>
            <w:tcW w:w="193" w:type="pct"/>
            <w:shd w:val="clear" w:color="auto" w:fill="C6EFCE"/>
            <w:hideMark/>
          </w:tcPr>
          <w:p w14:paraId="09BAF0BC"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2022</w:t>
            </w:r>
          </w:p>
        </w:tc>
        <w:tc>
          <w:tcPr>
            <w:tcW w:w="407" w:type="pct"/>
            <w:shd w:val="clear" w:color="auto" w:fill="C6EFCE"/>
          </w:tcPr>
          <w:p w14:paraId="63B20B93"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Valsts ieņēmumu dienests</w:t>
            </w:r>
          </w:p>
        </w:tc>
        <w:tc>
          <w:tcPr>
            <w:tcW w:w="370" w:type="pct"/>
            <w:shd w:val="clear" w:color="auto" w:fill="C6EFCE"/>
          </w:tcPr>
          <w:p w14:paraId="4072F7D8"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159AF376"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Kopsavilkuma dokuments, kurā pienācīgi pamatots, kā tika apmierinoši sasniegts atskaites punkts (tostarp visi būtiskie elementi), kopā ar atbilstošām saitēm uz pamatojošajiem pierādījumiem.</w:t>
            </w:r>
          </w:p>
          <w:p w14:paraId="747AAF1C"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 xml:space="preserve">Šā dokumenta </w:t>
            </w:r>
            <w:r w:rsidRPr="00A116F8">
              <w:rPr>
                <w:rFonts w:ascii="Times New Roman" w:hAnsi="Times New Roman"/>
                <w:sz w:val="16"/>
                <w:szCs w:val="18"/>
              </w:rPr>
              <w:lastRenderedPageBreak/>
              <w:t>pielikumā iekļauj šādus dokumentārus pierādījumus:</w:t>
            </w:r>
          </w:p>
          <w:p w14:paraId="219CBCAF"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a) kopiju apliecinājumam par pabeigšanu, kas izsniegts saskaņā ar valsts tiesību aktiem un apliecina spektrofotometra uzstādīšanu muitas laboratorijā;</w:t>
            </w:r>
          </w:p>
          <w:p w14:paraId="14FF54A0"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b) tādu tehnisko specifikāciju izrakstu, kas sasaista to prasības ar atskaites punkta sasniegšanu.</w:t>
            </w:r>
          </w:p>
        </w:tc>
        <w:tc>
          <w:tcPr>
            <w:tcW w:w="760" w:type="pct"/>
            <w:shd w:val="clear" w:color="auto" w:fill="C6EFCE"/>
            <w:hideMark/>
          </w:tcPr>
          <w:p w14:paraId="225E49CE"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lastRenderedPageBreak/>
              <w:t>Muitas laboratorijā ir uzstādīts un tiek lietots spektrofotometrs.</w:t>
            </w:r>
          </w:p>
        </w:tc>
      </w:tr>
      <w:tr w:rsidR="001A3E6F" w:rsidRPr="00A116F8" w14:paraId="393FC902" w14:textId="77777777" w:rsidTr="009E7D55">
        <w:trPr>
          <w:jc w:val="center"/>
        </w:trPr>
        <w:tc>
          <w:tcPr>
            <w:tcW w:w="163" w:type="pct"/>
            <w:shd w:val="clear" w:color="auto" w:fill="C6EFCE"/>
            <w:hideMark/>
          </w:tcPr>
          <w:p w14:paraId="0325CB7A"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179</w:t>
            </w:r>
          </w:p>
        </w:tc>
        <w:tc>
          <w:tcPr>
            <w:tcW w:w="314" w:type="pct"/>
            <w:shd w:val="clear" w:color="auto" w:fill="C6EFCE"/>
            <w:hideMark/>
          </w:tcPr>
          <w:p w14:paraId="5BFBB51A"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6.1.2.2.i.</w:t>
            </w:r>
          </w:p>
          <w:p w14:paraId="625F7F9C"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Muitas laboratorijas kapacitātes celšana</w:t>
            </w:r>
          </w:p>
        </w:tc>
        <w:tc>
          <w:tcPr>
            <w:tcW w:w="270" w:type="pct"/>
            <w:shd w:val="clear" w:color="auto" w:fill="C6EFCE"/>
            <w:hideMark/>
          </w:tcPr>
          <w:p w14:paraId="04AF7A5D"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Atskaites punkts</w:t>
            </w:r>
          </w:p>
        </w:tc>
        <w:tc>
          <w:tcPr>
            <w:tcW w:w="326" w:type="pct"/>
            <w:shd w:val="clear" w:color="auto" w:fill="C6EFCE"/>
            <w:hideMark/>
          </w:tcPr>
          <w:p w14:paraId="5AF5EA78"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Iegādāts un uzstādīts spektrofotometrs lietošanai lidostas muitas kontroles punktā</w:t>
            </w:r>
          </w:p>
        </w:tc>
        <w:tc>
          <w:tcPr>
            <w:tcW w:w="336" w:type="pct"/>
            <w:shd w:val="clear" w:color="auto" w:fill="C6EFCE"/>
            <w:hideMark/>
          </w:tcPr>
          <w:p w14:paraId="2730EFA3"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Parakstīts pieņemšanas akts</w:t>
            </w:r>
          </w:p>
        </w:tc>
        <w:tc>
          <w:tcPr>
            <w:tcW w:w="298" w:type="pct"/>
            <w:shd w:val="clear" w:color="auto" w:fill="C6EFCE"/>
            <w:hideMark/>
          </w:tcPr>
          <w:p w14:paraId="1B66053A"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70" w:type="pct"/>
            <w:shd w:val="clear" w:color="auto" w:fill="C6EFCE"/>
            <w:hideMark/>
          </w:tcPr>
          <w:p w14:paraId="33E340B6"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03" w:type="pct"/>
            <w:shd w:val="clear" w:color="auto" w:fill="C6EFCE"/>
            <w:hideMark/>
          </w:tcPr>
          <w:p w14:paraId="30365A43"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136" w:type="pct"/>
            <w:shd w:val="clear" w:color="auto" w:fill="C6EFCE"/>
            <w:hideMark/>
          </w:tcPr>
          <w:p w14:paraId="30319581"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4. cet.</w:t>
            </w:r>
          </w:p>
        </w:tc>
        <w:tc>
          <w:tcPr>
            <w:tcW w:w="193" w:type="pct"/>
            <w:shd w:val="clear" w:color="auto" w:fill="C6EFCE"/>
            <w:hideMark/>
          </w:tcPr>
          <w:p w14:paraId="7941558B"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2022</w:t>
            </w:r>
          </w:p>
        </w:tc>
        <w:tc>
          <w:tcPr>
            <w:tcW w:w="407" w:type="pct"/>
            <w:shd w:val="clear" w:color="auto" w:fill="C6EFCE"/>
          </w:tcPr>
          <w:p w14:paraId="5A7BB3F9"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Valsts ieņēmumu dienests</w:t>
            </w:r>
          </w:p>
        </w:tc>
        <w:tc>
          <w:tcPr>
            <w:tcW w:w="370" w:type="pct"/>
            <w:shd w:val="clear" w:color="auto" w:fill="C6EFCE"/>
          </w:tcPr>
          <w:p w14:paraId="56B448AC"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5D54D9EE"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Kopsavilkuma dokuments, kurā pienācīgi pamatots, kā tika apmierinoši sasniegts atskaites punkts (tostarp visi būtiskie elementi), kopā ar atbilstošām saitēm uz pamatojošajiem pierādījumiem.</w:t>
            </w:r>
          </w:p>
          <w:p w14:paraId="1B396B6F"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Šā dokumenta pielikumā iekļauj šādus dokumentārus pierādījumus:</w:t>
            </w:r>
          </w:p>
          <w:p w14:paraId="04DB515A"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 xml:space="preserve">a) kopiju apliecinājumam par pabeigšanu, kas izsniegts saskaņā ar valsts tiesību aktiem un </w:t>
            </w:r>
            <w:r w:rsidRPr="00A116F8">
              <w:rPr>
                <w:rFonts w:ascii="Times New Roman" w:hAnsi="Times New Roman"/>
                <w:sz w:val="16"/>
                <w:szCs w:val="18"/>
              </w:rPr>
              <w:lastRenderedPageBreak/>
              <w:t>apliecina spektrofotometra uzstādīšanu un lietošanu lidostas muitas kontroles punktā;</w:t>
            </w:r>
          </w:p>
          <w:p w14:paraId="6CCC9CDE"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b) tādu tehnisko specifikāciju izrakstu, kas sasaista to prasības ar atskaites punkta sasniegšanu.</w:t>
            </w:r>
          </w:p>
        </w:tc>
        <w:tc>
          <w:tcPr>
            <w:tcW w:w="760" w:type="pct"/>
            <w:shd w:val="clear" w:color="auto" w:fill="C6EFCE"/>
            <w:hideMark/>
          </w:tcPr>
          <w:p w14:paraId="00AAF32D"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lastRenderedPageBreak/>
              <w:t>Lidostas muitas kontroles punktā ir uzstādīts un tiek lietots spektrofotometrs.</w:t>
            </w:r>
          </w:p>
        </w:tc>
      </w:tr>
      <w:tr w:rsidR="001A3E6F" w:rsidRPr="00A116F8" w14:paraId="76B28A55" w14:textId="77777777" w:rsidTr="009E7D55">
        <w:trPr>
          <w:jc w:val="center"/>
        </w:trPr>
        <w:tc>
          <w:tcPr>
            <w:tcW w:w="163" w:type="pct"/>
            <w:shd w:val="clear" w:color="auto" w:fill="C6EFCE"/>
            <w:hideMark/>
          </w:tcPr>
          <w:p w14:paraId="5F0F2C64"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180</w:t>
            </w:r>
          </w:p>
        </w:tc>
        <w:tc>
          <w:tcPr>
            <w:tcW w:w="314" w:type="pct"/>
            <w:shd w:val="clear" w:color="auto" w:fill="C6EFCE"/>
            <w:hideMark/>
          </w:tcPr>
          <w:p w14:paraId="6426D563"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6.1.2.3.i. Saņemto pasta sūtījumu muitas kontroles pilnveidošana lidostas muitas kontroles punktā</w:t>
            </w:r>
          </w:p>
        </w:tc>
        <w:tc>
          <w:tcPr>
            <w:tcW w:w="270" w:type="pct"/>
            <w:shd w:val="clear" w:color="auto" w:fill="C6EFCE"/>
            <w:hideMark/>
          </w:tcPr>
          <w:p w14:paraId="40D527BB"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Atskaites punkts</w:t>
            </w:r>
          </w:p>
        </w:tc>
        <w:tc>
          <w:tcPr>
            <w:tcW w:w="326" w:type="pct"/>
            <w:shd w:val="clear" w:color="auto" w:fill="C6EFCE"/>
            <w:hideMark/>
          </w:tcPr>
          <w:p w14:paraId="4C6218EF" w14:textId="77777777" w:rsidR="001A3E6F" w:rsidRPr="00A116F8" w:rsidRDefault="001A3E6F" w:rsidP="00A116F8">
            <w:pPr>
              <w:widowControl w:val="0"/>
              <w:spacing w:after="0" w:line="240" w:lineRule="auto"/>
              <w:ind w:left="57" w:right="57"/>
              <w:jc w:val="both"/>
              <w:rPr>
                <w:rFonts w:ascii="Times New Roman" w:hAnsi="Times New Roman" w:cs="Times New Roman"/>
                <w:noProof/>
                <w:sz w:val="16"/>
                <w:szCs w:val="18"/>
              </w:rPr>
            </w:pPr>
            <w:r w:rsidRPr="00A116F8">
              <w:rPr>
                <w:rFonts w:ascii="Times New Roman" w:hAnsi="Times New Roman"/>
                <w:sz w:val="16"/>
                <w:szCs w:val="18"/>
              </w:rPr>
              <w:t>Līnija pasta sūtījumu viedai skenēšanai un automātiskai šķirošanai/analīzei, kas ieviesta lidostas muitas kontroles punktā</w:t>
            </w:r>
          </w:p>
        </w:tc>
        <w:tc>
          <w:tcPr>
            <w:tcW w:w="336" w:type="pct"/>
            <w:shd w:val="clear" w:color="auto" w:fill="C6EFCE"/>
            <w:hideMark/>
          </w:tcPr>
          <w:p w14:paraId="6A636728"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Parakstīts pieņemšanas akts</w:t>
            </w:r>
          </w:p>
        </w:tc>
        <w:tc>
          <w:tcPr>
            <w:tcW w:w="298" w:type="pct"/>
            <w:shd w:val="clear" w:color="auto" w:fill="C6EFCE"/>
            <w:hideMark/>
          </w:tcPr>
          <w:p w14:paraId="02795DAD"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70" w:type="pct"/>
            <w:shd w:val="clear" w:color="auto" w:fill="C6EFCE"/>
            <w:hideMark/>
          </w:tcPr>
          <w:p w14:paraId="050B57CB"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03" w:type="pct"/>
            <w:shd w:val="clear" w:color="auto" w:fill="C6EFCE"/>
            <w:hideMark/>
          </w:tcPr>
          <w:p w14:paraId="1F33C517"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136" w:type="pct"/>
            <w:shd w:val="clear" w:color="auto" w:fill="C6EFCE"/>
            <w:hideMark/>
          </w:tcPr>
          <w:p w14:paraId="201CD29F"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1. cet.</w:t>
            </w:r>
          </w:p>
        </w:tc>
        <w:tc>
          <w:tcPr>
            <w:tcW w:w="193" w:type="pct"/>
            <w:shd w:val="clear" w:color="auto" w:fill="C6EFCE"/>
            <w:hideMark/>
          </w:tcPr>
          <w:p w14:paraId="0CC8EF1A"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2025</w:t>
            </w:r>
          </w:p>
        </w:tc>
        <w:tc>
          <w:tcPr>
            <w:tcW w:w="407" w:type="pct"/>
            <w:shd w:val="clear" w:color="auto" w:fill="C6EFCE"/>
          </w:tcPr>
          <w:p w14:paraId="13895F4C"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Valsts ieņēmumu dienests</w:t>
            </w:r>
          </w:p>
        </w:tc>
        <w:tc>
          <w:tcPr>
            <w:tcW w:w="370" w:type="pct"/>
            <w:shd w:val="clear" w:color="auto" w:fill="C6EFCE"/>
          </w:tcPr>
          <w:p w14:paraId="1819B433"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2D22D298"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Kopsavilkuma dokuments, kurā pienācīgi pamatots, kā tika apmierinoši sasniegts atskaites punkts (tostarp visi būtiskie elementi), kopā ar atbilstošām saitēm uz pamatojošajiem pierādījumiem.</w:t>
            </w:r>
          </w:p>
          <w:p w14:paraId="2BF5ED0B"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Šā dokumenta pielikumā iekļauj šādus dokumentārus pierādījumus:</w:t>
            </w:r>
          </w:p>
          <w:p w14:paraId="14939CB2"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t>a) kopiju apliecinājumam par pabeigšanu, kas izsniegts saskaņā ar valsts tiesību aktiem un apliecina viedās pasta skenēšanas sistēmas uzstādīšanu lidostas muitas kontroles punktā;</w:t>
            </w:r>
          </w:p>
          <w:p w14:paraId="7DEF24C0"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 xml:space="preserve">b) tādu tehnisko specifikāciju </w:t>
            </w:r>
            <w:r w:rsidRPr="00A116F8">
              <w:rPr>
                <w:rFonts w:ascii="Times New Roman" w:hAnsi="Times New Roman"/>
                <w:sz w:val="16"/>
                <w:szCs w:val="18"/>
              </w:rPr>
              <w:lastRenderedPageBreak/>
              <w:t>izrakstu, kas sasaista to prasības ar atskaites punkta sasniegšanu.</w:t>
            </w:r>
          </w:p>
        </w:tc>
        <w:tc>
          <w:tcPr>
            <w:tcW w:w="760" w:type="pct"/>
            <w:shd w:val="clear" w:color="auto" w:fill="C6EFCE"/>
            <w:hideMark/>
          </w:tcPr>
          <w:p w14:paraId="5A61D844"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lastRenderedPageBreak/>
              <w:t>Lidostas muitas kontroles punktā ir uzstādīta un tiek lietota līnija viedai pasta sūtījumu skenēšanai un automātiskai šķirošanai/analīzei.</w:t>
            </w:r>
          </w:p>
        </w:tc>
      </w:tr>
      <w:tr w:rsidR="001A3E6F" w:rsidRPr="00A116F8" w14:paraId="7456935B" w14:textId="77777777" w:rsidTr="009E7D55">
        <w:trPr>
          <w:jc w:val="center"/>
        </w:trPr>
        <w:tc>
          <w:tcPr>
            <w:tcW w:w="163" w:type="pct"/>
            <w:shd w:val="clear" w:color="auto" w:fill="C6EFCE"/>
            <w:hideMark/>
          </w:tcPr>
          <w:p w14:paraId="3A71D2B8"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181</w:t>
            </w:r>
          </w:p>
        </w:tc>
        <w:tc>
          <w:tcPr>
            <w:tcW w:w="314" w:type="pct"/>
            <w:shd w:val="clear" w:color="auto" w:fill="C6EFCE"/>
            <w:hideMark/>
          </w:tcPr>
          <w:p w14:paraId="3BADAFCA"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6.1.2.4.i.</w:t>
            </w:r>
          </w:p>
          <w:p w14:paraId="113DB526"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Infrastruktūras izveide kontroles dienestu funkciju īstenošanai Kundziņsalā</w:t>
            </w:r>
          </w:p>
        </w:tc>
        <w:tc>
          <w:tcPr>
            <w:tcW w:w="270" w:type="pct"/>
            <w:shd w:val="clear" w:color="auto" w:fill="C6EFCE"/>
            <w:hideMark/>
          </w:tcPr>
          <w:p w14:paraId="075B2157"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Atskaites punkts</w:t>
            </w:r>
          </w:p>
        </w:tc>
        <w:tc>
          <w:tcPr>
            <w:tcW w:w="326" w:type="pct"/>
            <w:shd w:val="clear" w:color="auto" w:fill="C6EFCE"/>
            <w:hideMark/>
          </w:tcPr>
          <w:p w14:paraId="4E1AB25D"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Parakstīts kopīgs projektēšanas un būvniecības līgums</w:t>
            </w:r>
          </w:p>
        </w:tc>
        <w:tc>
          <w:tcPr>
            <w:tcW w:w="336" w:type="pct"/>
            <w:shd w:val="clear" w:color="auto" w:fill="C6EFCE"/>
            <w:hideMark/>
          </w:tcPr>
          <w:p w14:paraId="7139769E"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Parakstīts būvniecības un projektēšanas līgums</w:t>
            </w:r>
          </w:p>
        </w:tc>
        <w:tc>
          <w:tcPr>
            <w:tcW w:w="298" w:type="pct"/>
            <w:shd w:val="clear" w:color="auto" w:fill="C6EFCE"/>
            <w:hideMark/>
          </w:tcPr>
          <w:p w14:paraId="44888DA0"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70" w:type="pct"/>
            <w:shd w:val="clear" w:color="auto" w:fill="C6EFCE"/>
            <w:hideMark/>
          </w:tcPr>
          <w:p w14:paraId="45AE0146"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03" w:type="pct"/>
            <w:shd w:val="clear" w:color="auto" w:fill="C6EFCE"/>
            <w:hideMark/>
          </w:tcPr>
          <w:p w14:paraId="3F73C594"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136" w:type="pct"/>
            <w:shd w:val="clear" w:color="auto" w:fill="C6EFCE"/>
            <w:hideMark/>
          </w:tcPr>
          <w:p w14:paraId="576F8EDD"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3. cet.</w:t>
            </w:r>
          </w:p>
        </w:tc>
        <w:tc>
          <w:tcPr>
            <w:tcW w:w="193" w:type="pct"/>
            <w:shd w:val="clear" w:color="auto" w:fill="C6EFCE"/>
            <w:hideMark/>
          </w:tcPr>
          <w:p w14:paraId="6DC894CA"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2023</w:t>
            </w:r>
          </w:p>
        </w:tc>
        <w:tc>
          <w:tcPr>
            <w:tcW w:w="407" w:type="pct"/>
            <w:shd w:val="clear" w:color="auto" w:fill="C6EFCE"/>
          </w:tcPr>
          <w:p w14:paraId="430107C9" w14:textId="3D40C868"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VAS “Valsts nekustamie īpašumi”</w:t>
            </w:r>
          </w:p>
        </w:tc>
        <w:tc>
          <w:tcPr>
            <w:tcW w:w="370" w:type="pct"/>
            <w:shd w:val="clear" w:color="auto" w:fill="C6EFCE"/>
          </w:tcPr>
          <w:p w14:paraId="19949458"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740BC424"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Kopsavilkuma dokuments, kurā pienācīgi pamatots, kā tika apmierinoši sasniegts atskaites punkts (tostarp visi būtiskie elementi), kopā ar atbilstošām saitēm uz pamatojošajiem pierādījumiem.</w:t>
            </w:r>
          </w:p>
          <w:p w14:paraId="0270808F"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Šā dokumenta pielikumā iekļauj šādus dokumentārus pierādījumus:</w:t>
            </w:r>
          </w:p>
          <w:p w14:paraId="31009B95"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a) kopiju parakstītajam līgumam par muitas kontroles infrastruktūras projektēšanu un būvniecību Kundziņsalā;</w:t>
            </w:r>
          </w:p>
          <w:p w14:paraId="7F5D6E5B"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b) konkursa publikācijas kopiju un saiti uz to.</w:t>
            </w:r>
          </w:p>
        </w:tc>
        <w:tc>
          <w:tcPr>
            <w:tcW w:w="760" w:type="pct"/>
            <w:shd w:val="clear" w:color="auto" w:fill="C6EFCE"/>
            <w:hideMark/>
          </w:tcPr>
          <w:p w14:paraId="3E5F97FD"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Pēc konkursa procedūras parakstīts līgums par kontroles dienestu infrastruktūras projektēšanu un būvniecību Kundziņsalā.</w:t>
            </w:r>
          </w:p>
        </w:tc>
      </w:tr>
      <w:tr w:rsidR="001A3E6F" w:rsidRPr="00A116F8" w14:paraId="7FF68A26" w14:textId="77777777" w:rsidTr="009E7D55">
        <w:trPr>
          <w:jc w:val="center"/>
        </w:trPr>
        <w:tc>
          <w:tcPr>
            <w:tcW w:w="163" w:type="pct"/>
            <w:shd w:val="clear" w:color="auto" w:fill="C6EFCE"/>
            <w:hideMark/>
          </w:tcPr>
          <w:p w14:paraId="3860111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182</w:t>
            </w:r>
          </w:p>
        </w:tc>
        <w:tc>
          <w:tcPr>
            <w:tcW w:w="314" w:type="pct"/>
            <w:shd w:val="clear" w:color="auto" w:fill="C6EFCE"/>
            <w:hideMark/>
          </w:tcPr>
          <w:p w14:paraId="587C1264"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6.1.2.4.i.</w:t>
            </w:r>
          </w:p>
          <w:p w14:paraId="2ADA7646"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Infrastruktūras izveide kontroles dienestu funkciju īstenošanai Kundziņsalā</w:t>
            </w:r>
          </w:p>
        </w:tc>
        <w:tc>
          <w:tcPr>
            <w:tcW w:w="270" w:type="pct"/>
            <w:shd w:val="clear" w:color="auto" w:fill="C6EFCE"/>
            <w:hideMark/>
          </w:tcPr>
          <w:p w14:paraId="19F81D2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Atskaites punkts</w:t>
            </w:r>
          </w:p>
        </w:tc>
        <w:tc>
          <w:tcPr>
            <w:tcW w:w="326" w:type="pct"/>
            <w:shd w:val="clear" w:color="auto" w:fill="C6EFCE"/>
            <w:hideMark/>
          </w:tcPr>
          <w:p w14:paraId="5E82D361"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Saņemta būvatļauja</w:t>
            </w:r>
          </w:p>
        </w:tc>
        <w:tc>
          <w:tcPr>
            <w:tcW w:w="336" w:type="pct"/>
            <w:shd w:val="clear" w:color="auto" w:fill="C6EFCE"/>
            <w:hideMark/>
          </w:tcPr>
          <w:p w14:paraId="5BF42041"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Paziņojums par atļaujas apstiprināšanas lēmumu</w:t>
            </w:r>
          </w:p>
        </w:tc>
        <w:tc>
          <w:tcPr>
            <w:tcW w:w="298" w:type="pct"/>
            <w:shd w:val="clear" w:color="auto" w:fill="C6EFCE"/>
            <w:hideMark/>
          </w:tcPr>
          <w:p w14:paraId="3F864CA8"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70" w:type="pct"/>
            <w:shd w:val="clear" w:color="auto" w:fill="C6EFCE"/>
            <w:hideMark/>
          </w:tcPr>
          <w:p w14:paraId="1E37AA37"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03" w:type="pct"/>
            <w:shd w:val="clear" w:color="auto" w:fill="C6EFCE"/>
            <w:hideMark/>
          </w:tcPr>
          <w:p w14:paraId="5889CA02"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136" w:type="pct"/>
            <w:shd w:val="clear" w:color="auto" w:fill="C6EFCE"/>
            <w:hideMark/>
          </w:tcPr>
          <w:p w14:paraId="39179A40"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3. cet.</w:t>
            </w:r>
          </w:p>
        </w:tc>
        <w:tc>
          <w:tcPr>
            <w:tcW w:w="193" w:type="pct"/>
            <w:shd w:val="clear" w:color="auto" w:fill="C6EFCE"/>
            <w:hideMark/>
          </w:tcPr>
          <w:p w14:paraId="598555D3"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2024</w:t>
            </w:r>
          </w:p>
        </w:tc>
        <w:tc>
          <w:tcPr>
            <w:tcW w:w="407" w:type="pct"/>
            <w:shd w:val="clear" w:color="auto" w:fill="C6EFCE"/>
          </w:tcPr>
          <w:p w14:paraId="6B3A71EA"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VAS “Valsts nekustamie īpašumi”</w:t>
            </w:r>
          </w:p>
        </w:tc>
        <w:tc>
          <w:tcPr>
            <w:tcW w:w="370" w:type="pct"/>
            <w:shd w:val="clear" w:color="auto" w:fill="C6EFCE"/>
          </w:tcPr>
          <w:p w14:paraId="3C311E49"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4363AF29"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t xml:space="preserve">Kopsavilkuma dokuments, kurā pienācīgi pamatots, kā tika apmierinoši sasniegts atskaites punkts (tostarp visi būtiskie elementi), kopā ar atbilstošām saitēm </w:t>
            </w:r>
            <w:r w:rsidRPr="00A116F8">
              <w:rPr>
                <w:rFonts w:ascii="Times New Roman" w:hAnsi="Times New Roman"/>
                <w:sz w:val="16"/>
                <w:szCs w:val="18"/>
              </w:rPr>
              <w:lastRenderedPageBreak/>
              <w:t>uz pamatojošajiem pierādījumiem.</w:t>
            </w:r>
          </w:p>
          <w:p w14:paraId="62438D29"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t>Šā dokumenta pielikumā iekļauj būvniecības projekta apstiprinājuma kopiju un kopiju būvvaldes lēmumam par atļaujas apstiprināšanu, kā arī apstiprinātās būvatļaujas kopiju.</w:t>
            </w:r>
          </w:p>
        </w:tc>
        <w:tc>
          <w:tcPr>
            <w:tcW w:w="760" w:type="pct"/>
            <w:shd w:val="clear" w:color="auto" w:fill="C6EFCE"/>
            <w:hideMark/>
          </w:tcPr>
          <w:p w14:paraId="548B52DB"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lastRenderedPageBreak/>
              <w:t>No būvvaldes ir saņemta būvatļauja.</w:t>
            </w:r>
          </w:p>
        </w:tc>
      </w:tr>
      <w:tr w:rsidR="001A3E6F" w:rsidRPr="00A116F8" w14:paraId="45D87FCB" w14:textId="77777777" w:rsidTr="009E7D55">
        <w:trPr>
          <w:jc w:val="center"/>
        </w:trPr>
        <w:tc>
          <w:tcPr>
            <w:tcW w:w="163" w:type="pct"/>
            <w:shd w:val="clear" w:color="auto" w:fill="C6EFCE"/>
            <w:hideMark/>
          </w:tcPr>
          <w:p w14:paraId="301ED7E8"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183</w:t>
            </w:r>
          </w:p>
        </w:tc>
        <w:tc>
          <w:tcPr>
            <w:tcW w:w="314" w:type="pct"/>
            <w:shd w:val="clear" w:color="auto" w:fill="C6EFCE"/>
            <w:hideMark/>
          </w:tcPr>
          <w:p w14:paraId="2A4D9BC0"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6.1.2.4.i.</w:t>
            </w:r>
          </w:p>
          <w:p w14:paraId="7E5CDEA0"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Infrastruktūras izveide kontroles dienestu funkciju īstenošanai Kundziņsalā</w:t>
            </w:r>
          </w:p>
        </w:tc>
        <w:tc>
          <w:tcPr>
            <w:tcW w:w="270" w:type="pct"/>
            <w:shd w:val="clear" w:color="auto" w:fill="C6EFCE"/>
            <w:hideMark/>
          </w:tcPr>
          <w:p w14:paraId="4BD5A413"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Atskaites punkts</w:t>
            </w:r>
          </w:p>
        </w:tc>
        <w:tc>
          <w:tcPr>
            <w:tcW w:w="326" w:type="pct"/>
            <w:shd w:val="clear" w:color="auto" w:fill="C6EFCE"/>
            <w:hideMark/>
          </w:tcPr>
          <w:p w14:paraId="5E0441CB"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bookmarkStart w:id="30" w:name="_Hlk146707537"/>
            <w:r w:rsidRPr="00A116F8">
              <w:rPr>
                <w:rFonts w:ascii="Times New Roman" w:hAnsi="Times New Roman"/>
                <w:sz w:val="16"/>
                <w:szCs w:val="18"/>
              </w:rPr>
              <w:t>Ir pabeigts norobežojošo konstrukciju cikls</w:t>
            </w:r>
            <w:bookmarkEnd w:id="30"/>
          </w:p>
        </w:tc>
        <w:tc>
          <w:tcPr>
            <w:tcW w:w="336" w:type="pct"/>
            <w:shd w:val="clear" w:color="auto" w:fill="C6EFCE"/>
            <w:hideMark/>
          </w:tcPr>
          <w:p w14:paraId="645D013B"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Būvdarbu izpildes akts (forma 2 un forma 3)</w:t>
            </w:r>
          </w:p>
        </w:tc>
        <w:tc>
          <w:tcPr>
            <w:tcW w:w="298" w:type="pct"/>
            <w:shd w:val="clear" w:color="auto" w:fill="C6EFCE"/>
            <w:hideMark/>
          </w:tcPr>
          <w:p w14:paraId="5F05114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Neattiecas</w:t>
            </w:r>
          </w:p>
        </w:tc>
        <w:tc>
          <w:tcPr>
            <w:tcW w:w="270" w:type="pct"/>
            <w:shd w:val="clear" w:color="auto" w:fill="C6EFCE"/>
            <w:hideMark/>
          </w:tcPr>
          <w:p w14:paraId="60745FED"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Neattiecas</w:t>
            </w:r>
          </w:p>
        </w:tc>
        <w:tc>
          <w:tcPr>
            <w:tcW w:w="203" w:type="pct"/>
            <w:shd w:val="clear" w:color="auto" w:fill="C6EFCE"/>
            <w:hideMark/>
          </w:tcPr>
          <w:p w14:paraId="6B90FB7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Neattiecas</w:t>
            </w:r>
          </w:p>
        </w:tc>
        <w:tc>
          <w:tcPr>
            <w:tcW w:w="136" w:type="pct"/>
            <w:shd w:val="clear" w:color="auto" w:fill="C6EFCE"/>
            <w:hideMark/>
          </w:tcPr>
          <w:p w14:paraId="340BBB14"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3. cet.</w:t>
            </w:r>
          </w:p>
        </w:tc>
        <w:tc>
          <w:tcPr>
            <w:tcW w:w="193" w:type="pct"/>
            <w:shd w:val="clear" w:color="auto" w:fill="C6EFCE"/>
            <w:hideMark/>
          </w:tcPr>
          <w:p w14:paraId="4114C69B"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2026</w:t>
            </w:r>
          </w:p>
        </w:tc>
        <w:tc>
          <w:tcPr>
            <w:tcW w:w="407" w:type="pct"/>
            <w:shd w:val="clear" w:color="auto" w:fill="C6EFCE"/>
          </w:tcPr>
          <w:p w14:paraId="55140811" w14:textId="30476029"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VAS “Valsts nekustamie īpašumi”</w:t>
            </w:r>
          </w:p>
        </w:tc>
        <w:tc>
          <w:tcPr>
            <w:tcW w:w="370" w:type="pct"/>
            <w:shd w:val="clear" w:color="auto" w:fill="C6EFCE"/>
          </w:tcPr>
          <w:p w14:paraId="7C865342"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4834F812"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t>Kopsavilkuma dokuments, kurā pienācīgi pamatots, kā tika apmierinoši sasniegts atskaites punkts (tostarp visi būtiskie elementi), kopā ar atbilstošām saitēm uz pamatojošajiem pierādījumiem.</w:t>
            </w:r>
          </w:p>
          <w:p w14:paraId="331DB65D"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t>Šā dokumenta pielikumā iekļauj kopiju apliecinājumam par ēkas slodzi nesošo un norobežojošo konstrukciju, tostarp jumta, būvniecības pabeigšanu.</w:t>
            </w:r>
          </w:p>
        </w:tc>
        <w:tc>
          <w:tcPr>
            <w:tcW w:w="760" w:type="pct"/>
            <w:shd w:val="clear" w:color="auto" w:fill="C6EFCE"/>
            <w:hideMark/>
          </w:tcPr>
          <w:p w14:paraId="15E9CFE0"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Ir pabeigta ēkas slodzi nesošo un norobežojošo konstrukciju, tostarp jumta, būvniecība.</w:t>
            </w:r>
          </w:p>
        </w:tc>
      </w:tr>
      <w:tr w:rsidR="001A3E6F" w:rsidRPr="00A116F8" w14:paraId="7A2B820A" w14:textId="77777777" w:rsidTr="009E7D55">
        <w:trPr>
          <w:jc w:val="center"/>
        </w:trPr>
        <w:tc>
          <w:tcPr>
            <w:tcW w:w="163" w:type="pct"/>
            <w:shd w:val="clear" w:color="auto" w:fill="C6EFCE"/>
            <w:hideMark/>
          </w:tcPr>
          <w:p w14:paraId="1DAB6A29"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184</w:t>
            </w:r>
          </w:p>
        </w:tc>
        <w:tc>
          <w:tcPr>
            <w:tcW w:w="314" w:type="pct"/>
            <w:shd w:val="clear" w:color="auto" w:fill="C6EFCE"/>
            <w:hideMark/>
          </w:tcPr>
          <w:p w14:paraId="54147173"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6.1.2.4.i.</w:t>
            </w:r>
          </w:p>
          <w:p w14:paraId="2F51185A"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 xml:space="preserve">Infrastruktūras izveide kontroles dienestu funkciju īstenošanai </w:t>
            </w:r>
            <w:r w:rsidRPr="00A116F8">
              <w:rPr>
                <w:rFonts w:ascii="Times New Roman" w:hAnsi="Times New Roman"/>
                <w:b/>
                <w:sz w:val="16"/>
                <w:szCs w:val="18"/>
              </w:rPr>
              <w:lastRenderedPageBreak/>
              <w:t>Kundziņsalā</w:t>
            </w:r>
          </w:p>
        </w:tc>
        <w:tc>
          <w:tcPr>
            <w:tcW w:w="270" w:type="pct"/>
            <w:shd w:val="clear" w:color="auto" w:fill="C6EFCE"/>
            <w:hideMark/>
          </w:tcPr>
          <w:p w14:paraId="55200AC9"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lastRenderedPageBreak/>
              <w:t>Atskaites punkts</w:t>
            </w:r>
          </w:p>
        </w:tc>
        <w:tc>
          <w:tcPr>
            <w:tcW w:w="326" w:type="pct"/>
            <w:shd w:val="clear" w:color="auto" w:fill="C6EFCE"/>
            <w:hideMark/>
          </w:tcPr>
          <w:p w14:paraId="494AB5E8"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 xml:space="preserve">Iepirkums un līguma noslēgšana par kravu kontroles rentgena iekārtu </w:t>
            </w:r>
            <w:r w:rsidRPr="00A116F8">
              <w:rPr>
                <w:rFonts w:ascii="Times New Roman" w:hAnsi="Times New Roman"/>
                <w:sz w:val="16"/>
                <w:szCs w:val="18"/>
              </w:rPr>
              <w:lastRenderedPageBreak/>
              <w:t>piegādi un uzstādīšanu</w:t>
            </w:r>
          </w:p>
        </w:tc>
        <w:tc>
          <w:tcPr>
            <w:tcW w:w="336" w:type="pct"/>
            <w:shd w:val="clear" w:color="auto" w:fill="C6EFCE"/>
            <w:hideMark/>
          </w:tcPr>
          <w:p w14:paraId="52316CE8"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lastRenderedPageBreak/>
              <w:t>Parakstīts līgums</w:t>
            </w:r>
          </w:p>
        </w:tc>
        <w:tc>
          <w:tcPr>
            <w:tcW w:w="298" w:type="pct"/>
            <w:shd w:val="clear" w:color="auto" w:fill="C6EFCE"/>
            <w:hideMark/>
          </w:tcPr>
          <w:p w14:paraId="4D2BE223"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70" w:type="pct"/>
            <w:shd w:val="clear" w:color="auto" w:fill="C6EFCE"/>
            <w:hideMark/>
          </w:tcPr>
          <w:p w14:paraId="278F3B19"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03" w:type="pct"/>
            <w:shd w:val="clear" w:color="auto" w:fill="C6EFCE"/>
            <w:hideMark/>
          </w:tcPr>
          <w:p w14:paraId="3CDAF484"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136" w:type="pct"/>
            <w:shd w:val="clear" w:color="auto" w:fill="C6EFCE"/>
            <w:hideMark/>
          </w:tcPr>
          <w:p w14:paraId="36E33BE7"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3. cet.</w:t>
            </w:r>
          </w:p>
        </w:tc>
        <w:tc>
          <w:tcPr>
            <w:tcW w:w="193" w:type="pct"/>
            <w:shd w:val="clear" w:color="auto" w:fill="C6EFCE"/>
            <w:hideMark/>
          </w:tcPr>
          <w:p w14:paraId="467DDF7D"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2023</w:t>
            </w:r>
          </w:p>
        </w:tc>
        <w:tc>
          <w:tcPr>
            <w:tcW w:w="407" w:type="pct"/>
            <w:shd w:val="clear" w:color="auto" w:fill="C6EFCE"/>
          </w:tcPr>
          <w:p w14:paraId="65F39EB1"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Valsts ieņēmumu dienests</w:t>
            </w:r>
          </w:p>
        </w:tc>
        <w:tc>
          <w:tcPr>
            <w:tcW w:w="370" w:type="pct"/>
            <w:shd w:val="clear" w:color="auto" w:fill="C6EFCE"/>
          </w:tcPr>
          <w:p w14:paraId="4E1BD5CD"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1CE5E9B9"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 xml:space="preserve">Kopsavilkuma dokuments, kurā pienācīgi pamatots, kā tika apmierinoši </w:t>
            </w:r>
            <w:r w:rsidRPr="00A116F8">
              <w:rPr>
                <w:rFonts w:ascii="Times New Roman" w:hAnsi="Times New Roman"/>
                <w:sz w:val="16"/>
                <w:szCs w:val="18"/>
              </w:rPr>
              <w:lastRenderedPageBreak/>
              <w:t>sasniegts atskaites punkts (tostarp visi būtiskie elementi), kopā ar atbilstošām saitēm uz pamatojošajiem pierādījumiem.</w:t>
            </w:r>
          </w:p>
          <w:p w14:paraId="3B44264A"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Šā dokumenta pielikumā iekļauj šādus dokumentārus pierādījumus:</w:t>
            </w:r>
          </w:p>
          <w:p w14:paraId="407DB4AF"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a) kopiju parakstītajam līgumam par kravu kontroles rentgena iekārtu piegādi un uzstādīšanu;</w:t>
            </w:r>
          </w:p>
          <w:p w14:paraId="31896236"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b) konkursa publikācijas kopiju un saiti uz to.</w:t>
            </w:r>
          </w:p>
        </w:tc>
        <w:tc>
          <w:tcPr>
            <w:tcW w:w="760" w:type="pct"/>
            <w:shd w:val="clear" w:color="auto" w:fill="C6EFCE"/>
            <w:hideMark/>
          </w:tcPr>
          <w:p w14:paraId="7E8973C6"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lastRenderedPageBreak/>
              <w:t xml:space="preserve">Pēc konkursa procedūras parakstīts līgums par kravu kontroles rentgena iekārtu piegādi un </w:t>
            </w:r>
            <w:r w:rsidRPr="00A116F8">
              <w:rPr>
                <w:rFonts w:ascii="Times New Roman" w:hAnsi="Times New Roman"/>
                <w:sz w:val="16"/>
                <w:szCs w:val="18"/>
              </w:rPr>
              <w:lastRenderedPageBreak/>
              <w:t>uzstādīšanu.</w:t>
            </w:r>
          </w:p>
        </w:tc>
      </w:tr>
      <w:tr w:rsidR="001A3E6F" w:rsidRPr="00A116F8" w14:paraId="61EC272B" w14:textId="77777777" w:rsidTr="009E7D55">
        <w:trPr>
          <w:jc w:val="center"/>
        </w:trPr>
        <w:tc>
          <w:tcPr>
            <w:tcW w:w="163" w:type="pct"/>
            <w:shd w:val="clear" w:color="auto" w:fill="C6EFCE"/>
            <w:hideMark/>
          </w:tcPr>
          <w:p w14:paraId="7228B76F"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lastRenderedPageBreak/>
              <w:t>185</w:t>
            </w:r>
          </w:p>
        </w:tc>
        <w:tc>
          <w:tcPr>
            <w:tcW w:w="314" w:type="pct"/>
            <w:shd w:val="clear" w:color="auto" w:fill="C6EFCE"/>
            <w:hideMark/>
          </w:tcPr>
          <w:p w14:paraId="1F121CA1"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6.1.2.4.i.</w:t>
            </w:r>
          </w:p>
          <w:p w14:paraId="14E11758"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Infrastruktūras izveide kontroles dienestu funkciju īstenošanai Kundziņsalā</w:t>
            </w:r>
          </w:p>
        </w:tc>
        <w:tc>
          <w:tcPr>
            <w:tcW w:w="270" w:type="pct"/>
            <w:shd w:val="clear" w:color="auto" w:fill="C6EFCE"/>
            <w:hideMark/>
          </w:tcPr>
          <w:p w14:paraId="1A49500E"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Atskaites punkts</w:t>
            </w:r>
          </w:p>
        </w:tc>
        <w:tc>
          <w:tcPr>
            <w:tcW w:w="326" w:type="pct"/>
            <w:shd w:val="clear" w:color="auto" w:fill="C6EFCE"/>
            <w:hideMark/>
          </w:tcPr>
          <w:p w14:paraId="0990EEB3"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 xml:space="preserve">Uzstādītas kravu kontroles rentgena iekārtas </w:t>
            </w:r>
          </w:p>
        </w:tc>
        <w:tc>
          <w:tcPr>
            <w:tcW w:w="336" w:type="pct"/>
            <w:shd w:val="clear" w:color="auto" w:fill="C6EFCE"/>
            <w:hideMark/>
          </w:tcPr>
          <w:p w14:paraId="1821F2B1"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Piegādes akts</w:t>
            </w:r>
          </w:p>
        </w:tc>
        <w:tc>
          <w:tcPr>
            <w:tcW w:w="298" w:type="pct"/>
            <w:shd w:val="clear" w:color="auto" w:fill="C6EFCE"/>
            <w:hideMark/>
          </w:tcPr>
          <w:p w14:paraId="69682379"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70" w:type="pct"/>
            <w:shd w:val="clear" w:color="auto" w:fill="C6EFCE"/>
            <w:hideMark/>
          </w:tcPr>
          <w:p w14:paraId="5B25DB7B"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03" w:type="pct"/>
            <w:shd w:val="clear" w:color="auto" w:fill="C6EFCE"/>
            <w:hideMark/>
          </w:tcPr>
          <w:p w14:paraId="5661E78E"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136" w:type="pct"/>
            <w:shd w:val="clear" w:color="auto" w:fill="C6EFCE"/>
            <w:hideMark/>
          </w:tcPr>
          <w:p w14:paraId="04FD25AE"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3. cet.</w:t>
            </w:r>
          </w:p>
        </w:tc>
        <w:tc>
          <w:tcPr>
            <w:tcW w:w="193" w:type="pct"/>
            <w:shd w:val="clear" w:color="auto" w:fill="C6EFCE"/>
            <w:hideMark/>
          </w:tcPr>
          <w:p w14:paraId="7E9B37AF"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2026</w:t>
            </w:r>
          </w:p>
        </w:tc>
        <w:tc>
          <w:tcPr>
            <w:tcW w:w="407" w:type="pct"/>
            <w:shd w:val="clear" w:color="auto" w:fill="C6EFCE"/>
          </w:tcPr>
          <w:p w14:paraId="23B42C9D"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Valsts ieņēmumu dienests</w:t>
            </w:r>
          </w:p>
        </w:tc>
        <w:tc>
          <w:tcPr>
            <w:tcW w:w="370" w:type="pct"/>
            <w:shd w:val="clear" w:color="auto" w:fill="C6EFCE"/>
          </w:tcPr>
          <w:p w14:paraId="52203636"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38CC91C8"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t>Kopsavilkuma dokuments, kurā pienācīgi pamatots, kā tika apmierinoši sasniegts atskaites punkts (tostarp visi būtiskie elementi), kopā ar atbilstošām saitēm uz pamatojošajiem pierādījumiem.</w:t>
            </w:r>
          </w:p>
          <w:p w14:paraId="1B01692B"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t>Šā dokumenta pielikumā iekļauj kopiju apliecinājumam par kravu kontroles rentgena iekārtu piegādi un uzstādīšanu.</w:t>
            </w:r>
          </w:p>
        </w:tc>
        <w:tc>
          <w:tcPr>
            <w:tcW w:w="760" w:type="pct"/>
            <w:shd w:val="clear" w:color="auto" w:fill="C6EFCE"/>
            <w:hideMark/>
          </w:tcPr>
          <w:p w14:paraId="202C635A"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Kravu kontroles rentgena iekārtas ir piegādātas un uzstādītas.</w:t>
            </w:r>
          </w:p>
        </w:tc>
      </w:tr>
      <w:tr w:rsidR="001A3E6F" w:rsidRPr="00A116F8" w14:paraId="5FC325AC" w14:textId="77777777" w:rsidTr="009E7D55">
        <w:trPr>
          <w:jc w:val="center"/>
        </w:trPr>
        <w:tc>
          <w:tcPr>
            <w:tcW w:w="163" w:type="pct"/>
            <w:shd w:val="clear" w:color="auto" w:fill="C6EFCE"/>
            <w:hideMark/>
          </w:tcPr>
          <w:p w14:paraId="3BA794A8"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18</w:t>
            </w:r>
            <w:r w:rsidRPr="00A116F8">
              <w:rPr>
                <w:rFonts w:ascii="Times New Roman" w:hAnsi="Times New Roman"/>
                <w:sz w:val="16"/>
                <w:szCs w:val="18"/>
              </w:rPr>
              <w:lastRenderedPageBreak/>
              <w:t>6</w:t>
            </w:r>
          </w:p>
        </w:tc>
        <w:tc>
          <w:tcPr>
            <w:tcW w:w="314" w:type="pct"/>
            <w:shd w:val="clear" w:color="auto" w:fill="C6EFCE"/>
            <w:hideMark/>
          </w:tcPr>
          <w:p w14:paraId="26FECA6C"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lastRenderedPageBreak/>
              <w:t xml:space="preserve">6.2.1.r. </w:t>
            </w:r>
            <w:r w:rsidRPr="00A116F8">
              <w:rPr>
                <w:rFonts w:ascii="Times New Roman" w:hAnsi="Times New Roman"/>
                <w:b/>
                <w:sz w:val="16"/>
                <w:szCs w:val="18"/>
              </w:rPr>
              <w:lastRenderedPageBreak/>
              <w:t>Noziedzīgi iegūtu līdzekļu legalizācijas identificēšanas, ekonomisko noziegumu izmeklēšanas un tiesvedības procesu modernizācija</w:t>
            </w:r>
          </w:p>
        </w:tc>
        <w:tc>
          <w:tcPr>
            <w:tcW w:w="270" w:type="pct"/>
            <w:shd w:val="clear" w:color="auto" w:fill="C6EFCE"/>
            <w:hideMark/>
          </w:tcPr>
          <w:p w14:paraId="17A85F76"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lastRenderedPageBreak/>
              <w:t>Atskaite</w:t>
            </w:r>
            <w:r w:rsidRPr="00A116F8">
              <w:rPr>
                <w:rFonts w:ascii="Times New Roman" w:hAnsi="Times New Roman"/>
                <w:sz w:val="16"/>
                <w:szCs w:val="18"/>
              </w:rPr>
              <w:lastRenderedPageBreak/>
              <w:t>s punkts</w:t>
            </w:r>
          </w:p>
        </w:tc>
        <w:tc>
          <w:tcPr>
            <w:tcW w:w="326" w:type="pct"/>
            <w:shd w:val="clear" w:color="auto" w:fill="C6EFCE"/>
            <w:hideMark/>
          </w:tcPr>
          <w:p w14:paraId="3162FD9F"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lastRenderedPageBreak/>
              <w:t xml:space="preserve">Noziedzīgi iegūtu </w:t>
            </w:r>
            <w:r w:rsidRPr="00A116F8">
              <w:rPr>
                <w:rFonts w:ascii="Times New Roman" w:hAnsi="Times New Roman"/>
                <w:sz w:val="16"/>
                <w:szCs w:val="18"/>
              </w:rPr>
              <w:lastRenderedPageBreak/>
              <w:t xml:space="preserve">līdzekļu legalizācijas un terorisma un proliferācijas finansēšanas novēršanas likuma grozījumu stāšanās spēkā </w:t>
            </w:r>
          </w:p>
        </w:tc>
        <w:tc>
          <w:tcPr>
            <w:tcW w:w="336" w:type="pct"/>
            <w:shd w:val="clear" w:color="auto" w:fill="C6EFCE"/>
            <w:hideMark/>
          </w:tcPr>
          <w:p w14:paraId="3DA888BD"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lastRenderedPageBreak/>
              <w:t xml:space="preserve">Stājas spēkā </w:t>
            </w:r>
            <w:r w:rsidRPr="00A116F8">
              <w:rPr>
                <w:rFonts w:ascii="Times New Roman" w:hAnsi="Times New Roman"/>
                <w:sz w:val="16"/>
                <w:szCs w:val="18"/>
              </w:rPr>
              <w:lastRenderedPageBreak/>
              <w:t>grozījumi Noziedzīgi iegūtu līdzekļu legalizācijas un terorisma un proliferācijas finansēšanas novēršanas likumā</w:t>
            </w:r>
          </w:p>
        </w:tc>
        <w:tc>
          <w:tcPr>
            <w:tcW w:w="298" w:type="pct"/>
            <w:shd w:val="clear" w:color="auto" w:fill="C6EFCE"/>
            <w:hideMark/>
          </w:tcPr>
          <w:p w14:paraId="05929B8C"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lastRenderedPageBreak/>
              <w:t>Neattiecas</w:t>
            </w:r>
          </w:p>
        </w:tc>
        <w:tc>
          <w:tcPr>
            <w:tcW w:w="270" w:type="pct"/>
            <w:shd w:val="clear" w:color="auto" w:fill="C6EFCE"/>
            <w:hideMark/>
          </w:tcPr>
          <w:p w14:paraId="6465F803"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Neattieca</w:t>
            </w:r>
            <w:r w:rsidRPr="00A116F8">
              <w:rPr>
                <w:rFonts w:ascii="Times New Roman" w:hAnsi="Times New Roman"/>
                <w:sz w:val="16"/>
                <w:szCs w:val="18"/>
              </w:rPr>
              <w:lastRenderedPageBreak/>
              <w:t>s</w:t>
            </w:r>
          </w:p>
        </w:tc>
        <w:tc>
          <w:tcPr>
            <w:tcW w:w="203" w:type="pct"/>
            <w:shd w:val="clear" w:color="auto" w:fill="C6EFCE"/>
            <w:hideMark/>
          </w:tcPr>
          <w:p w14:paraId="36E88719"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lastRenderedPageBreak/>
              <w:t>Neattieca</w:t>
            </w:r>
            <w:r w:rsidRPr="00A116F8">
              <w:rPr>
                <w:rFonts w:ascii="Times New Roman" w:hAnsi="Times New Roman"/>
                <w:sz w:val="16"/>
                <w:szCs w:val="18"/>
              </w:rPr>
              <w:lastRenderedPageBreak/>
              <w:t>s</w:t>
            </w:r>
          </w:p>
        </w:tc>
        <w:tc>
          <w:tcPr>
            <w:tcW w:w="136" w:type="pct"/>
            <w:shd w:val="clear" w:color="auto" w:fill="C6EFCE"/>
            <w:hideMark/>
          </w:tcPr>
          <w:p w14:paraId="1193952A"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lastRenderedPageBreak/>
              <w:t>2. cet.</w:t>
            </w:r>
          </w:p>
        </w:tc>
        <w:tc>
          <w:tcPr>
            <w:tcW w:w="193" w:type="pct"/>
            <w:shd w:val="clear" w:color="auto" w:fill="C6EFCE"/>
            <w:hideMark/>
          </w:tcPr>
          <w:p w14:paraId="65CE1FE2"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2021</w:t>
            </w:r>
          </w:p>
        </w:tc>
        <w:tc>
          <w:tcPr>
            <w:tcW w:w="407" w:type="pct"/>
            <w:shd w:val="clear" w:color="auto" w:fill="C6EFCE"/>
          </w:tcPr>
          <w:p w14:paraId="2FAA00B6"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 xml:space="preserve">Finanšu </w:t>
            </w:r>
            <w:r w:rsidRPr="00A116F8">
              <w:rPr>
                <w:rFonts w:ascii="Times New Roman" w:hAnsi="Times New Roman"/>
                <w:sz w:val="16"/>
                <w:szCs w:val="18"/>
              </w:rPr>
              <w:lastRenderedPageBreak/>
              <w:t>izlūkošanas dienests ir atbildīgs par ziņošanu un īstenošanu</w:t>
            </w:r>
          </w:p>
        </w:tc>
        <w:tc>
          <w:tcPr>
            <w:tcW w:w="370" w:type="pct"/>
            <w:shd w:val="clear" w:color="auto" w:fill="C6EFCE"/>
          </w:tcPr>
          <w:p w14:paraId="27EA1744"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5A8B5AAD"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 xml:space="preserve">Kopija grozīto </w:t>
            </w:r>
            <w:r w:rsidRPr="00A116F8">
              <w:rPr>
                <w:rFonts w:ascii="Times New Roman" w:hAnsi="Times New Roman"/>
                <w:sz w:val="16"/>
                <w:szCs w:val="18"/>
              </w:rPr>
              <w:lastRenderedPageBreak/>
              <w:t>tiesību aktu publikācijai, kas attiecas uz noziedzīgi iegūto līdzekļu legalizācijas un terorisma un proliferācijas finansēšanas novēršanu, un saite uz publikāciju oficiālajā izdevumā, tostarp atsauce uz norādēm par stāšanos spēkā un pievienots kopsavilkuma dokuments, kurā pienācīgi pamatots, kā tika apmierinoši sasniegts atskaites punkts (tostarp visi būtiskie elementi), kopā ar atbilstošām saitēm uz pamatojošajiem pierādījumiem.</w:t>
            </w:r>
          </w:p>
        </w:tc>
        <w:tc>
          <w:tcPr>
            <w:tcW w:w="760" w:type="pct"/>
            <w:shd w:val="clear" w:color="auto" w:fill="C6EFCE"/>
            <w:hideMark/>
          </w:tcPr>
          <w:p w14:paraId="2F2289EC"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lastRenderedPageBreak/>
              <w:t xml:space="preserve">Spēkā stājušies </w:t>
            </w:r>
            <w:r w:rsidRPr="00A116F8">
              <w:rPr>
                <w:rFonts w:ascii="Times New Roman" w:hAnsi="Times New Roman"/>
                <w:sz w:val="16"/>
                <w:szCs w:val="18"/>
              </w:rPr>
              <w:lastRenderedPageBreak/>
              <w:t>grozījumi Noziedzīgi iegūtu līdzekļu legalizācijas un terorisma un proliferācijas finansēšanas novēršanas likumā, tostarp:</w:t>
            </w:r>
          </w:p>
          <w:p w14:paraId="5B11EBDD"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ieviesta jauna Finanšu izlūkošanas dienesta (FID) datu saņemšanas un analīzes sistēma un atcelta paralēlas ziņošanas sistēma gan FID, gan Valsts ieņēmumu dienestam (VID), paredzot ziņošanu tikai FID.</w:t>
            </w:r>
          </w:p>
          <w:p w14:paraId="599261EA"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Pieņemti Ministru kabineta noteikumi par kārtību un saturu ziņojumiem par aizdomīgiem darījumiem un sliekšņa deklarācijām.</w:t>
            </w:r>
          </w:p>
        </w:tc>
      </w:tr>
      <w:tr w:rsidR="001A3E6F" w:rsidRPr="00A116F8" w14:paraId="1B9180E7" w14:textId="77777777" w:rsidTr="009E7D55">
        <w:trPr>
          <w:jc w:val="center"/>
        </w:trPr>
        <w:tc>
          <w:tcPr>
            <w:tcW w:w="163" w:type="pct"/>
            <w:shd w:val="clear" w:color="auto" w:fill="C6EFCE"/>
            <w:hideMark/>
          </w:tcPr>
          <w:p w14:paraId="5C892541"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lastRenderedPageBreak/>
              <w:t>187</w:t>
            </w:r>
          </w:p>
        </w:tc>
        <w:tc>
          <w:tcPr>
            <w:tcW w:w="314" w:type="pct"/>
            <w:shd w:val="clear" w:color="auto" w:fill="C6EFCE"/>
            <w:hideMark/>
          </w:tcPr>
          <w:p w14:paraId="14670C6D"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 xml:space="preserve">6.2.1.1.i. </w:t>
            </w:r>
            <w:r w:rsidRPr="00A116F8">
              <w:rPr>
                <w:rFonts w:ascii="Times New Roman" w:hAnsi="Times New Roman"/>
                <w:b/>
                <w:i/>
                <w:iCs/>
                <w:sz w:val="16"/>
                <w:szCs w:val="18"/>
              </w:rPr>
              <w:t>AML</w:t>
            </w:r>
            <w:r w:rsidRPr="00A116F8">
              <w:rPr>
                <w:rFonts w:ascii="Times New Roman" w:hAnsi="Times New Roman"/>
                <w:b/>
                <w:sz w:val="16"/>
                <w:szCs w:val="18"/>
              </w:rPr>
              <w:t xml:space="preserve"> inovāciju centra izveide noziedzīgi iegūtu līdzekļu legalizācijas identificēšanas uzlabošanai</w:t>
            </w:r>
          </w:p>
        </w:tc>
        <w:tc>
          <w:tcPr>
            <w:tcW w:w="270" w:type="pct"/>
            <w:shd w:val="clear" w:color="auto" w:fill="C6EFCE"/>
            <w:hideMark/>
          </w:tcPr>
          <w:p w14:paraId="505474F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Atskaites punkts</w:t>
            </w:r>
          </w:p>
        </w:tc>
        <w:tc>
          <w:tcPr>
            <w:tcW w:w="326" w:type="pct"/>
            <w:shd w:val="clear" w:color="auto" w:fill="C6EFCE"/>
            <w:hideMark/>
          </w:tcPr>
          <w:p w14:paraId="5317C028"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Sadarbības platforma finanšu izlūkošanai un zināšanu apmaiņai, lai uzlabotu noziedzīgi iegūtu līdzekļu legalizācijas identificēšanu</w:t>
            </w:r>
          </w:p>
          <w:p w14:paraId="5133A09D"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 xml:space="preserve">Sadarbības platforma finanšu izlūkošanai un zināšanu </w:t>
            </w:r>
            <w:r w:rsidRPr="00A116F8">
              <w:rPr>
                <w:rFonts w:ascii="Times New Roman" w:hAnsi="Times New Roman"/>
                <w:sz w:val="16"/>
                <w:szCs w:val="18"/>
              </w:rPr>
              <w:lastRenderedPageBreak/>
              <w:t>apmaiņai, lai uzlabotu noziedzīgi iegūtu līdzekļu legalizācijas identificēšanu IT platforma zināšanu un dokumentu apmaiņai un sadarbības koordinēšanai starp ieinteresētajām personām</w:t>
            </w:r>
          </w:p>
          <w:p w14:paraId="44A577F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336" w:type="pct"/>
            <w:shd w:val="clear" w:color="auto" w:fill="C6EFCE"/>
            <w:hideMark/>
          </w:tcPr>
          <w:p w14:paraId="1AF7D270"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lastRenderedPageBreak/>
              <w:t>Pabeigta IT platforma zināšanu apmaiņai un saziņai ar ieinteresētajām personām</w:t>
            </w:r>
          </w:p>
        </w:tc>
        <w:tc>
          <w:tcPr>
            <w:tcW w:w="298" w:type="pct"/>
            <w:shd w:val="clear" w:color="auto" w:fill="C6EFCE"/>
            <w:hideMark/>
          </w:tcPr>
          <w:p w14:paraId="3050E3C3"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70" w:type="pct"/>
            <w:shd w:val="clear" w:color="auto" w:fill="C6EFCE"/>
            <w:hideMark/>
          </w:tcPr>
          <w:p w14:paraId="2A3E77D9"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03" w:type="pct"/>
            <w:shd w:val="clear" w:color="auto" w:fill="C6EFCE"/>
            <w:hideMark/>
          </w:tcPr>
          <w:p w14:paraId="398888AA"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136" w:type="pct"/>
            <w:shd w:val="clear" w:color="auto" w:fill="C6EFCE"/>
            <w:hideMark/>
          </w:tcPr>
          <w:p w14:paraId="45EFAA83"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1. cet.</w:t>
            </w:r>
          </w:p>
        </w:tc>
        <w:tc>
          <w:tcPr>
            <w:tcW w:w="193" w:type="pct"/>
            <w:shd w:val="clear" w:color="auto" w:fill="C6EFCE"/>
            <w:hideMark/>
          </w:tcPr>
          <w:p w14:paraId="166D4BBE"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2025</w:t>
            </w:r>
          </w:p>
        </w:tc>
        <w:tc>
          <w:tcPr>
            <w:tcW w:w="407" w:type="pct"/>
            <w:shd w:val="clear" w:color="auto" w:fill="C6EFCE"/>
          </w:tcPr>
          <w:p w14:paraId="79FF7DEE"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Finanšu izlūkošanas dienests ir atbildīgs par ziņošanu un īstenošanu</w:t>
            </w:r>
          </w:p>
        </w:tc>
        <w:tc>
          <w:tcPr>
            <w:tcW w:w="370" w:type="pct"/>
            <w:shd w:val="clear" w:color="auto" w:fill="C6EFCE"/>
          </w:tcPr>
          <w:p w14:paraId="598EFF5B"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5DE7357A"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Kopsavilkuma dokuments, kurā pienācīgi pamatots, kā tika apmierinoši sasniegts atskaites punkts (tostarp visi būtiskie elementi), kopā ar atbilstošām saitēm uz pamatojošajiem pierādījumiem.</w:t>
            </w:r>
          </w:p>
          <w:p w14:paraId="09FB66FC"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 xml:space="preserve">Šā dokumenta pielikumā iekļauj </w:t>
            </w:r>
            <w:r w:rsidRPr="00A116F8">
              <w:rPr>
                <w:rFonts w:ascii="Times New Roman" w:hAnsi="Times New Roman"/>
                <w:sz w:val="16"/>
                <w:szCs w:val="18"/>
              </w:rPr>
              <w:lastRenderedPageBreak/>
              <w:t>šādus dokumentārus pierādījumus:</w:t>
            </w:r>
          </w:p>
          <w:p w14:paraId="0CAA86F9"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t>a) kopijas apliecinājumiem par pabeigšanu, kas izsniegti saskaņā ar valsts tiesību aktiem un apliecina drošu platformu izveidošanu zināšanu apmaiņai, pārnesei un sniegšanai, tostarp nodrošinot, ka ir izveidota un darbojas pētniecības zāle, saziņas telpas un sistēmas iekšējie savienojumi ar iesaistītajām pusēm, kas nodrošina informācijas aizsardzību;</w:t>
            </w:r>
          </w:p>
          <w:p w14:paraId="0508C57E"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b) tādu tehnisko specifikāciju izrakstu, kas sasaista to prasības ar atskaites punkta sasniegšanu.</w:t>
            </w:r>
          </w:p>
        </w:tc>
        <w:tc>
          <w:tcPr>
            <w:tcW w:w="760" w:type="pct"/>
            <w:shd w:val="clear" w:color="auto" w:fill="C6EFCE"/>
            <w:hideMark/>
          </w:tcPr>
          <w:p w14:paraId="3C8D2DBE"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lastRenderedPageBreak/>
              <w:t>a) Ieviestas 5 informācijas sistēmas noziedzīgi iegūtu līdzekļu legalizācijas, terorisma vai proliferācijas finansēšanas identificēšanas spējas stiprināšanai;</w:t>
            </w:r>
          </w:p>
          <w:p w14:paraId="0F20A9FE"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b) izveidotas 3 specializētas telpas zināšanu apmaiņai un sadarbībai;</w:t>
            </w:r>
          </w:p>
          <w:p w14:paraId="73263230"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xml:space="preserve">c) radīti 5 savienojumi </w:t>
            </w:r>
            <w:r w:rsidRPr="00A116F8">
              <w:rPr>
                <w:rFonts w:ascii="Times New Roman" w:hAnsi="Times New Roman"/>
                <w:sz w:val="16"/>
                <w:szCs w:val="18"/>
              </w:rPr>
              <w:lastRenderedPageBreak/>
              <w:t>starp sistēmām automātiskai datu apmaiņai;</w:t>
            </w:r>
          </w:p>
          <w:p w14:paraId="1B604F21"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d) datu apstrādes infrastruktūra ir izveidota, pamatojoties uz 6 tehniskiem risinājumiem;</w:t>
            </w:r>
          </w:p>
          <w:p w14:paraId="58C869D9"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e) iesaistīti 2 pētnieki, lai izstrādātu analītiskos risinājumus informācijas pārbaudei, pamatojoties uz iepriekš noteiktām pazīmēm finanšu darījumu pārskatos.</w:t>
            </w:r>
          </w:p>
        </w:tc>
      </w:tr>
      <w:tr w:rsidR="001A3E6F" w:rsidRPr="00A116F8" w14:paraId="6BBFB61F" w14:textId="77777777" w:rsidTr="009E7D55">
        <w:trPr>
          <w:jc w:val="center"/>
        </w:trPr>
        <w:tc>
          <w:tcPr>
            <w:tcW w:w="163" w:type="pct"/>
            <w:shd w:val="clear" w:color="auto" w:fill="C6EFCE"/>
          </w:tcPr>
          <w:p w14:paraId="380AD3F1"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lastRenderedPageBreak/>
              <w:t>188</w:t>
            </w:r>
          </w:p>
        </w:tc>
        <w:tc>
          <w:tcPr>
            <w:tcW w:w="314" w:type="pct"/>
            <w:shd w:val="clear" w:color="auto" w:fill="C6EFCE"/>
          </w:tcPr>
          <w:p w14:paraId="12719CF8"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6.2.1.2.i. Ekonomisko noziegumu izmeklēšanas kapacitātes stiprināšana</w:t>
            </w:r>
          </w:p>
        </w:tc>
        <w:tc>
          <w:tcPr>
            <w:tcW w:w="270" w:type="pct"/>
            <w:shd w:val="clear" w:color="auto" w:fill="C6EFCE"/>
          </w:tcPr>
          <w:p w14:paraId="2B9F967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Atskaites punkts</w:t>
            </w:r>
          </w:p>
        </w:tc>
        <w:tc>
          <w:tcPr>
            <w:tcW w:w="326" w:type="pct"/>
            <w:shd w:val="clear" w:color="auto" w:fill="C6EFCE"/>
          </w:tcPr>
          <w:p w14:paraId="245BE178"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Ir apstiprināts progresa ziņojums par rīcības plāna īstenošanu</w:t>
            </w:r>
          </w:p>
        </w:tc>
        <w:tc>
          <w:tcPr>
            <w:tcW w:w="336" w:type="pct"/>
            <w:shd w:val="clear" w:color="auto" w:fill="C6EFCE"/>
          </w:tcPr>
          <w:p w14:paraId="73E57FB3"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 xml:space="preserve">Progresa ziņojuma apstiprināšana </w:t>
            </w:r>
          </w:p>
        </w:tc>
        <w:tc>
          <w:tcPr>
            <w:tcW w:w="298" w:type="pct"/>
            <w:shd w:val="clear" w:color="auto" w:fill="C6EFCE"/>
          </w:tcPr>
          <w:p w14:paraId="4660DE54"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Neattiecas</w:t>
            </w:r>
          </w:p>
        </w:tc>
        <w:tc>
          <w:tcPr>
            <w:tcW w:w="270" w:type="pct"/>
            <w:shd w:val="clear" w:color="auto" w:fill="C6EFCE"/>
          </w:tcPr>
          <w:p w14:paraId="0D3E105D"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Neattiecas</w:t>
            </w:r>
          </w:p>
        </w:tc>
        <w:tc>
          <w:tcPr>
            <w:tcW w:w="203" w:type="pct"/>
            <w:shd w:val="clear" w:color="auto" w:fill="C6EFCE"/>
          </w:tcPr>
          <w:p w14:paraId="21067D14"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Neattiecas</w:t>
            </w:r>
          </w:p>
        </w:tc>
        <w:tc>
          <w:tcPr>
            <w:tcW w:w="136" w:type="pct"/>
            <w:shd w:val="clear" w:color="auto" w:fill="C6EFCE"/>
          </w:tcPr>
          <w:p w14:paraId="10F93213"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4. cet.</w:t>
            </w:r>
          </w:p>
        </w:tc>
        <w:tc>
          <w:tcPr>
            <w:tcW w:w="193" w:type="pct"/>
            <w:shd w:val="clear" w:color="auto" w:fill="C6EFCE"/>
          </w:tcPr>
          <w:p w14:paraId="4302B328"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2025</w:t>
            </w:r>
          </w:p>
        </w:tc>
        <w:tc>
          <w:tcPr>
            <w:tcW w:w="407" w:type="pct"/>
            <w:shd w:val="clear" w:color="auto" w:fill="C6EFCE"/>
          </w:tcPr>
          <w:p w14:paraId="599FDE78"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Iekšlietu ministrija</w:t>
            </w:r>
          </w:p>
        </w:tc>
        <w:tc>
          <w:tcPr>
            <w:tcW w:w="370" w:type="pct"/>
            <w:shd w:val="clear" w:color="auto" w:fill="C6EFCE"/>
          </w:tcPr>
          <w:p w14:paraId="652692BC"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13D81AC7" w14:textId="77777777" w:rsidR="001A3E6F" w:rsidRPr="00A116F8" w:rsidRDefault="001A3E6F" w:rsidP="00A116F8">
            <w:pPr>
              <w:pStyle w:val="paragraph"/>
              <w:widowControl w:val="0"/>
              <w:spacing w:before="0" w:beforeAutospacing="0" w:after="0" w:afterAutospacing="0"/>
              <w:ind w:left="57" w:right="57"/>
              <w:textAlignment w:val="baseline"/>
              <w:rPr>
                <w:rFonts w:cs="Segoe UI"/>
                <w:noProof/>
                <w:sz w:val="16"/>
                <w:szCs w:val="18"/>
              </w:rPr>
            </w:pPr>
            <w:r w:rsidRPr="00A116F8">
              <w:rPr>
                <w:sz w:val="16"/>
                <w:szCs w:val="18"/>
              </w:rPr>
              <w:t xml:space="preserve">Kopsavilkuma dokuments, kurā pienācīgi pamatots, kā tika apmierinoši sasniegts atskaites punkts (tostarp visi būtiskie elementi), kopā ar atbilstošām saitēm </w:t>
            </w:r>
            <w:r w:rsidRPr="00A116F8">
              <w:rPr>
                <w:sz w:val="16"/>
                <w:szCs w:val="18"/>
              </w:rPr>
              <w:lastRenderedPageBreak/>
              <w:t>uz pamatojošajiem pierādījumiem.</w:t>
            </w:r>
          </w:p>
          <w:p w14:paraId="64880E05" w14:textId="77777777" w:rsidR="001A3E6F" w:rsidRPr="00A116F8" w:rsidRDefault="001A3E6F" w:rsidP="00A116F8">
            <w:pPr>
              <w:pStyle w:val="paragraph"/>
              <w:widowControl w:val="0"/>
              <w:spacing w:before="0" w:beforeAutospacing="0" w:after="0" w:afterAutospacing="0"/>
              <w:ind w:left="57" w:right="57"/>
              <w:textAlignment w:val="baseline"/>
              <w:rPr>
                <w:rFonts w:cs="Segoe UI"/>
                <w:noProof/>
                <w:sz w:val="16"/>
                <w:szCs w:val="18"/>
              </w:rPr>
            </w:pPr>
            <w:r w:rsidRPr="00A116F8">
              <w:rPr>
                <w:sz w:val="16"/>
                <w:szCs w:val="18"/>
              </w:rPr>
              <w:t>Šā dokumenta pielikumā iekļauj kopiju apstiprinātā progresa ziņojumam par rīcības plāna īstenošanu un saiti uz šo publikāciju.</w:t>
            </w:r>
          </w:p>
        </w:tc>
        <w:tc>
          <w:tcPr>
            <w:tcW w:w="760" w:type="pct"/>
            <w:shd w:val="clear" w:color="auto" w:fill="C6EFCE"/>
          </w:tcPr>
          <w:p w14:paraId="528ECBD4"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lastRenderedPageBreak/>
              <w:t xml:space="preserve">Ministru kabinets apstiprina progresa ziņojumu par to, kā tiek īstenots rīcības plāns ekonomisko noziegumu apkarošanas stiprināšanai. Informatīvajā ziņojumā apstiprina </w:t>
            </w:r>
            <w:r w:rsidRPr="00A116F8">
              <w:rPr>
                <w:rFonts w:ascii="Times New Roman" w:hAnsi="Times New Roman"/>
                <w:sz w:val="16"/>
                <w:szCs w:val="18"/>
              </w:rPr>
              <w:lastRenderedPageBreak/>
              <w:t>visu plānā izklāstīto mērķu īstenošanu.</w:t>
            </w:r>
          </w:p>
          <w:p w14:paraId="4B2E6114"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xml:space="preserve">Plāns ir apstiprināts 2022. gadā, pamatojoties uz ieteikumiem, kas saņemti saskaņā ar </w:t>
            </w:r>
            <w:r w:rsidRPr="00A116F8">
              <w:rPr>
                <w:rFonts w:ascii="Times New Roman" w:hAnsi="Times New Roman"/>
                <w:i/>
                <w:iCs/>
                <w:sz w:val="16"/>
                <w:szCs w:val="18"/>
              </w:rPr>
              <w:t>REFORM</w:t>
            </w:r>
            <w:r w:rsidRPr="00A116F8">
              <w:rPr>
                <w:rFonts w:ascii="Times New Roman" w:hAnsi="Times New Roman"/>
                <w:sz w:val="16"/>
                <w:szCs w:val="18"/>
              </w:rPr>
              <w:t xml:space="preserve"> ĢD Strukturālo reformu programmu un kurus sīkāk izklāstījusi Valsts policija.</w:t>
            </w:r>
          </w:p>
          <w:p w14:paraId="4D4F06AB" w14:textId="77777777" w:rsidR="001A3E6F" w:rsidRPr="00A116F8" w:rsidRDefault="001A3E6F" w:rsidP="00A116F8">
            <w:pPr>
              <w:pStyle w:val="paragraph"/>
              <w:widowControl w:val="0"/>
              <w:spacing w:before="0" w:beforeAutospacing="0" w:after="0" w:afterAutospacing="0"/>
              <w:ind w:left="57" w:right="57"/>
              <w:textAlignment w:val="baseline"/>
              <w:rPr>
                <w:noProof/>
                <w:sz w:val="16"/>
                <w:szCs w:val="18"/>
              </w:rPr>
            </w:pPr>
            <w:r w:rsidRPr="00A116F8">
              <w:rPr>
                <w:sz w:val="16"/>
                <w:szCs w:val="18"/>
              </w:rPr>
              <w:t>Plānā ir noteikti īstenojamie pasākumi, termiņi un par īstenošanu atbildīgās struktūras.</w:t>
            </w:r>
          </w:p>
        </w:tc>
      </w:tr>
      <w:tr w:rsidR="001A3E6F" w:rsidRPr="00A116F8" w14:paraId="57DC7F3A" w14:textId="77777777" w:rsidTr="009E7D55">
        <w:trPr>
          <w:jc w:val="center"/>
        </w:trPr>
        <w:tc>
          <w:tcPr>
            <w:tcW w:w="163" w:type="pct"/>
            <w:shd w:val="clear" w:color="auto" w:fill="C6EFCE"/>
            <w:hideMark/>
          </w:tcPr>
          <w:p w14:paraId="34BAA199"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lastRenderedPageBreak/>
              <w:t>189</w:t>
            </w:r>
          </w:p>
        </w:tc>
        <w:tc>
          <w:tcPr>
            <w:tcW w:w="314" w:type="pct"/>
            <w:shd w:val="clear" w:color="auto" w:fill="C6EFCE"/>
            <w:hideMark/>
          </w:tcPr>
          <w:p w14:paraId="76D6386E"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noProof/>
                <w:sz w:val="16"/>
                <w:szCs w:val="18"/>
              </w:rPr>
            </w:pPr>
            <w:r w:rsidRPr="00A116F8">
              <w:rPr>
                <w:rFonts w:ascii="Times New Roman" w:hAnsi="Times New Roman"/>
                <w:b/>
                <w:sz w:val="16"/>
                <w:szCs w:val="18"/>
              </w:rPr>
              <w:t>6.2.1.2.i. Ekonomisko noziegumu izmeklēšanas kapacitātes stiprināšana</w:t>
            </w:r>
          </w:p>
        </w:tc>
        <w:tc>
          <w:tcPr>
            <w:tcW w:w="270" w:type="pct"/>
            <w:shd w:val="clear" w:color="auto" w:fill="C6EFCE"/>
            <w:hideMark/>
          </w:tcPr>
          <w:p w14:paraId="133FC99A"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Mērķis</w:t>
            </w:r>
          </w:p>
        </w:tc>
        <w:tc>
          <w:tcPr>
            <w:tcW w:w="326" w:type="pct"/>
            <w:shd w:val="clear" w:color="auto" w:fill="C6EFCE"/>
            <w:hideMark/>
          </w:tcPr>
          <w:p w14:paraId="1125D351" w14:textId="77777777" w:rsidR="001A3E6F" w:rsidRPr="00A116F8" w:rsidRDefault="001A3E6F" w:rsidP="00A116F8">
            <w:pPr>
              <w:widowControl w:val="0"/>
              <w:spacing w:after="0" w:line="240" w:lineRule="auto"/>
              <w:ind w:left="57" w:right="57"/>
              <w:jc w:val="both"/>
              <w:rPr>
                <w:rFonts w:ascii="Times New Roman" w:hAnsi="Times New Roman" w:cs="Times New Roman"/>
                <w:noProof/>
                <w:sz w:val="16"/>
                <w:szCs w:val="18"/>
              </w:rPr>
            </w:pPr>
            <w:r w:rsidRPr="00A116F8">
              <w:rPr>
                <w:rFonts w:ascii="Times New Roman" w:hAnsi="Times New Roman"/>
                <w:sz w:val="16"/>
                <w:szCs w:val="18"/>
              </w:rPr>
              <w:t>Atklāto krimināllietu saistībā ar noziedzīgiem nodarījumiem pret dabas vidi īpatsvars</w:t>
            </w:r>
          </w:p>
        </w:tc>
        <w:tc>
          <w:tcPr>
            <w:tcW w:w="336" w:type="pct"/>
            <w:shd w:val="clear" w:color="auto" w:fill="C6EFCE"/>
            <w:hideMark/>
          </w:tcPr>
          <w:p w14:paraId="73289101"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98" w:type="pct"/>
            <w:shd w:val="clear" w:color="auto" w:fill="C6EFCE"/>
            <w:hideMark/>
          </w:tcPr>
          <w:p w14:paraId="764FD79C"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w:t>
            </w:r>
          </w:p>
        </w:tc>
        <w:tc>
          <w:tcPr>
            <w:tcW w:w="270" w:type="pct"/>
            <w:shd w:val="clear" w:color="auto" w:fill="C6EFCE"/>
            <w:hideMark/>
          </w:tcPr>
          <w:p w14:paraId="700F6C70"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40</w:t>
            </w:r>
          </w:p>
        </w:tc>
        <w:tc>
          <w:tcPr>
            <w:tcW w:w="203" w:type="pct"/>
            <w:shd w:val="clear" w:color="auto" w:fill="C6EFCE"/>
            <w:hideMark/>
          </w:tcPr>
          <w:p w14:paraId="1ABFECC4"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60</w:t>
            </w:r>
          </w:p>
        </w:tc>
        <w:tc>
          <w:tcPr>
            <w:tcW w:w="136" w:type="pct"/>
            <w:shd w:val="clear" w:color="auto" w:fill="C6EFCE"/>
            <w:hideMark/>
          </w:tcPr>
          <w:p w14:paraId="4FEADA38"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1. cet.</w:t>
            </w:r>
          </w:p>
        </w:tc>
        <w:tc>
          <w:tcPr>
            <w:tcW w:w="193" w:type="pct"/>
            <w:shd w:val="clear" w:color="auto" w:fill="C6EFCE"/>
            <w:hideMark/>
          </w:tcPr>
          <w:p w14:paraId="7FC266F7"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2025</w:t>
            </w:r>
          </w:p>
        </w:tc>
        <w:tc>
          <w:tcPr>
            <w:tcW w:w="407" w:type="pct"/>
            <w:shd w:val="clear" w:color="auto" w:fill="C6EFCE"/>
          </w:tcPr>
          <w:p w14:paraId="5FF4FCA7"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Piecas Valsts policijas reģionu pārvaldes (saistībā ar noziedzīgiem nodarījumiem pret dabas vidi)</w:t>
            </w:r>
          </w:p>
        </w:tc>
        <w:tc>
          <w:tcPr>
            <w:tcW w:w="370" w:type="pct"/>
            <w:shd w:val="clear" w:color="auto" w:fill="C6EFCE"/>
          </w:tcPr>
          <w:p w14:paraId="548D744C"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51B37B73"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t xml:space="preserve">Kopsavilkuma dokuments, kurā pienācīgi pamatots, kā tika apmierinoši sasniegts mērķis (tostarp visi būtiskie elementi), kopā ar atbilstošām saitēm uz pamatojošajiem pierādījumiem. Šā dokumenta pielikumā iekļauj šādus dokumentārus pierādījumus: Valsts policijas gada pārskata kopiju un saiti uz to, kas apliecina, ka to atklāto noziedzīgo nodarījumu pret dabas vidi īpatsvars, kuri tiek </w:t>
            </w:r>
            <w:r w:rsidRPr="00A116F8">
              <w:rPr>
                <w:rFonts w:ascii="Times New Roman" w:hAnsi="Times New Roman"/>
                <w:sz w:val="16"/>
                <w:szCs w:val="18"/>
              </w:rPr>
              <w:lastRenderedPageBreak/>
              <w:t>atrisināti un nodoti tiesai 2024. gadā, ir vismaz 60 %.</w:t>
            </w:r>
          </w:p>
        </w:tc>
        <w:tc>
          <w:tcPr>
            <w:tcW w:w="760" w:type="pct"/>
            <w:shd w:val="clear" w:color="auto" w:fill="C6EFCE"/>
            <w:hideMark/>
          </w:tcPr>
          <w:p w14:paraId="6D93BD92"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lastRenderedPageBreak/>
              <w:t>To atklāto noziedzīgo nodarījumu pret dabas vidi īpatsvars, kuri tiek atrisināti un nodoti tiesai 2024. gadā, ir vismaz 60 %.</w:t>
            </w:r>
          </w:p>
        </w:tc>
      </w:tr>
      <w:tr w:rsidR="001A3E6F" w:rsidRPr="00A116F8" w14:paraId="53E7535C" w14:textId="77777777" w:rsidTr="009E7D55">
        <w:trPr>
          <w:jc w:val="center"/>
        </w:trPr>
        <w:tc>
          <w:tcPr>
            <w:tcW w:w="163" w:type="pct"/>
            <w:shd w:val="clear" w:color="auto" w:fill="C6EFCE"/>
            <w:hideMark/>
          </w:tcPr>
          <w:p w14:paraId="4109B13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190</w:t>
            </w:r>
          </w:p>
        </w:tc>
        <w:tc>
          <w:tcPr>
            <w:tcW w:w="314" w:type="pct"/>
            <w:shd w:val="clear" w:color="auto" w:fill="C6EFCE"/>
            <w:hideMark/>
          </w:tcPr>
          <w:p w14:paraId="2BE00FA1"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6.2.1.2.i. Ekonomisko noziegumu izmeklēšanas kapacitātes stiprināšana</w:t>
            </w:r>
          </w:p>
        </w:tc>
        <w:tc>
          <w:tcPr>
            <w:tcW w:w="270" w:type="pct"/>
            <w:shd w:val="clear" w:color="auto" w:fill="C6EFCE"/>
            <w:hideMark/>
          </w:tcPr>
          <w:p w14:paraId="4DC45101"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Mērķis</w:t>
            </w:r>
          </w:p>
        </w:tc>
        <w:tc>
          <w:tcPr>
            <w:tcW w:w="326" w:type="pct"/>
            <w:shd w:val="clear" w:color="auto" w:fill="C6EFCE"/>
            <w:hideMark/>
          </w:tcPr>
          <w:p w14:paraId="7F647212" w14:textId="77777777" w:rsidR="001A3E6F" w:rsidRPr="00A116F8" w:rsidRDefault="001A3E6F" w:rsidP="00A116F8">
            <w:pPr>
              <w:widowControl w:val="0"/>
              <w:spacing w:after="0" w:line="240" w:lineRule="auto"/>
              <w:ind w:left="57" w:right="57"/>
              <w:jc w:val="both"/>
              <w:rPr>
                <w:rFonts w:ascii="Times New Roman" w:hAnsi="Times New Roman" w:cs="Times New Roman"/>
                <w:noProof/>
                <w:sz w:val="16"/>
                <w:szCs w:val="18"/>
              </w:rPr>
            </w:pPr>
            <w:r w:rsidRPr="00A116F8">
              <w:rPr>
                <w:rFonts w:ascii="Times New Roman" w:hAnsi="Times New Roman"/>
                <w:sz w:val="16"/>
                <w:szCs w:val="18"/>
              </w:rPr>
              <w:t>Sertificētu ekonomisko noziegumu izmeklētāju skaits programmā “Sertificēts nelikumīgi iegūtu līdzekļu legalizācijas apkarošanas speciālists (</w:t>
            </w:r>
            <w:r w:rsidRPr="00A116F8">
              <w:rPr>
                <w:rFonts w:ascii="Times New Roman" w:hAnsi="Times New Roman"/>
                <w:i/>
                <w:iCs/>
                <w:sz w:val="16"/>
                <w:szCs w:val="18"/>
              </w:rPr>
              <w:t>CAMS</w:t>
            </w:r>
            <w:r w:rsidRPr="00A116F8">
              <w:rPr>
                <w:rFonts w:ascii="Times New Roman" w:hAnsi="Times New Roman"/>
                <w:sz w:val="16"/>
                <w:szCs w:val="18"/>
              </w:rPr>
              <w:t>)”</w:t>
            </w:r>
          </w:p>
        </w:tc>
        <w:tc>
          <w:tcPr>
            <w:tcW w:w="336" w:type="pct"/>
            <w:shd w:val="clear" w:color="auto" w:fill="C6EFCE"/>
            <w:hideMark/>
          </w:tcPr>
          <w:p w14:paraId="4B790D28"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98" w:type="pct"/>
            <w:shd w:val="clear" w:color="auto" w:fill="C6EFCE"/>
            <w:hideMark/>
          </w:tcPr>
          <w:p w14:paraId="7DFA91AB"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Skaits</w:t>
            </w:r>
          </w:p>
        </w:tc>
        <w:tc>
          <w:tcPr>
            <w:tcW w:w="270" w:type="pct"/>
            <w:shd w:val="clear" w:color="auto" w:fill="C6EFCE"/>
            <w:hideMark/>
          </w:tcPr>
          <w:p w14:paraId="10B33AAB"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0</w:t>
            </w:r>
          </w:p>
        </w:tc>
        <w:tc>
          <w:tcPr>
            <w:tcW w:w="203" w:type="pct"/>
            <w:shd w:val="clear" w:color="auto" w:fill="C6EFCE"/>
            <w:hideMark/>
          </w:tcPr>
          <w:p w14:paraId="46DE7B2D"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w:t>
            </w:r>
          </w:p>
        </w:tc>
        <w:tc>
          <w:tcPr>
            <w:tcW w:w="136" w:type="pct"/>
            <w:shd w:val="clear" w:color="auto" w:fill="C6EFCE"/>
            <w:hideMark/>
          </w:tcPr>
          <w:p w14:paraId="60284B02"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1. cet.</w:t>
            </w:r>
          </w:p>
        </w:tc>
        <w:tc>
          <w:tcPr>
            <w:tcW w:w="193" w:type="pct"/>
            <w:shd w:val="clear" w:color="auto" w:fill="C6EFCE"/>
            <w:hideMark/>
          </w:tcPr>
          <w:p w14:paraId="04D2678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2025</w:t>
            </w:r>
          </w:p>
        </w:tc>
        <w:tc>
          <w:tcPr>
            <w:tcW w:w="407" w:type="pct"/>
            <w:shd w:val="clear" w:color="auto" w:fill="C6EFCE"/>
          </w:tcPr>
          <w:p w14:paraId="16D9F9FD"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 xml:space="preserve">Valsts policijas Ekonomisko noziegumu apkarošanas pārvalde, piecas Latvijas reģionu pārvaldes </w:t>
            </w:r>
          </w:p>
        </w:tc>
        <w:tc>
          <w:tcPr>
            <w:tcW w:w="370" w:type="pct"/>
            <w:shd w:val="clear" w:color="auto" w:fill="C6EFCE"/>
          </w:tcPr>
          <w:p w14:paraId="435819E1"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25E5A4B5"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Kopsavilkuma dokuments, kurā pienācīgi pamatots, kā tika apmierinoši sasniegts mērķis (tostarp visi būtiskie elementi), kopā ar atbilstošām saitēm uz pamatojošajiem pierādījumiem.</w:t>
            </w:r>
          </w:p>
          <w:p w14:paraId="75EC70AB"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Šā dokumenta pielikumā iekļauj šādus dokumentārus pierādījumus:</w:t>
            </w:r>
          </w:p>
          <w:p w14:paraId="0AAB43D0"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t>a) apliecinājumus, kas pierāda, ka 20 tiesībaizsardzības iestāžu amatpersonas ir ieguvušas sertificēta nelikumīgi iegūtu līdzekļu legalizācijas apkarošanas speciālista apliecību;</w:t>
            </w:r>
          </w:p>
          <w:p w14:paraId="6755476B"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b) specifikācijas saskaņā ar mācību prasībām (t. i., konkrētas nelikumīgi iegūtu līdzekļu legalizācijas apkarošanas mācību svarīgākās jomas).</w:t>
            </w:r>
          </w:p>
        </w:tc>
        <w:tc>
          <w:tcPr>
            <w:tcW w:w="760" w:type="pct"/>
            <w:shd w:val="clear" w:color="auto" w:fill="C6EFCE"/>
            <w:hideMark/>
          </w:tcPr>
          <w:p w14:paraId="4DA1D14D"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Vismaz 20 tiesībaizsardzības iestāžu amatpersonas ir ieguvušas sertificēta nelikumīgi iegūtu līdzekļu legalizācijas apkarošanas speciālista apliecību.</w:t>
            </w:r>
          </w:p>
        </w:tc>
      </w:tr>
      <w:tr w:rsidR="001A3E6F" w:rsidRPr="00A116F8" w14:paraId="2813A424" w14:textId="77777777" w:rsidTr="009E7D55">
        <w:trPr>
          <w:jc w:val="center"/>
        </w:trPr>
        <w:tc>
          <w:tcPr>
            <w:tcW w:w="163" w:type="pct"/>
            <w:shd w:val="clear" w:color="auto" w:fill="C6EFCE"/>
            <w:hideMark/>
          </w:tcPr>
          <w:p w14:paraId="6C75C8D6"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lastRenderedPageBreak/>
              <w:t>191</w:t>
            </w:r>
          </w:p>
        </w:tc>
        <w:tc>
          <w:tcPr>
            <w:tcW w:w="314" w:type="pct"/>
            <w:shd w:val="clear" w:color="auto" w:fill="C6EFCE"/>
            <w:hideMark/>
          </w:tcPr>
          <w:p w14:paraId="7DA6A077"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6.2.1.2.i. Ekonomisko noziegumu izmeklēšanas kapacitātes stiprināšana</w:t>
            </w:r>
          </w:p>
        </w:tc>
        <w:tc>
          <w:tcPr>
            <w:tcW w:w="270" w:type="pct"/>
            <w:shd w:val="clear" w:color="auto" w:fill="C6EFCE"/>
            <w:hideMark/>
          </w:tcPr>
          <w:p w14:paraId="7C66F6A1"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Mērķis</w:t>
            </w:r>
          </w:p>
        </w:tc>
        <w:tc>
          <w:tcPr>
            <w:tcW w:w="326" w:type="pct"/>
            <w:shd w:val="clear" w:color="auto" w:fill="C6EFCE"/>
            <w:hideMark/>
          </w:tcPr>
          <w:p w14:paraId="15107301"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 xml:space="preserve">Aprīkojums tiesībaizsardzības amatpersonām </w:t>
            </w:r>
          </w:p>
        </w:tc>
        <w:tc>
          <w:tcPr>
            <w:tcW w:w="336" w:type="pct"/>
            <w:shd w:val="clear" w:color="auto" w:fill="C6EFCE"/>
            <w:hideMark/>
          </w:tcPr>
          <w:p w14:paraId="3318B239"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Pirkuma pierādījums</w:t>
            </w:r>
          </w:p>
        </w:tc>
        <w:tc>
          <w:tcPr>
            <w:tcW w:w="298" w:type="pct"/>
            <w:shd w:val="clear" w:color="auto" w:fill="C6EFCE"/>
            <w:hideMark/>
          </w:tcPr>
          <w:p w14:paraId="557A0BC6"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Skaits</w:t>
            </w:r>
          </w:p>
        </w:tc>
        <w:tc>
          <w:tcPr>
            <w:tcW w:w="270" w:type="pct"/>
            <w:shd w:val="clear" w:color="auto" w:fill="C6EFCE"/>
            <w:hideMark/>
          </w:tcPr>
          <w:p w14:paraId="46228751"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0</w:t>
            </w:r>
          </w:p>
        </w:tc>
        <w:tc>
          <w:tcPr>
            <w:tcW w:w="203" w:type="pct"/>
            <w:shd w:val="clear" w:color="auto" w:fill="C6EFCE"/>
            <w:hideMark/>
          </w:tcPr>
          <w:p w14:paraId="35AE06D8"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237</w:t>
            </w:r>
          </w:p>
        </w:tc>
        <w:tc>
          <w:tcPr>
            <w:tcW w:w="136" w:type="pct"/>
            <w:shd w:val="clear" w:color="auto" w:fill="C6EFCE"/>
            <w:hideMark/>
          </w:tcPr>
          <w:p w14:paraId="70494CD4"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1. cet.</w:t>
            </w:r>
          </w:p>
        </w:tc>
        <w:tc>
          <w:tcPr>
            <w:tcW w:w="193" w:type="pct"/>
            <w:shd w:val="clear" w:color="auto" w:fill="C6EFCE"/>
            <w:hideMark/>
          </w:tcPr>
          <w:p w14:paraId="47156257"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2025</w:t>
            </w:r>
          </w:p>
        </w:tc>
        <w:tc>
          <w:tcPr>
            <w:tcW w:w="407" w:type="pct"/>
            <w:shd w:val="clear" w:color="auto" w:fill="C6EFCE"/>
          </w:tcPr>
          <w:p w14:paraId="1A6A913A"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 xml:space="preserve">Valsts policijas Ekonomisko noziegumu apkarošanas pārvalde, piecas Latvijas reģionu pārvaldes </w:t>
            </w:r>
          </w:p>
        </w:tc>
        <w:tc>
          <w:tcPr>
            <w:tcW w:w="370" w:type="pct"/>
            <w:shd w:val="clear" w:color="auto" w:fill="C6EFCE"/>
          </w:tcPr>
          <w:p w14:paraId="05522DF3"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3CB96884"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Kopsavilkuma dokuments, kurā pienācīgi pamatots, kā tika apmierinoši sasniegts mērķis (tostarp visi būtiskie elementi), kopā ar atbilstošām saitēm uz pamatojošajiem pierādījumiem.</w:t>
            </w:r>
          </w:p>
          <w:p w14:paraId="2FEB745C"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t>Šā dokumenta pielikumā iekļauj pirkumu sarakstu, katram pirkumam norādot:</w:t>
            </w:r>
          </w:p>
          <w:p w14:paraId="76DBB02E"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a) rēķina atsauces numuru un datumu;</w:t>
            </w:r>
          </w:p>
          <w:p w14:paraId="6502CED8"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b) iegādāto priekšmetu aprakstu;</w:t>
            </w:r>
          </w:p>
          <w:p w14:paraId="37C6114E"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c) pašvaldību, kas veikusi pirkumus.</w:t>
            </w:r>
          </w:p>
        </w:tc>
        <w:tc>
          <w:tcPr>
            <w:tcW w:w="760" w:type="pct"/>
            <w:shd w:val="clear" w:color="auto" w:fill="C6EFCE"/>
            <w:hideMark/>
          </w:tcPr>
          <w:p w14:paraId="4492B933"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Mērķī ietver šāda aprīkojuma iegādi:</w:t>
            </w:r>
          </w:p>
          <w:p w14:paraId="4BD7A787"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- 200 mobilās darbstacijas;</w:t>
            </w:r>
          </w:p>
          <w:p w14:paraId="2B42C341"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- 30 portatīvie printeri;</w:t>
            </w:r>
          </w:p>
          <w:p w14:paraId="3B496CF4"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- 4 lielapjoma serveri;</w:t>
            </w:r>
          </w:p>
          <w:p w14:paraId="0AE5AC67"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- 3 videokonferenču aprīkojuma vienības.</w:t>
            </w:r>
          </w:p>
        </w:tc>
      </w:tr>
      <w:tr w:rsidR="001A3E6F" w:rsidRPr="00A116F8" w14:paraId="31D5EE32" w14:textId="77777777" w:rsidTr="009E7D55">
        <w:trPr>
          <w:jc w:val="center"/>
        </w:trPr>
        <w:tc>
          <w:tcPr>
            <w:tcW w:w="163" w:type="pct"/>
            <w:shd w:val="clear" w:color="auto" w:fill="C6EFCE"/>
            <w:hideMark/>
          </w:tcPr>
          <w:p w14:paraId="148CBFD0"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192</w:t>
            </w:r>
          </w:p>
        </w:tc>
        <w:tc>
          <w:tcPr>
            <w:tcW w:w="314" w:type="pct"/>
            <w:shd w:val="clear" w:color="auto" w:fill="C6EFCE"/>
            <w:hideMark/>
          </w:tcPr>
          <w:p w14:paraId="76A7540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6.2.1.3.i. Vienota tiesnešu, tiesu darbinieku, prokuroru, prokuroru palīgu un specializēto izmeklētāju (starpdisciplināros jautājumos) kvalifikācijas pilnveides mācību centra izveide</w:t>
            </w:r>
          </w:p>
        </w:tc>
        <w:tc>
          <w:tcPr>
            <w:tcW w:w="270" w:type="pct"/>
            <w:shd w:val="clear" w:color="auto" w:fill="C6EFCE"/>
            <w:hideMark/>
          </w:tcPr>
          <w:p w14:paraId="0C4F2C4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Atskaites punkts</w:t>
            </w:r>
          </w:p>
        </w:tc>
        <w:tc>
          <w:tcPr>
            <w:tcW w:w="326" w:type="pct"/>
            <w:shd w:val="clear" w:color="auto" w:fill="C6EFCE"/>
            <w:hideMark/>
          </w:tcPr>
          <w:p w14:paraId="54620EA2"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Likuma un citu ar Tieslietu mācību centru saistīto tiesību aktu stāšanās spēkā</w:t>
            </w:r>
          </w:p>
        </w:tc>
        <w:tc>
          <w:tcPr>
            <w:tcW w:w="336" w:type="pct"/>
            <w:shd w:val="clear" w:color="auto" w:fill="C6EFCE"/>
            <w:hideMark/>
          </w:tcPr>
          <w:p w14:paraId="50D84633"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Mācību centra darbības tiesiskā regulējuma stāšanās spēkā; valsts budžeta likumā 2025. gadam ir nodrošināts valsts finansējums</w:t>
            </w:r>
          </w:p>
        </w:tc>
        <w:tc>
          <w:tcPr>
            <w:tcW w:w="298" w:type="pct"/>
            <w:shd w:val="clear" w:color="auto" w:fill="C6EFCE"/>
            <w:hideMark/>
          </w:tcPr>
          <w:p w14:paraId="1409FB3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70" w:type="pct"/>
            <w:shd w:val="clear" w:color="auto" w:fill="C6EFCE"/>
            <w:hideMark/>
          </w:tcPr>
          <w:p w14:paraId="5DF6CA36"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03" w:type="pct"/>
            <w:shd w:val="clear" w:color="auto" w:fill="C6EFCE"/>
            <w:hideMark/>
          </w:tcPr>
          <w:p w14:paraId="5FB86F07"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136" w:type="pct"/>
            <w:shd w:val="clear" w:color="auto" w:fill="C6EFCE"/>
            <w:hideMark/>
          </w:tcPr>
          <w:p w14:paraId="41885196"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1. cet.</w:t>
            </w:r>
          </w:p>
        </w:tc>
        <w:tc>
          <w:tcPr>
            <w:tcW w:w="193" w:type="pct"/>
            <w:shd w:val="clear" w:color="auto" w:fill="C6EFCE"/>
            <w:hideMark/>
          </w:tcPr>
          <w:p w14:paraId="25AEAC81"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2025</w:t>
            </w:r>
          </w:p>
        </w:tc>
        <w:tc>
          <w:tcPr>
            <w:tcW w:w="407" w:type="pct"/>
            <w:shd w:val="clear" w:color="auto" w:fill="C6EFCE"/>
          </w:tcPr>
          <w:p w14:paraId="391C8F81"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Tieslietu ministrija apkopo datus un ir atbildīga par ziņošanu.</w:t>
            </w:r>
          </w:p>
        </w:tc>
        <w:tc>
          <w:tcPr>
            <w:tcW w:w="370" w:type="pct"/>
            <w:shd w:val="clear" w:color="auto" w:fill="C6EFCE"/>
          </w:tcPr>
          <w:p w14:paraId="17BA1C03"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59D151E4"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t>Kopsavilkuma dokuments, kurā pienācīgi pamatots, kā tika apmierinoši sasniegts atskaites punkts (tostarp visi būtiskie elementi), kopā ar atbilstošām saitēm uz pamatojošajiem pierādījumiem.</w:t>
            </w:r>
          </w:p>
          <w:p w14:paraId="4E3F7783"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t>Šā dokumenta pielikumā iekļauj šādus dokumentārus pierādījumus:</w:t>
            </w:r>
          </w:p>
          <w:p w14:paraId="73D8B4B4"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t xml:space="preserve">a) Tieslietu mācību </w:t>
            </w:r>
            <w:r w:rsidRPr="00A116F8">
              <w:rPr>
                <w:rFonts w:ascii="Times New Roman" w:hAnsi="Times New Roman"/>
                <w:sz w:val="16"/>
                <w:szCs w:val="18"/>
              </w:rPr>
              <w:lastRenderedPageBreak/>
              <w:t>centra dibināšanas likuma kopiju un saiti uz to, tostarp atsauci uz noteikumu, kurā norādīta stāšanās spēkā;</w:t>
            </w:r>
          </w:p>
          <w:p w14:paraId="5B994E9B"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t>b) valsts budžeta likuma attiecīgo daļu kopiju un saiti uz tām, kā arī pievienotu dokumentu, kurā ir norāde uz tām daļām, kas attiecas uz atskaites punkta sasniegšanu, tostarp atsauci uz noteikumu, kurā norādīta stāšanās spēkā.</w:t>
            </w:r>
          </w:p>
        </w:tc>
        <w:tc>
          <w:tcPr>
            <w:tcW w:w="760" w:type="pct"/>
            <w:shd w:val="clear" w:color="auto" w:fill="C6EFCE"/>
          </w:tcPr>
          <w:p w14:paraId="23697BD5"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lastRenderedPageBreak/>
              <w:t>Spēkā stājies:</w:t>
            </w:r>
          </w:p>
          <w:p w14:paraId="20C066F5"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likums par Tieslietu mācību centra institucionālā modeļa izveidi un darbību, kurā cita starpā noteikta tiesu iestāžu un Tieslietu padomes iesaiste mācību satura un metodikas jautājumos;</w:t>
            </w:r>
          </w:p>
          <w:p w14:paraId="103A90E9"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xml:space="preserve">- ir nodrošināts valsts budžeta finansējums mācību centra uzturēšanas izmaksu, personāla izmaksu un mācību satura izmaksu segšanai pilnā apmērā, </w:t>
            </w:r>
            <w:r w:rsidRPr="00A116F8">
              <w:rPr>
                <w:rFonts w:ascii="Times New Roman" w:hAnsi="Times New Roman"/>
                <w:sz w:val="16"/>
                <w:szCs w:val="18"/>
              </w:rPr>
              <w:lastRenderedPageBreak/>
              <w:t>tostarp mācību programmas atjaunināšanai, sākot no 2025. gada.</w:t>
            </w:r>
          </w:p>
        </w:tc>
      </w:tr>
      <w:tr w:rsidR="001A3E6F" w:rsidRPr="00A116F8" w14:paraId="43DA2804" w14:textId="77777777" w:rsidTr="009E7D55">
        <w:trPr>
          <w:jc w:val="center"/>
        </w:trPr>
        <w:tc>
          <w:tcPr>
            <w:tcW w:w="163" w:type="pct"/>
            <w:shd w:val="clear" w:color="auto" w:fill="C6EFCE"/>
            <w:hideMark/>
          </w:tcPr>
          <w:p w14:paraId="771FCCCD"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lastRenderedPageBreak/>
              <w:t>193</w:t>
            </w:r>
          </w:p>
        </w:tc>
        <w:tc>
          <w:tcPr>
            <w:tcW w:w="314" w:type="pct"/>
            <w:shd w:val="clear" w:color="auto" w:fill="C6EFCE"/>
            <w:hideMark/>
          </w:tcPr>
          <w:p w14:paraId="1A00D01B"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6.2.1.3.i. Vienota tiesnešu, tiesu darbinieku, prokuroru, prokuroru palīgu un specializēto izmeklētāju (starpdisciplināros jautājumos) kvalifikācijas pilnveides mācību centra izveide</w:t>
            </w:r>
          </w:p>
        </w:tc>
        <w:tc>
          <w:tcPr>
            <w:tcW w:w="270" w:type="pct"/>
            <w:shd w:val="clear" w:color="auto" w:fill="C6EFCE"/>
            <w:hideMark/>
          </w:tcPr>
          <w:p w14:paraId="2C3C6A8F"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Mērķis</w:t>
            </w:r>
          </w:p>
        </w:tc>
        <w:tc>
          <w:tcPr>
            <w:tcW w:w="326" w:type="pct"/>
            <w:shd w:val="clear" w:color="auto" w:fill="C6EFCE"/>
            <w:hideMark/>
          </w:tcPr>
          <w:p w14:paraId="24D0C61E"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Jaunas mācību programmas izstrāde un apstiprināšana</w:t>
            </w:r>
          </w:p>
        </w:tc>
        <w:tc>
          <w:tcPr>
            <w:tcW w:w="336" w:type="pct"/>
            <w:shd w:val="clear" w:color="auto" w:fill="C6EFCE"/>
            <w:hideMark/>
          </w:tcPr>
          <w:p w14:paraId="784D4263"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98" w:type="pct"/>
            <w:shd w:val="clear" w:color="auto" w:fill="C6EFCE"/>
            <w:hideMark/>
          </w:tcPr>
          <w:p w14:paraId="46F8D9D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Skaits</w:t>
            </w:r>
          </w:p>
        </w:tc>
        <w:tc>
          <w:tcPr>
            <w:tcW w:w="270" w:type="pct"/>
            <w:shd w:val="clear" w:color="auto" w:fill="C6EFCE"/>
            <w:hideMark/>
          </w:tcPr>
          <w:p w14:paraId="53C9A29C"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0</w:t>
            </w:r>
          </w:p>
        </w:tc>
        <w:tc>
          <w:tcPr>
            <w:tcW w:w="203" w:type="pct"/>
            <w:shd w:val="clear" w:color="auto" w:fill="C6EFCE"/>
            <w:hideMark/>
          </w:tcPr>
          <w:p w14:paraId="79701987"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10</w:t>
            </w:r>
          </w:p>
        </w:tc>
        <w:tc>
          <w:tcPr>
            <w:tcW w:w="136" w:type="pct"/>
            <w:shd w:val="clear" w:color="auto" w:fill="C6EFCE"/>
            <w:hideMark/>
          </w:tcPr>
          <w:p w14:paraId="5C904E98"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4. cet.</w:t>
            </w:r>
          </w:p>
        </w:tc>
        <w:tc>
          <w:tcPr>
            <w:tcW w:w="193" w:type="pct"/>
            <w:shd w:val="clear" w:color="auto" w:fill="C6EFCE"/>
            <w:hideMark/>
          </w:tcPr>
          <w:p w14:paraId="2724157B"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2024</w:t>
            </w:r>
          </w:p>
        </w:tc>
        <w:tc>
          <w:tcPr>
            <w:tcW w:w="407" w:type="pct"/>
            <w:shd w:val="clear" w:color="auto" w:fill="C6EFCE"/>
          </w:tcPr>
          <w:p w14:paraId="2E58D79E"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Tieslietu ministrija apkopo datus un ir atbildīga par ziņošanu.</w:t>
            </w:r>
          </w:p>
        </w:tc>
        <w:tc>
          <w:tcPr>
            <w:tcW w:w="370" w:type="pct"/>
            <w:shd w:val="clear" w:color="auto" w:fill="C6EFCE"/>
          </w:tcPr>
          <w:p w14:paraId="21548A43"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4348F937"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Kopsavilkuma dokuments, kurā pienācīgi pamatots, kā tika apmierinoši sasniegts mērķis (tostarp visi būtiskie elementi), kopā ar atbilstošām saitēm uz pamatojošajiem pierādījumiem.</w:t>
            </w:r>
          </w:p>
          <w:p w14:paraId="618D9AC1"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Šā dokumenta pielikumā iekļauj šādus dokumentārus pierādījumus:</w:t>
            </w:r>
          </w:p>
          <w:p w14:paraId="1076CDE9"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t xml:space="preserve">a) kopijas desmit jaunu mācību programmu aprakstiem, kas paredzēti tiesnešu, </w:t>
            </w:r>
            <w:r w:rsidRPr="00A116F8">
              <w:rPr>
                <w:rFonts w:ascii="Times New Roman" w:hAnsi="Times New Roman"/>
                <w:sz w:val="16"/>
                <w:szCs w:val="18"/>
              </w:rPr>
              <w:lastRenderedPageBreak/>
              <w:t>tiesu darbinieku, prokuroru un prokuroru palīgu mācībām un īpašām starpdisciplinārām mācībām izmeklētājiem;</w:t>
            </w:r>
          </w:p>
          <w:p w14:paraId="38C6176C"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b) projekta “Tieslietu akadēmija” uzraudzības padomes protokola ar mācību programmas apstiprinošo lēmumu kopija.</w:t>
            </w:r>
          </w:p>
        </w:tc>
        <w:tc>
          <w:tcPr>
            <w:tcW w:w="760" w:type="pct"/>
            <w:shd w:val="clear" w:color="auto" w:fill="C6EFCE"/>
            <w:hideMark/>
          </w:tcPr>
          <w:p w14:paraId="227D516B" w14:textId="77777777" w:rsidR="001A3E6F" w:rsidRPr="00A116F8" w:rsidRDefault="001A3E6F" w:rsidP="00A116F8">
            <w:pPr>
              <w:widowControl w:val="0"/>
              <w:spacing w:after="0" w:line="240" w:lineRule="auto"/>
              <w:ind w:left="57" w:right="57"/>
              <w:rPr>
                <w:rFonts w:ascii="Times New Roman" w:hAnsi="Times New Roman" w:cs="Times New Roman"/>
                <w:noProof/>
                <w:sz w:val="16"/>
                <w:szCs w:val="18"/>
              </w:rPr>
            </w:pPr>
            <w:r w:rsidRPr="00A116F8">
              <w:rPr>
                <w:rFonts w:ascii="Times New Roman" w:hAnsi="Times New Roman"/>
                <w:sz w:val="16"/>
                <w:szCs w:val="18"/>
              </w:rPr>
              <w:lastRenderedPageBreak/>
              <w:t>Izstrādātas un apstiprinātas desmit jaunas mācību programmas tiesnešiem, tiesu darbiniekiem, prokuroriem un prokuroru palīgiem, īpašas starpdisciplināras mācības izmeklētājiem cita starpā par tādiem jautājumiem kā kibernoziedzība, krāpšana un izvairīšanās no nodokļu maksāšanas, korupcija publiskajos iepirkumos un nelikumīgi iegūtu līdzekļu legalizācija.</w:t>
            </w:r>
          </w:p>
          <w:p w14:paraId="3CA93EC7"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xml:space="preserve">Programmas ir </w:t>
            </w:r>
            <w:r w:rsidRPr="00A116F8">
              <w:rPr>
                <w:rFonts w:ascii="Times New Roman" w:hAnsi="Times New Roman"/>
                <w:sz w:val="16"/>
                <w:szCs w:val="18"/>
              </w:rPr>
              <w:lastRenderedPageBreak/>
              <w:t>apstiprinājusi projekta “Tieslietu akadēmija” uzraudzības padome, kurā ir pārstāvēta arī Tieslietu padome.</w:t>
            </w:r>
          </w:p>
        </w:tc>
      </w:tr>
      <w:tr w:rsidR="001A3E6F" w:rsidRPr="00A116F8" w14:paraId="784F7813" w14:textId="77777777" w:rsidTr="009E7D55">
        <w:trPr>
          <w:jc w:val="center"/>
        </w:trPr>
        <w:tc>
          <w:tcPr>
            <w:tcW w:w="163" w:type="pct"/>
            <w:shd w:val="clear" w:color="auto" w:fill="C6EFCE"/>
            <w:hideMark/>
          </w:tcPr>
          <w:p w14:paraId="233E057C"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lastRenderedPageBreak/>
              <w:t>194</w:t>
            </w:r>
          </w:p>
        </w:tc>
        <w:tc>
          <w:tcPr>
            <w:tcW w:w="314" w:type="pct"/>
            <w:shd w:val="clear" w:color="auto" w:fill="C6EFCE"/>
            <w:hideMark/>
          </w:tcPr>
          <w:p w14:paraId="1D652C5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6.2.1.3.i. Vienota tiesnešu, tiesu darbinieku, prokuroru, prokuroru palīgu un specializēto izmeklētāju (starpdisciplināros jautājumos) kvalifikācijas pilnveides mācību centra izveide</w:t>
            </w:r>
          </w:p>
        </w:tc>
        <w:tc>
          <w:tcPr>
            <w:tcW w:w="270" w:type="pct"/>
            <w:shd w:val="clear" w:color="auto" w:fill="C6EFCE"/>
            <w:hideMark/>
          </w:tcPr>
          <w:p w14:paraId="4D627AE4"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Mērķis</w:t>
            </w:r>
          </w:p>
        </w:tc>
        <w:tc>
          <w:tcPr>
            <w:tcW w:w="326" w:type="pct"/>
            <w:shd w:val="clear" w:color="auto" w:fill="C6EFCE"/>
            <w:hideMark/>
          </w:tcPr>
          <w:p w14:paraId="561157A4" w14:textId="77777777" w:rsidR="001A3E6F" w:rsidRPr="00A116F8" w:rsidRDefault="001A3E6F" w:rsidP="00A116F8">
            <w:pPr>
              <w:widowControl w:val="0"/>
              <w:spacing w:after="0" w:line="240" w:lineRule="auto"/>
              <w:ind w:left="57" w:right="57"/>
              <w:jc w:val="both"/>
              <w:rPr>
                <w:rFonts w:ascii="Times New Roman" w:hAnsi="Times New Roman" w:cs="Times New Roman"/>
                <w:noProof/>
                <w:sz w:val="16"/>
                <w:szCs w:val="18"/>
              </w:rPr>
            </w:pPr>
            <w:r w:rsidRPr="00A116F8">
              <w:rPr>
                <w:rFonts w:ascii="Times New Roman" w:hAnsi="Times New Roman"/>
                <w:sz w:val="16"/>
                <w:szCs w:val="18"/>
              </w:rPr>
              <w:t>Mācību programmu īstenošana</w:t>
            </w:r>
          </w:p>
        </w:tc>
        <w:tc>
          <w:tcPr>
            <w:tcW w:w="336" w:type="pct"/>
            <w:shd w:val="clear" w:color="auto" w:fill="C6EFCE"/>
            <w:hideMark/>
          </w:tcPr>
          <w:p w14:paraId="725C0E1C"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98" w:type="pct"/>
            <w:shd w:val="clear" w:color="auto" w:fill="C6EFCE"/>
            <w:hideMark/>
          </w:tcPr>
          <w:p w14:paraId="509638B7"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Skaits</w:t>
            </w:r>
          </w:p>
        </w:tc>
        <w:tc>
          <w:tcPr>
            <w:tcW w:w="270" w:type="pct"/>
            <w:shd w:val="clear" w:color="auto" w:fill="C6EFCE"/>
            <w:hideMark/>
          </w:tcPr>
          <w:p w14:paraId="2E0A97BA"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0</w:t>
            </w:r>
          </w:p>
        </w:tc>
        <w:tc>
          <w:tcPr>
            <w:tcW w:w="203" w:type="pct"/>
            <w:shd w:val="clear" w:color="auto" w:fill="C6EFCE"/>
            <w:hideMark/>
          </w:tcPr>
          <w:p w14:paraId="676B8CD7"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10</w:t>
            </w:r>
          </w:p>
        </w:tc>
        <w:tc>
          <w:tcPr>
            <w:tcW w:w="136" w:type="pct"/>
            <w:shd w:val="clear" w:color="auto" w:fill="C6EFCE"/>
            <w:hideMark/>
          </w:tcPr>
          <w:p w14:paraId="2406FEE1"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 cet.</w:t>
            </w:r>
          </w:p>
        </w:tc>
        <w:tc>
          <w:tcPr>
            <w:tcW w:w="193" w:type="pct"/>
            <w:shd w:val="clear" w:color="auto" w:fill="C6EFCE"/>
            <w:hideMark/>
          </w:tcPr>
          <w:p w14:paraId="3B6CD15C"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2026</w:t>
            </w:r>
          </w:p>
        </w:tc>
        <w:tc>
          <w:tcPr>
            <w:tcW w:w="407" w:type="pct"/>
            <w:shd w:val="clear" w:color="auto" w:fill="C6EFCE"/>
          </w:tcPr>
          <w:p w14:paraId="58A8852C"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Tieslietu ministrija apkopo datus un ir atbildīga par ziņošanu.</w:t>
            </w:r>
          </w:p>
        </w:tc>
        <w:tc>
          <w:tcPr>
            <w:tcW w:w="370" w:type="pct"/>
            <w:shd w:val="clear" w:color="auto" w:fill="C6EFCE"/>
          </w:tcPr>
          <w:p w14:paraId="5409BF27"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14F710AA"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Kopsavilkuma dokuments, kurā pienācīgi pamatots, kā tika apmierinoši sasniegts mērķis (tostarp visi būtiskie elementi), kopā ar atbilstošām saitēm uz pamatojošajiem pierādījumiem.</w:t>
            </w:r>
          </w:p>
          <w:p w14:paraId="654706E6"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Šā dokumenta pielikumā iekļauj šādus dokumentārus pierādījumus:</w:t>
            </w:r>
          </w:p>
          <w:p w14:paraId="70E087C8"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a) mācību programmas apraksta kopiju b) organizēto mācību pasākumu sarakstu.</w:t>
            </w:r>
          </w:p>
        </w:tc>
        <w:tc>
          <w:tcPr>
            <w:tcW w:w="760" w:type="pct"/>
            <w:shd w:val="clear" w:color="auto" w:fill="C6EFCE"/>
            <w:hideMark/>
          </w:tcPr>
          <w:p w14:paraId="70C608E0"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Ieviestas mācību programmas (uz vietas, attālināti un e-mācības) tiesnešiem, tiesu darbiniekiem, prokuroriem un prokuroru palīgiem, īpašas starpdisciplināras mācības izmeklētājiem cita starpā par tādiem jautājumiem kā kibernoziedzība, krāpšana un izvairīšanās no nodokļu maksāšanas, korupcija publiskajos iepirkumos un nelikumīgi iegūtu līdzekļu legalizācija.</w:t>
            </w:r>
          </w:p>
        </w:tc>
      </w:tr>
      <w:tr w:rsidR="001A3E6F" w:rsidRPr="00A116F8" w14:paraId="1BAE295B" w14:textId="77777777" w:rsidTr="009E7D55">
        <w:trPr>
          <w:jc w:val="center"/>
        </w:trPr>
        <w:tc>
          <w:tcPr>
            <w:tcW w:w="163" w:type="pct"/>
            <w:shd w:val="clear" w:color="auto" w:fill="C6EFCE"/>
            <w:hideMark/>
          </w:tcPr>
          <w:p w14:paraId="1BBE771A"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195</w:t>
            </w:r>
          </w:p>
        </w:tc>
        <w:tc>
          <w:tcPr>
            <w:tcW w:w="314" w:type="pct"/>
            <w:shd w:val="clear" w:color="auto" w:fill="C6EFCE"/>
            <w:hideMark/>
          </w:tcPr>
          <w:p w14:paraId="74EBE03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 xml:space="preserve">6.2.1.3.i. Vienota tiesnešu, tiesu </w:t>
            </w:r>
            <w:r w:rsidRPr="00A116F8">
              <w:rPr>
                <w:rFonts w:ascii="Times New Roman" w:hAnsi="Times New Roman"/>
                <w:b/>
                <w:sz w:val="16"/>
                <w:szCs w:val="18"/>
              </w:rPr>
              <w:lastRenderedPageBreak/>
              <w:t>darbinieku, prokuroru, prokuroru palīgu un specializēto izmeklētāju (starpdisciplināros jautājumos) kvalifikācijas pilnveides mācību centra izveide</w:t>
            </w:r>
          </w:p>
        </w:tc>
        <w:tc>
          <w:tcPr>
            <w:tcW w:w="270" w:type="pct"/>
            <w:shd w:val="clear" w:color="auto" w:fill="C6EFCE"/>
            <w:hideMark/>
          </w:tcPr>
          <w:p w14:paraId="18054133"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lastRenderedPageBreak/>
              <w:t>Atskaites punkts</w:t>
            </w:r>
          </w:p>
        </w:tc>
        <w:tc>
          <w:tcPr>
            <w:tcW w:w="326" w:type="pct"/>
            <w:shd w:val="clear" w:color="auto" w:fill="C6EFCE"/>
            <w:hideMark/>
          </w:tcPr>
          <w:p w14:paraId="1CA30364"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Mācību centra izveide</w:t>
            </w:r>
          </w:p>
        </w:tc>
        <w:tc>
          <w:tcPr>
            <w:tcW w:w="336" w:type="pct"/>
            <w:shd w:val="clear" w:color="auto" w:fill="C6EFCE"/>
            <w:hideMark/>
          </w:tcPr>
          <w:p w14:paraId="34C5E03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 xml:space="preserve">Pabeigta mācību centra </w:t>
            </w:r>
            <w:r w:rsidRPr="00A116F8">
              <w:rPr>
                <w:rFonts w:ascii="Times New Roman" w:hAnsi="Times New Roman"/>
                <w:sz w:val="16"/>
                <w:szCs w:val="18"/>
              </w:rPr>
              <w:lastRenderedPageBreak/>
              <w:t>telpu pielāgošana (atjaunošana vai pārbūve) un aprīkojuma nodrošināšana</w:t>
            </w:r>
          </w:p>
        </w:tc>
        <w:tc>
          <w:tcPr>
            <w:tcW w:w="298" w:type="pct"/>
            <w:shd w:val="clear" w:color="auto" w:fill="C6EFCE"/>
            <w:hideMark/>
          </w:tcPr>
          <w:p w14:paraId="263712AB"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70" w:type="pct"/>
            <w:shd w:val="clear" w:color="auto" w:fill="C6EFCE"/>
            <w:hideMark/>
          </w:tcPr>
          <w:p w14:paraId="29D3F38D"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03" w:type="pct"/>
            <w:shd w:val="clear" w:color="auto" w:fill="C6EFCE"/>
            <w:hideMark/>
          </w:tcPr>
          <w:p w14:paraId="4333425D"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136" w:type="pct"/>
            <w:shd w:val="clear" w:color="auto" w:fill="C6EFCE"/>
            <w:hideMark/>
          </w:tcPr>
          <w:p w14:paraId="2085B0F8"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4. cet.</w:t>
            </w:r>
          </w:p>
        </w:tc>
        <w:tc>
          <w:tcPr>
            <w:tcW w:w="193" w:type="pct"/>
            <w:shd w:val="clear" w:color="auto" w:fill="C6EFCE"/>
            <w:hideMark/>
          </w:tcPr>
          <w:p w14:paraId="43E2E300"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2024</w:t>
            </w:r>
          </w:p>
        </w:tc>
        <w:tc>
          <w:tcPr>
            <w:tcW w:w="407" w:type="pct"/>
            <w:shd w:val="clear" w:color="auto" w:fill="C6EFCE"/>
          </w:tcPr>
          <w:p w14:paraId="722B46B9"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 xml:space="preserve">Tieslietu ministrija </w:t>
            </w:r>
            <w:r w:rsidRPr="00A116F8">
              <w:rPr>
                <w:rFonts w:ascii="Times New Roman" w:hAnsi="Times New Roman"/>
                <w:sz w:val="16"/>
                <w:szCs w:val="18"/>
              </w:rPr>
              <w:lastRenderedPageBreak/>
              <w:t>apkopo datus un ir atbildīga par ziņošanu.</w:t>
            </w:r>
          </w:p>
        </w:tc>
        <w:tc>
          <w:tcPr>
            <w:tcW w:w="370" w:type="pct"/>
            <w:shd w:val="clear" w:color="auto" w:fill="C6EFCE"/>
          </w:tcPr>
          <w:p w14:paraId="01450B3E"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50CCE984"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 xml:space="preserve">Kopsavilkuma dokuments, kurā </w:t>
            </w:r>
            <w:r w:rsidRPr="00A116F8">
              <w:rPr>
                <w:rFonts w:ascii="Times New Roman" w:hAnsi="Times New Roman"/>
                <w:sz w:val="16"/>
                <w:szCs w:val="18"/>
              </w:rPr>
              <w:lastRenderedPageBreak/>
              <w:t>pienācīgi pamatots, kā tika apmierinoši sasniegts atskaites punkts (tostarp visi būtiskie elementi), kopā ar atbilstošām saitēm uz pamatojošajiem pierādījumiem.</w:t>
            </w:r>
          </w:p>
          <w:p w14:paraId="60275C4C"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Šā dokumenta pielikumā iekļauj šādus dokumentārus pierādījumus:</w:t>
            </w:r>
          </w:p>
          <w:p w14:paraId="610CB1C4"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a) kopiju apliecinājumam par pabeigšanu, kas izsniegts saskaņā ar valsts tiesību aktiem un apliecina telpu pielāgošanas (atjaunošanas vai pārbūves) pabeigšanu;</w:t>
            </w:r>
          </w:p>
          <w:p w14:paraId="3F0C8418"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b) ja aprīkojums iegādāts atsevišķi, aprīkojuma pirkumu sarakstu, tostarp iegādātos priekšmetus un pirkšanas datumus.</w:t>
            </w:r>
          </w:p>
        </w:tc>
        <w:tc>
          <w:tcPr>
            <w:tcW w:w="760" w:type="pct"/>
            <w:shd w:val="clear" w:color="auto" w:fill="C6EFCE"/>
            <w:hideMark/>
          </w:tcPr>
          <w:p w14:paraId="5E346907"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lastRenderedPageBreak/>
              <w:t xml:space="preserve">Pabeigta nepieciešamā telpu pielāgošana </w:t>
            </w:r>
            <w:r w:rsidRPr="00A116F8">
              <w:rPr>
                <w:rFonts w:ascii="Times New Roman" w:hAnsi="Times New Roman"/>
                <w:sz w:val="16"/>
                <w:szCs w:val="18"/>
              </w:rPr>
              <w:lastRenderedPageBreak/>
              <w:t>(atjaunošana vai pārbūve) mācību centra vajadzībām. Nepieciešamā aprīkojuma iegāde un izstrāde mācību centra telpās. Mācību centra telpas ir atjaunotas un aprīkotas.</w:t>
            </w:r>
          </w:p>
        </w:tc>
      </w:tr>
      <w:tr w:rsidR="001A3E6F" w:rsidRPr="00A116F8" w14:paraId="1A1B5B93" w14:textId="77777777" w:rsidTr="009E7D55">
        <w:trPr>
          <w:jc w:val="center"/>
        </w:trPr>
        <w:tc>
          <w:tcPr>
            <w:tcW w:w="163" w:type="pct"/>
            <w:shd w:val="clear" w:color="auto" w:fill="C6EFCE"/>
            <w:hideMark/>
          </w:tcPr>
          <w:p w14:paraId="03754C8C"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lastRenderedPageBreak/>
              <w:t>196</w:t>
            </w:r>
          </w:p>
        </w:tc>
        <w:tc>
          <w:tcPr>
            <w:tcW w:w="314" w:type="pct"/>
            <w:shd w:val="clear" w:color="auto" w:fill="C6EFCE"/>
            <w:hideMark/>
          </w:tcPr>
          <w:p w14:paraId="46064B16"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6.3.1.r. Valsts pārvaldes modernizācija</w:t>
            </w:r>
          </w:p>
        </w:tc>
        <w:tc>
          <w:tcPr>
            <w:tcW w:w="270" w:type="pct"/>
            <w:shd w:val="clear" w:color="auto" w:fill="C6EFCE"/>
            <w:hideMark/>
          </w:tcPr>
          <w:p w14:paraId="7A7B559E"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Atskaites punkts</w:t>
            </w:r>
          </w:p>
        </w:tc>
        <w:tc>
          <w:tcPr>
            <w:tcW w:w="326" w:type="pct"/>
            <w:shd w:val="clear" w:color="auto" w:fill="C6EFCE"/>
            <w:hideMark/>
          </w:tcPr>
          <w:p w14:paraId="68908B4D"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Apstiprināts valsts pārvaldes modernizācijas plāns</w:t>
            </w:r>
          </w:p>
        </w:tc>
        <w:tc>
          <w:tcPr>
            <w:tcW w:w="336" w:type="pct"/>
            <w:shd w:val="clear" w:color="auto" w:fill="C6EFCE"/>
            <w:hideMark/>
          </w:tcPr>
          <w:p w14:paraId="0C3D0163"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Apstiprināts valsts pārvaldes modernizācijas plāns</w:t>
            </w:r>
          </w:p>
        </w:tc>
        <w:tc>
          <w:tcPr>
            <w:tcW w:w="298" w:type="pct"/>
            <w:shd w:val="clear" w:color="auto" w:fill="C6EFCE"/>
            <w:hideMark/>
          </w:tcPr>
          <w:p w14:paraId="1B6AE279"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70" w:type="pct"/>
            <w:shd w:val="clear" w:color="auto" w:fill="C6EFCE"/>
            <w:hideMark/>
          </w:tcPr>
          <w:p w14:paraId="6E7EF593"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03" w:type="pct"/>
            <w:shd w:val="clear" w:color="auto" w:fill="C6EFCE"/>
            <w:hideMark/>
          </w:tcPr>
          <w:p w14:paraId="179FFC6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136" w:type="pct"/>
            <w:shd w:val="clear" w:color="auto" w:fill="C6EFCE"/>
            <w:hideMark/>
          </w:tcPr>
          <w:p w14:paraId="6FA2690F"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4. cet.</w:t>
            </w:r>
          </w:p>
        </w:tc>
        <w:tc>
          <w:tcPr>
            <w:tcW w:w="193" w:type="pct"/>
            <w:shd w:val="clear" w:color="auto" w:fill="C6EFCE"/>
            <w:hideMark/>
          </w:tcPr>
          <w:p w14:paraId="44A5516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2022</w:t>
            </w:r>
          </w:p>
        </w:tc>
        <w:tc>
          <w:tcPr>
            <w:tcW w:w="407" w:type="pct"/>
            <w:shd w:val="clear" w:color="auto" w:fill="C6EFCE"/>
          </w:tcPr>
          <w:p w14:paraId="15306DBB"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 xml:space="preserve">Valsts kanceleja </w:t>
            </w:r>
          </w:p>
        </w:tc>
        <w:tc>
          <w:tcPr>
            <w:tcW w:w="370" w:type="pct"/>
            <w:shd w:val="clear" w:color="auto" w:fill="C6EFCE"/>
          </w:tcPr>
          <w:p w14:paraId="7DEE50D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3A9FFA88"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 xml:space="preserve">Kopsavilkuma dokuments, kurā pienācīgi pamatots, kā tika apmierinoši sasniegts atskaites punkts (tostarp visi būtiskie elementi), kopā ar atbilstošām saitēm </w:t>
            </w:r>
            <w:r w:rsidRPr="00A116F8">
              <w:rPr>
                <w:rFonts w:ascii="Times New Roman" w:hAnsi="Times New Roman"/>
                <w:sz w:val="16"/>
                <w:szCs w:val="18"/>
              </w:rPr>
              <w:lastRenderedPageBreak/>
              <w:t>uz pamatojošajiem pierādījumiem.</w:t>
            </w:r>
          </w:p>
          <w:p w14:paraId="265B16B0"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Šā dokumenta pielikumā iekļauj šādus dokumentārus pierādījumus:</w:t>
            </w:r>
          </w:p>
          <w:p w14:paraId="0F822B44"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a) apstiprinātā valsts pārvaldes modernizācijas plāna kopiju;</w:t>
            </w:r>
          </w:p>
          <w:p w14:paraId="0FC29491"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b) tā lēmuma kopiju, ar kuru Ministru kabinets apstiprinājis valsts pārvaldes modernizācijas plānu.</w:t>
            </w:r>
          </w:p>
        </w:tc>
        <w:tc>
          <w:tcPr>
            <w:tcW w:w="760" w:type="pct"/>
            <w:shd w:val="clear" w:color="auto" w:fill="C6EFCE"/>
            <w:hideMark/>
          </w:tcPr>
          <w:p w14:paraId="36CA2F61"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lastRenderedPageBreak/>
              <w:t>Ministru kabinets apstiprina valsts pārvaldes modernizācijas plānu. Plāns aptver šādas prioritārās jomas un ietver īstenošanas termiņus:</w:t>
            </w:r>
          </w:p>
          <w:p w14:paraId="058878A1"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xml:space="preserve">a) atvērtu, pārredzamu, taisnīgu un atbildīgu </w:t>
            </w:r>
            <w:r w:rsidRPr="00A116F8">
              <w:rPr>
                <w:rFonts w:ascii="Times New Roman" w:hAnsi="Times New Roman"/>
                <w:sz w:val="16"/>
                <w:szCs w:val="18"/>
              </w:rPr>
              <w:lastRenderedPageBreak/>
              <w:t>valsts pārvaldi – integritātes principi tiek pārskatīti un uzlaboti, nosakot un ieviešot atbildību pret katru valsts pārvaldi iestādi, kā arī ievērojot ētikas principus un vērtības valsts pārvaldes darbā;</w:t>
            </w:r>
          </w:p>
          <w:p w14:paraId="5F886A8A"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b) vienotus, centralizētus un standartizētus atbalsta procesus un sistēmas – centralizētas resursu pārvaldības sistēmas ieviešanu valsts pārvaldes iestādēs, tostarp grāmatvedības un cilvēkresursu pārvaldību;</w:t>
            </w:r>
          </w:p>
          <w:p w14:paraId="0F6C16DD"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c) stratēģisku cilvēkresursu pārvaldību un attīstību, tostarp atlasi, karjeras vadību, vērtēšanu, mācīšanos un attīstību;</w:t>
            </w:r>
          </w:p>
          <w:p w14:paraId="40B5D0E3"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d) pieejamus, saprotamus un saistītus pakalpojumus – digitālās nosūtīšanas pamatnostādņu izstrādi un digitalizācijas pakalpojumu attīstību, vienlaikus nodrošinot to piekļūstamību, pieejamību un saprotamību visiem iedzīvotājiem, tostarp tiem, kuri neizmanto digitālos rīkus.</w:t>
            </w:r>
          </w:p>
        </w:tc>
      </w:tr>
      <w:tr w:rsidR="001A3E6F" w:rsidRPr="00A116F8" w14:paraId="67FEEEE7" w14:textId="77777777" w:rsidTr="009E7D55">
        <w:trPr>
          <w:jc w:val="center"/>
        </w:trPr>
        <w:tc>
          <w:tcPr>
            <w:tcW w:w="163" w:type="pct"/>
            <w:shd w:val="clear" w:color="auto" w:fill="C6EFCE"/>
            <w:hideMark/>
          </w:tcPr>
          <w:p w14:paraId="2694D857"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lastRenderedPageBreak/>
              <w:t>197</w:t>
            </w:r>
          </w:p>
        </w:tc>
        <w:tc>
          <w:tcPr>
            <w:tcW w:w="314" w:type="pct"/>
            <w:shd w:val="clear" w:color="auto" w:fill="C6EFCE"/>
            <w:hideMark/>
          </w:tcPr>
          <w:p w14:paraId="373C5573"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 xml:space="preserve">6.3.1.r. Valsts pārvaldes </w:t>
            </w:r>
            <w:r w:rsidRPr="00A116F8">
              <w:rPr>
                <w:rFonts w:ascii="Times New Roman" w:hAnsi="Times New Roman"/>
                <w:b/>
                <w:sz w:val="16"/>
                <w:szCs w:val="18"/>
              </w:rPr>
              <w:lastRenderedPageBreak/>
              <w:t>modernizācija</w:t>
            </w:r>
          </w:p>
        </w:tc>
        <w:tc>
          <w:tcPr>
            <w:tcW w:w="270" w:type="pct"/>
            <w:shd w:val="clear" w:color="auto" w:fill="C6EFCE"/>
            <w:hideMark/>
          </w:tcPr>
          <w:p w14:paraId="20A7006F"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lastRenderedPageBreak/>
              <w:t>Atskaites punkts</w:t>
            </w:r>
          </w:p>
        </w:tc>
        <w:tc>
          <w:tcPr>
            <w:tcW w:w="326" w:type="pct"/>
            <w:shd w:val="clear" w:color="auto" w:fill="C6EFCE"/>
            <w:hideMark/>
          </w:tcPr>
          <w:p w14:paraId="41C86C21"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 xml:space="preserve">Apstiprināts progresa pārskats </w:t>
            </w:r>
            <w:r w:rsidRPr="00A116F8">
              <w:rPr>
                <w:rFonts w:ascii="Times New Roman" w:hAnsi="Times New Roman"/>
                <w:sz w:val="16"/>
                <w:szCs w:val="18"/>
              </w:rPr>
              <w:lastRenderedPageBreak/>
              <w:t>par valsts pārvaldes modernizācijas plāna īstenošanu</w:t>
            </w:r>
          </w:p>
        </w:tc>
        <w:tc>
          <w:tcPr>
            <w:tcW w:w="336" w:type="pct"/>
            <w:shd w:val="clear" w:color="auto" w:fill="C6EFCE"/>
            <w:hideMark/>
          </w:tcPr>
          <w:p w14:paraId="40E9049B"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lastRenderedPageBreak/>
              <w:t xml:space="preserve">Apstiprināts progresa </w:t>
            </w:r>
            <w:r w:rsidRPr="00A116F8">
              <w:rPr>
                <w:rFonts w:ascii="Times New Roman" w:hAnsi="Times New Roman"/>
                <w:sz w:val="16"/>
                <w:szCs w:val="18"/>
              </w:rPr>
              <w:lastRenderedPageBreak/>
              <w:t>pārskats par valsts pārvaldes modernizācijas plāna īstenošanu</w:t>
            </w:r>
          </w:p>
        </w:tc>
        <w:tc>
          <w:tcPr>
            <w:tcW w:w="298" w:type="pct"/>
            <w:shd w:val="clear" w:color="auto" w:fill="C6EFCE"/>
            <w:hideMark/>
          </w:tcPr>
          <w:p w14:paraId="46628740"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70" w:type="pct"/>
            <w:shd w:val="clear" w:color="auto" w:fill="C6EFCE"/>
            <w:hideMark/>
          </w:tcPr>
          <w:p w14:paraId="4CEB6D07"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03" w:type="pct"/>
            <w:shd w:val="clear" w:color="auto" w:fill="C6EFCE"/>
            <w:hideMark/>
          </w:tcPr>
          <w:p w14:paraId="7EC28A0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136" w:type="pct"/>
            <w:shd w:val="clear" w:color="auto" w:fill="C6EFCE"/>
            <w:hideMark/>
          </w:tcPr>
          <w:p w14:paraId="0835D1EA"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4. cet.</w:t>
            </w:r>
          </w:p>
        </w:tc>
        <w:tc>
          <w:tcPr>
            <w:tcW w:w="193" w:type="pct"/>
            <w:shd w:val="clear" w:color="auto" w:fill="C6EFCE"/>
            <w:hideMark/>
          </w:tcPr>
          <w:p w14:paraId="13C2A74C"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2025</w:t>
            </w:r>
          </w:p>
        </w:tc>
        <w:tc>
          <w:tcPr>
            <w:tcW w:w="407" w:type="pct"/>
            <w:shd w:val="clear" w:color="auto" w:fill="C6EFCE"/>
          </w:tcPr>
          <w:p w14:paraId="2D98C54F"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 xml:space="preserve">Valsts kanceleja </w:t>
            </w:r>
          </w:p>
        </w:tc>
        <w:tc>
          <w:tcPr>
            <w:tcW w:w="370" w:type="pct"/>
            <w:shd w:val="clear" w:color="auto" w:fill="C6EFCE"/>
          </w:tcPr>
          <w:p w14:paraId="58D6321A"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2C4CF773"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 xml:space="preserve">Kopsavilkuma dokuments, kurā </w:t>
            </w:r>
            <w:r w:rsidRPr="00A116F8">
              <w:rPr>
                <w:rFonts w:ascii="Times New Roman" w:hAnsi="Times New Roman"/>
                <w:sz w:val="16"/>
                <w:szCs w:val="18"/>
              </w:rPr>
              <w:lastRenderedPageBreak/>
              <w:t>pienācīgi pamatots, kā tika apmierinoši sasniegts atskaites punkts (tostarp visi būtiskie elementi), kopā ar atbilstošām saitēm uz pamatojošajiem pierādījumiem.</w:t>
            </w:r>
          </w:p>
          <w:p w14:paraId="1FBDAEC0"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Šā dokumenta pielikumā iekļauj šādus dokumentārus pierādījumus:</w:t>
            </w:r>
          </w:p>
          <w:p w14:paraId="4AE5C986"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a) progresa ziņojumu par valsts pārvaldes modernizācijas plāna īstenošanu;</w:t>
            </w:r>
          </w:p>
          <w:p w14:paraId="6C710859"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t>b) tā Ministru kabineta lēmuma kopiju, ar kuru apstiprināts progresa ziņojums par valsts pārvaldes modernizācijas plāna īstenošanu.</w:t>
            </w:r>
          </w:p>
        </w:tc>
        <w:tc>
          <w:tcPr>
            <w:tcW w:w="760" w:type="pct"/>
            <w:shd w:val="clear" w:color="auto" w:fill="C6EFCE"/>
            <w:hideMark/>
          </w:tcPr>
          <w:p w14:paraId="475A2309"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lastRenderedPageBreak/>
              <w:t xml:space="preserve">Ministru kabinets ir apstiprinājis progresa </w:t>
            </w:r>
            <w:r w:rsidRPr="00A116F8">
              <w:rPr>
                <w:rFonts w:ascii="Times New Roman" w:hAnsi="Times New Roman"/>
                <w:sz w:val="16"/>
                <w:szCs w:val="18"/>
              </w:rPr>
              <w:lastRenderedPageBreak/>
              <w:t>ziņojumu par valsts pārvaldes modernizācijas plāna īstenošanu, kurā vajadzības gadījumā iekļauti plāna pasākumu grozījumi atbilstīgi plāna mērķiem.</w:t>
            </w:r>
          </w:p>
        </w:tc>
      </w:tr>
      <w:tr w:rsidR="001A3E6F" w:rsidRPr="00A116F8" w14:paraId="25190D0F" w14:textId="77777777" w:rsidTr="009E7D55">
        <w:trPr>
          <w:jc w:val="center"/>
        </w:trPr>
        <w:tc>
          <w:tcPr>
            <w:tcW w:w="163" w:type="pct"/>
            <w:shd w:val="clear" w:color="auto" w:fill="C6EFCE"/>
            <w:hideMark/>
          </w:tcPr>
          <w:p w14:paraId="3A1FFD91"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lastRenderedPageBreak/>
              <w:t>198</w:t>
            </w:r>
          </w:p>
        </w:tc>
        <w:tc>
          <w:tcPr>
            <w:tcW w:w="314" w:type="pct"/>
            <w:shd w:val="clear" w:color="auto" w:fill="C6EFCE"/>
            <w:hideMark/>
          </w:tcPr>
          <w:p w14:paraId="784F81DC"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6.3.1.r. Valsts pārvaldes modernizācija</w:t>
            </w:r>
          </w:p>
        </w:tc>
        <w:tc>
          <w:tcPr>
            <w:tcW w:w="270" w:type="pct"/>
            <w:shd w:val="clear" w:color="auto" w:fill="C6EFCE"/>
            <w:hideMark/>
          </w:tcPr>
          <w:p w14:paraId="1D35BB20"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Atskaites punkts</w:t>
            </w:r>
          </w:p>
        </w:tc>
        <w:tc>
          <w:tcPr>
            <w:tcW w:w="326" w:type="pct"/>
            <w:shd w:val="clear" w:color="auto" w:fill="C6EFCE"/>
            <w:hideMark/>
          </w:tcPr>
          <w:p w14:paraId="31588B2D"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Ir apstiprināta vienota pakalpojumu centra koncepcija kā priekšnoteikums centralizētu pakalpojumu sniegšanai</w:t>
            </w:r>
          </w:p>
        </w:tc>
        <w:tc>
          <w:tcPr>
            <w:tcW w:w="336" w:type="pct"/>
            <w:shd w:val="clear" w:color="auto" w:fill="C6EFCE"/>
            <w:hideMark/>
          </w:tcPr>
          <w:p w14:paraId="2CDFFAF1"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Neattiecas</w:t>
            </w:r>
          </w:p>
        </w:tc>
        <w:tc>
          <w:tcPr>
            <w:tcW w:w="298" w:type="pct"/>
            <w:shd w:val="clear" w:color="auto" w:fill="C6EFCE"/>
            <w:hideMark/>
          </w:tcPr>
          <w:p w14:paraId="27AAAEDE"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70" w:type="pct"/>
            <w:shd w:val="clear" w:color="auto" w:fill="C6EFCE"/>
            <w:hideMark/>
          </w:tcPr>
          <w:p w14:paraId="5A0340C8"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03" w:type="pct"/>
            <w:shd w:val="clear" w:color="auto" w:fill="C6EFCE"/>
            <w:hideMark/>
          </w:tcPr>
          <w:p w14:paraId="49D91318"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136" w:type="pct"/>
            <w:shd w:val="clear" w:color="auto" w:fill="C6EFCE"/>
            <w:hideMark/>
          </w:tcPr>
          <w:p w14:paraId="27BE62C7"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4. cet.</w:t>
            </w:r>
          </w:p>
        </w:tc>
        <w:tc>
          <w:tcPr>
            <w:tcW w:w="193" w:type="pct"/>
            <w:shd w:val="clear" w:color="auto" w:fill="C6EFCE"/>
            <w:hideMark/>
          </w:tcPr>
          <w:p w14:paraId="4DE024B7"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2022</w:t>
            </w:r>
          </w:p>
        </w:tc>
        <w:tc>
          <w:tcPr>
            <w:tcW w:w="407" w:type="pct"/>
            <w:shd w:val="clear" w:color="auto" w:fill="C6EFCE"/>
          </w:tcPr>
          <w:p w14:paraId="2AED51B4"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 xml:space="preserve">Valsts kanceleja </w:t>
            </w:r>
          </w:p>
        </w:tc>
        <w:tc>
          <w:tcPr>
            <w:tcW w:w="370" w:type="pct"/>
            <w:shd w:val="clear" w:color="auto" w:fill="C6EFCE"/>
          </w:tcPr>
          <w:p w14:paraId="6D643C5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396B6FD5"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Kopsavilkuma dokuments, kurā pienācīgi pamatots, kā tika apmierinoši sasniegts atskaites punkts (tostarp visi būtiskie elementi), kopā ar atbilstošām saitēm uz pamatojošajiem pierādījumiem.</w:t>
            </w:r>
          </w:p>
          <w:p w14:paraId="69AE0808"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 xml:space="preserve">Šā dokumenta pielikumā iekļauj </w:t>
            </w:r>
            <w:r w:rsidRPr="00A116F8">
              <w:rPr>
                <w:rFonts w:ascii="Times New Roman" w:hAnsi="Times New Roman"/>
                <w:sz w:val="16"/>
                <w:szCs w:val="18"/>
              </w:rPr>
              <w:lastRenderedPageBreak/>
              <w:t>šādus dokumentārus pierādījumus:</w:t>
            </w:r>
          </w:p>
          <w:p w14:paraId="547709F3"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t>a) kopiju vienotā pakalpojumu centra koncepcijai, kurā aprakstīts, kā norisināsies valsts pārvaldes atbalsta funkciju centralizācija;</w:t>
            </w:r>
          </w:p>
          <w:p w14:paraId="75C59075"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t xml:space="preserve">b) tā Ministru kabineta lēmuma kopiju, </w:t>
            </w:r>
            <w:bookmarkStart w:id="31" w:name="_Hlk85544914"/>
            <w:r w:rsidRPr="00A116F8">
              <w:rPr>
                <w:rFonts w:ascii="Times New Roman" w:hAnsi="Times New Roman"/>
                <w:sz w:val="16"/>
                <w:szCs w:val="18"/>
              </w:rPr>
              <w:t xml:space="preserve">ar kuru apstiprināta </w:t>
            </w:r>
            <w:bookmarkEnd w:id="31"/>
            <w:r w:rsidRPr="00A116F8">
              <w:rPr>
                <w:rFonts w:ascii="Times New Roman" w:hAnsi="Times New Roman"/>
                <w:sz w:val="16"/>
                <w:szCs w:val="18"/>
              </w:rPr>
              <w:t xml:space="preserve"> vienotā pakalpojuma centra koncepcija.</w:t>
            </w:r>
          </w:p>
        </w:tc>
        <w:tc>
          <w:tcPr>
            <w:tcW w:w="760" w:type="pct"/>
            <w:shd w:val="clear" w:color="auto" w:fill="C6EFCE"/>
            <w:hideMark/>
          </w:tcPr>
          <w:p w14:paraId="3743C8E6"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lastRenderedPageBreak/>
              <w:t>Ir izstrādāta un Ministru kabinetā apstiprināta vienotā pakalpojumu centra koncepcija.</w:t>
            </w:r>
          </w:p>
          <w:p w14:paraId="3E7EE4B7" w14:textId="77777777" w:rsidR="001A3E6F" w:rsidRPr="00A116F8" w:rsidRDefault="001A3E6F" w:rsidP="00A116F8">
            <w:pPr>
              <w:widowControl w:val="0"/>
              <w:spacing w:after="0" w:line="240" w:lineRule="auto"/>
              <w:ind w:left="57" w:right="57"/>
              <w:rPr>
                <w:rFonts w:ascii="Times New Roman" w:hAnsi="Times New Roman" w:cs="Times New Roman"/>
                <w:noProof/>
                <w:sz w:val="16"/>
                <w:szCs w:val="18"/>
              </w:rPr>
            </w:pPr>
            <w:r w:rsidRPr="00A116F8">
              <w:rPr>
                <w:rFonts w:ascii="Times New Roman" w:hAnsi="Times New Roman"/>
                <w:sz w:val="16"/>
                <w:szCs w:val="18"/>
              </w:rPr>
              <w:t>Šajā koncepcijā apraksta, kā pakāpeniski notiek valsts pārvaldes atbalsta funkciju (vismaz grāmatvedības un personāla uzskaites) centralizācija.</w:t>
            </w:r>
          </w:p>
        </w:tc>
      </w:tr>
      <w:tr w:rsidR="001A3E6F" w:rsidRPr="00A116F8" w14:paraId="4979D309" w14:textId="77777777" w:rsidTr="009E7D55">
        <w:trPr>
          <w:jc w:val="center"/>
        </w:trPr>
        <w:tc>
          <w:tcPr>
            <w:tcW w:w="163" w:type="pct"/>
            <w:shd w:val="clear" w:color="auto" w:fill="C6EFCE"/>
            <w:hideMark/>
          </w:tcPr>
          <w:p w14:paraId="4D16C45A"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199</w:t>
            </w:r>
          </w:p>
        </w:tc>
        <w:tc>
          <w:tcPr>
            <w:tcW w:w="314" w:type="pct"/>
            <w:shd w:val="clear" w:color="auto" w:fill="C6EFCE"/>
            <w:hideMark/>
          </w:tcPr>
          <w:p w14:paraId="7D778A9B"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6.3.1.r. Valsts pārvaldes modernizācija</w:t>
            </w:r>
          </w:p>
        </w:tc>
        <w:tc>
          <w:tcPr>
            <w:tcW w:w="270" w:type="pct"/>
            <w:shd w:val="clear" w:color="auto" w:fill="C6EFCE"/>
            <w:hideMark/>
          </w:tcPr>
          <w:p w14:paraId="6E0D5B4F"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Mērķis</w:t>
            </w:r>
          </w:p>
        </w:tc>
        <w:tc>
          <w:tcPr>
            <w:tcW w:w="326" w:type="pct"/>
            <w:shd w:val="clear" w:color="auto" w:fill="C6EFCE"/>
            <w:hideMark/>
          </w:tcPr>
          <w:p w14:paraId="1174E169"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To tiešās publiskās pārvaldes cilvēkresursu īpatsvars, kuri centralizēti saņem grāmatvedības un cilvēkresursu vadības pakalpojumus</w:t>
            </w:r>
          </w:p>
        </w:tc>
        <w:tc>
          <w:tcPr>
            <w:tcW w:w="336" w:type="pct"/>
            <w:shd w:val="clear" w:color="auto" w:fill="C6EFCE"/>
            <w:hideMark/>
          </w:tcPr>
          <w:p w14:paraId="4BF8286D"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Neattiecas</w:t>
            </w:r>
          </w:p>
        </w:tc>
        <w:tc>
          <w:tcPr>
            <w:tcW w:w="298" w:type="pct"/>
            <w:shd w:val="clear" w:color="auto" w:fill="C6EFCE"/>
            <w:hideMark/>
          </w:tcPr>
          <w:p w14:paraId="0A33A8AE"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 no kopējā darbinieku skaita, kuri nodarbināti tiešajā pārvaldē</w:t>
            </w:r>
          </w:p>
        </w:tc>
        <w:tc>
          <w:tcPr>
            <w:tcW w:w="270" w:type="pct"/>
            <w:shd w:val="clear" w:color="auto" w:fill="C6EFCE"/>
            <w:hideMark/>
          </w:tcPr>
          <w:p w14:paraId="7ADACED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0</w:t>
            </w:r>
          </w:p>
        </w:tc>
        <w:tc>
          <w:tcPr>
            <w:tcW w:w="203" w:type="pct"/>
            <w:shd w:val="clear" w:color="auto" w:fill="C6EFCE"/>
            <w:hideMark/>
          </w:tcPr>
          <w:p w14:paraId="373DC75A"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15</w:t>
            </w:r>
          </w:p>
        </w:tc>
        <w:tc>
          <w:tcPr>
            <w:tcW w:w="136" w:type="pct"/>
            <w:shd w:val="clear" w:color="auto" w:fill="C6EFCE"/>
            <w:hideMark/>
          </w:tcPr>
          <w:p w14:paraId="581598D7"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3. cet.</w:t>
            </w:r>
          </w:p>
        </w:tc>
        <w:tc>
          <w:tcPr>
            <w:tcW w:w="193" w:type="pct"/>
            <w:shd w:val="clear" w:color="auto" w:fill="C6EFCE"/>
            <w:hideMark/>
          </w:tcPr>
          <w:p w14:paraId="4F956571"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2026</w:t>
            </w:r>
          </w:p>
        </w:tc>
        <w:tc>
          <w:tcPr>
            <w:tcW w:w="407" w:type="pct"/>
            <w:shd w:val="clear" w:color="auto" w:fill="C6EFCE"/>
          </w:tcPr>
          <w:p w14:paraId="31618B20"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Valsts kanceleja</w:t>
            </w:r>
          </w:p>
        </w:tc>
        <w:tc>
          <w:tcPr>
            <w:tcW w:w="370" w:type="pct"/>
            <w:shd w:val="clear" w:color="auto" w:fill="C6EFCE"/>
          </w:tcPr>
          <w:p w14:paraId="062313C2"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0AB9B7BF"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Kopsavilkuma dokuments, kurā pienācīgi pamatots, kā tika apmierinoši sasniegts mērķis (tostarp visi būtiskie elementi), kopā ar atbilstošām saitēm uz pamatojošajiem pierādījumiem.</w:t>
            </w:r>
          </w:p>
          <w:p w14:paraId="11CACBB1"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t xml:space="preserve">Šā dokumentā pielikumā iekļauj šādus dokumentārus pierādījumus: izrakstu no cilvēkresursu datubāzes, kas pierāda, ka vismaz 15 % no darbiniekiem tiešajā pārvaldē saņem </w:t>
            </w:r>
            <w:r w:rsidRPr="00A116F8">
              <w:rPr>
                <w:rFonts w:ascii="Times New Roman" w:hAnsi="Times New Roman"/>
                <w:sz w:val="16"/>
                <w:szCs w:val="18"/>
              </w:rPr>
              <w:lastRenderedPageBreak/>
              <w:t>centralizētus grāmatvedības un cilvēkresursu pārvaldības pakalpojumus no vienotā risinājuma pakalpojumu sniedzēja.</w:t>
            </w:r>
          </w:p>
        </w:tc>
        <w:tc>
          <w:tcPr>
            <w:tcW w:w="760" w:type="pct"/>
            <w:shd w:val="clear" w:color="auto" w:fill="C6EFCE"/>
            <w:hideMark/>
          </w:tcPr>
          <w:p w14:paraId="2BF50CB6" w14:textId="77777777" w:rsidR="001A3E6F" w:rsidRPr="00A116F8" w:rsidRDefault="001A3E6F" w:rsidP="00A116F8">
            <w:pPr>
              <w:widowControl w:val="0"/>
              <w:spacing w:after="0" w:line="240" w:lineRule="auto"/>
              <w:ind w:left="57" w:right="57"/>
              <w:rPr>
                <w:rFonts w:ascii="Times New Roman" w:hAnsi="Times New Roman" w:cs="Times New Roman"/>
                <w:noProof/>
                <w:sz w:val="16"/>
                <w:szCs w:val="18"/>
              </w:rPr>
            </w:pPr>
            <w:r w:rsidRPr="00A116F8">
              <w:rPr>
                <w:rFonts w:ascii="Times New Roman" w:hAnsi="Times New Roman"/>
                <w:sz w:val="16"/>
                <w:szCs w:val="18"/>
              </w:rPr>
              <w:lastRenderedPageBreak/>
              <w:t>Sāk darboties vienotais risinājums, un pakāpeniski tiek sākta tādu atbalsta funkciju kā valsts pārvaldes grāmatvedība un cilvēkresursu pārvaldība centralizēšana.</w:t>
            </w:r>
          </w:p>
          <w:p w14:paraId="72F55990"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Vismaz 15 % no kopējā darbinieku skaita tiešajā pārvaldē saņem centralizētus grāmatvedības un cilvēkresursu pārvaldības pakalpojumus no vienotā risinājuma pakalpojumu sniedzēja.</w:t>
            </w:r>
          </w:p>
        </w:tc>
      </w:tr>
      <w:tr w:rsidR="001A3E6F" w:rsidRPr="00A116F8" w14:paraId="5690F699" w14:textId="77777777" w:rsidTr="009E7D55">
        <w:trPr>
          <w:jc w:val="center"/>
        </w:trPr>
        <w:tc>
          <w:tcPr>
            <w:tcW w:w="163" w:type="pct"/>
            <w:shd w:val="clear" w:color="auto" w:fill="C6EFCE"/>
            <w:hideMark/>
          </w:tcPr>
          <w:p w14:paraId="61A1E57F"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200</w:t>
            </w:r>
          </w:p>
        </w:tc>
        <w:tc>
          <w:tcPr>
            <w:tcW w:w="314" w:type="pct"/>
            <w:shd w:val="clear" w:color="auto" w:fill="C6EFCE"/>
            <w:hideMark/>
          </w:tcPr>
          <w:p w14:paraId="1AEE2230"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6.3.1.1.i.</w:t>
            </w:r>
          </w:p>
          <w:p w14:paraId="3CA2583D"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Atvērta, caurskatāma, godprātīga un atbildīga valsts pārvalde</w:t>
            </w:r>
          </w:p>
        </w:tc>
        <w:tc>
          <w:tcPr>
            <w:tcW w:w="270" w:type="pct"/>
            <w:shd w:val="clear" w:color="auto" w:fill="C6EFCE"/>
            <w:hideMark/>
          </w:tcPr>
          <w:p w14:paraId="3B1FFCF8"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Atskaites punkts</w:t>
            </w:r>
          </w:p>
        </w:tc>
        <w:tc>
          <w:tcPr>
            <w:tcW w:w="326" w:type="pct"/>
            <w:shd w:val="clear" w:color="auto" w:fill="C6EFCE"/>
            <w:hideMark/>
          </w:tcPr>
          <w:p w14:paraId="553883A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Pieejams kompetenču satvars</w:t>
            </w:r>
          </w:p>
        </w:tc>
        <w:tc>
          <w:tcPr>
            <w:tcW w:w="336" w:type="pct"/>
            <w:shd w:val="clear" w:color="auto" w:fill="C6EFCE"/>
            <w:hideMark/>
          </w:tcPr>
          <w:p w14:paraId="741F2AB4"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Valsts administrācijas skolas mācību pārvaldības sistēmā ir pieejams kompetenču satvars, tas ir apstiprināts ar Valsts administrācijas skolas iekšējo normatīvo aktu, un ir pieņemts likums “Par valsts budžetu 2024. gadam”.</w:t>
            </w:r>
          </w:p>
        </w:tc>
        <w:tc>
          <w:tcPr>
            <w:tcW w:w="298" w:type="pct"/>
            <w:shd w:val="clear" w:color="auto" w:fill="C6EFCE"/>
            <w:hideMark/>
          </w:tcPr>
          <w:p w14:paraId="6AB62C7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Neattiecas</w:t>
            </w:r>
          </w:p>
        </w:tc>
        <w:tc>
          <w:tcPr>
            <w:tcW w:w="270" w:type="pct"/>
            <w:shd w:val="clear" w:color="auto" w:fill="C6EFCE"/>
            <w:hideMark/>
          </w:tcPr>
          <w:p w14:paraId="69D46216"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Neattiecas</w:t>
            </w:r>
          </w:p>
        </w:tc>
        <w:tc>
          <w:tcPr>
            <w:tcW w:w="203" w:type="pct"/>
            <w:shd w:val="clear" w:color="auto" w:fill="C6EFCE"/>
            <w:hideMark/>
          </w:tcPr>
          <w:p w14:paraId="13C3E12D"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Neattiecas</w:t>
            </w:r>
          </w:p>
        </w:tc>
        <w:tc>
          <w:tcPr>
            <w:tcW w:w="136" w:type="pct"/>
            <w:shd w:val="clear" w:color="auto" w:fill="C6EFCE"/>
            <w:hideMark/>
          </w:tcPr>
          <w:p w14:paraId="5CA24680"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4. cet.</w:t>
            </w:r>
          </w:p>
        </w:tc>
        <w:tc>
          <w:tcPr>
            <w:tcW w:w="193" w:type="pct"/>
            <w:shd w:val="clear" w:color="auto" w:fill="C6EFCE"/>
            <w:hideMark/>
          </w:tcPr>
          <w:p w14:paraId="58777D7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2023</w:t>
            </w:r>
          </w:p>
        </w:tc>
        <w:tc>
          <w:tcPr>
            <w:tcW w:w="407" w:type="pct"/>
            <w:shd w:val="clear" w:color="auto" w:fill="C6EFCE"/>
          </w:tcPr>
          <w:p w14:paraId="7B14CCFD"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 xml:space="preserve">Valsts kanceleja </w:t>
            </w:r>
          </w:p>
        </w:tc>
        <w:tc>
          <w:tcPr>
            <w:tcW w:w="370" w:type="pct"/>
            <w:shd w:val="clear" w:color="auto" w:fill="C6EFCE"/>
          </w:tcPr>
          <w:p w14:paraId="6808FDCB"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3BFD4690"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Kopsavilkuma dokuments, kurā pienācīgi pamatots, kā tika apmierinoši sasniegts atskaites punkts (tostarp visi būtiskie elementi), kopā ar atbilstošām saitēm uz pamatojošajiem pierādījumiem.</w:t>
            </w:r>
          </w:p>
          <w:p w14:paraId="7E88D8C7"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Šā dokumenta pielikumā iekļauj šādus dokumentārus pierādījumus:</w:t>
            </w:r>
          </w:p>
          <w:p w14:paraId="62F13BA8"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t>a) tā Valsts administrācijas skolas iekšējā normatīvā akta kopiju, kas attiecas uz kompetenču pārvaldības sistēmu un apliecina, ka sistēma ir izveidota un pieejama Valsts administrācijas skolas mācību vadības sistēmā;</w:t>
            </w:r>
          </w:p>
          <w:p w14:paraId="5B8A957D"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t xml:space="preserve">b) valsts budžeta likuma attiecīgo daļu kopiju un saiti </w:t>
            </w:r>
            <w:r w:rsidRPr="00A116F8">
              <w:rPr>
                <w:rFonts w:ascii="Times New Roman" w:hAnsi="Times New Roman"/>
                <w:sz w:val="16"/>
                <w:szCs w:val="18"/>
              </w:rPr>
              <w:lastRenderedPageBreak/>
              <w:t>uz to publikāciju oficiālajā izdevumā, kas apliecina, ka galvenajām valsts pārvaldes attīstības mācību programmām ir nodrošināts valsts budžeta finansējums, sākot no 2024. gada, kā arī pievienotu dokumentu, kurā ir norāde uz tām daļām, kas attiecas uz atskaites punkta sasniegšanu, tostarp atsauci uz noteikumu, kurā norādīta stāšanās spēkā.</w:t>
            </w:r>
          </w:p>
        </w:tc>
        <w:tc>
          <w:tcPr>
            <w:tcW w:w="760" w:type="pct"/>
            <w:shd w:val="clear" w:color="auto" w:fill="C6EFCE"/>
            <w:hideMark/>
          </w:tcPr>
          <w:p w14:paraId="6E95C71B"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lastRenderedPageBreak/>
              <w:t>Izveidots un darīts pieejams kompetenču satvars ētikas, korupcijas novēršanas, krāpšanas novēršanas un interešu konflikta jomā.</w:t>
            </w:r>
          </w:p>
          <w:p w14:paraId="030449D4"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No 2024. gada ir nodrošināts valsts budžeta finansējums galvenajām valsts pārvaldes attīstības mācību programmām.</w:t>
            </w:r>
          </w:p>
        </w:tc>
      </w:tr>
      <w:tr w:rsidR="001A3E6F" w:rsidRPr="00A116F8" w14:paraId="048AC920" w14:textId="77777777" w:rsidTr="009E7D55">
        <w:trPr>
          <w:jc w:val="center"/>
        </w:trPr>
        <w:tc>
          <w:tcPr>
            <w:tcW w:w="163" w:type="pct"/>
            <w:shd w:val="clear" w:color="auto" w:fill="C6EFCE"/>
            <w:hideMark/>
          </w:tcPr>
          <w:p w14:paraId="12512859"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201</w:t>
            </w:r>
          </w:p>
        </w:tc>
        <w:tc>
          <w:tcPr>
            <w:tcW w:w="314" w:type="pct"/>
            <w:shd w:val="clear" w:color="auto" w:fill="C6EFCE"/>
            <w:hideMark/>
          </w:tcPr>
          <w:p w14:paraId="4E85A3DD"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6.3.1.1.i.</w:t>
            </w:r>
          </w:p>
          <w:p w14:paraId="77EC44B3"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Atvērta, caurskatāma, godprātīga un atbildīga valsts pārvalde</w:t>
            </w:r>
          </w:p>
        </w:tc>
        <w:tc>
          <w:tcPr>
            <w:tcW w:w="270" w:type="pct"/>
            <w:shd w:val="clear" w:color="auto" w:fill="C6EFCE"/>
            <w:hideMark/>
          </w:tcPr>
          <w:p w14:paraId="3E148B0D"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Mērķis</w:t>
            </w:r>
          </w:p>
        </w:tc>
        <w:tc>
          <w:tcPr>
            <w:tcW w:w="326" w:type="pct"/>
            <w:shd w:val="clear" w:color="auto" w:fill="C6EFCE"/>
            <w:hideMark/>
          </w:tcPr>
          <w:p w14:paraId="35274DA9"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 xml:space="preserve"> Valsts pārvaldes darbinieku pabeigtās mācības</w:t>
            </w:r>
          </w:p>
          <w:p w14:paraId="3FDB215D"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336" w:type="pct"/>
            <w:shd w:val="clear" w:color="auto" w:fill="C6EFCE"/>
            <w:hideMark/>
          </w:tcPr>
          <w:p w14:paraId="549BC5E0"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Neattiecas</w:t>
            </w:r>
          </w:p>
        </w:tc>
        <w:tc>
          <w:tcPr>
            <w:tcW w:w="298" w:type="pct"/>
            <w:shd w:val="clear" w:color="auto" w:fill="C6EFCE"/>
            <w:hideMark/>
          </w:tcPr>
          <w:p w14:paraId="7702FB16"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 xml:space="preserve">Skaits </w:t>
            </w:r>
          </w:p>
        </w:tc>
        <w:tc>
          <w:tcPr>
            <w:tcW w:w="270" w:type="pct"/>
            <w:shd w:val="clear" w:color="auto" w:fill="C6EFCE"/>
            <w:hideMark/>
          </w:tcPr>
          <w:p w14:paraId="48677D98"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0</w:t>
            </w:r>
          </w:p>
        </w:tc>
        <w:tc>
          <w:tcPr>
            <w:tcW w:w="203" w:type="pct"/>
            <w:shd w:val="clear" w:color="auto" w:fill="C6EFCE"/>
            <w:hideMark/>
          </w:tcPr>
          <w:p w14:paraId="4549FAC6"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16 232</w:t>
            </w:r>
          </w:p>
        </w:tc>
        <w:tc>
          <w:tcPr>
            <w:tcW w:w="136" w:type="pct"/>
            <w:shd w:val="clear" w:color="auto" w:fill="C6EFCE"/>
            <w:hideMark/>
          </w:tcPr>
          <w:p w14:paraId="42264D81"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4. cet.</w:t>
            </w:r>
          </w:p>
        </w:tc>
        <w:tc>
          <w:tcPr>
            <w:tcW w:w="193" w:type="pct"/>
            <w:shd w:val="clear" w:color="auto" w:fill="C6EFCE"/>
            <w:hideMark/>
          </w:tcPr>
          <w:p w14:paraId="527823F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2025</w:t>
            </w:r>
          </w:p>
        </w:tc>
        <w:tc>
          <w:tcPr>
            <w:tcW w:w="407" w:type="pct"/>
            <w:shd w:val="clear" w:color="auto" w:fill="C6EFCE"/>
          </w:tcPr>
          <w:p w14:paraId="66083C87"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Valsts administrācijas skola</w:t>
            </w:r>
          </w:p>
        </w:tc>
        <w:tc>
          <w:tcPr>
            <w:tcW w:w="370" w:type="pct"/>
            <w:shd w:val="clear" w:color="auto" w:fill="C6EFCE"/>
          </w:tcPr>
          <w:p w14:paraId="6506EEAB"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55FEF7FA"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Kopsavilkuma dokuments, kurā pienācīgi pamatots, kā tika apmierinoši sasniegts mērķis (tostarp visi būtiskie elementi), kopā ar atbilstošām saitēm uz pamatojošajiem pierādījumiem.</w:t>
            </w:r>
          </w:p>
          <w:p w14:paraId="317C1434"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Šā dokumenta pielikumā iekļauj šādus dokumentārus pierādījumus:</w:t>
            </w:r>
          </w:p>
          <w:p w14:paraId="001FD554"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t xml:space="preserve">a) sarakstu ar valsts pārvaldes darbiniekiem, kas pabeiguši mācību </w:t>
            </w:r>
            <w:r w:rsidRPr="00A116F8">
              <w:rPr>
                <w:rFonts w:ascii="Times New Roman" w:hAnsi="Times New Roman"/>
                <w:sz w:val="16"/>
                <w:szCs w:val="18"/>
              </w:rPr>
              <w:lastRenderedPageBreak/>
              <w:t>programmas, un atsauces uz viņu mācību sertifikātiem;</w:t>
            </w:r>
          </w:p>
          <w:p w14:paraId="6047A119"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b) organizēto mācību programmu sarakstu, tostarp katras programmas aprakstu, un mācību statistiku.</w:t>
            </w:r>
          </w:p>
        </w:tc>
        <w:tc>
          <w:tcPr>
            <w:tcW w:w="760" w:type="pct"/>
            <w:shd w:val="clear" w:color="auto" w:fill="C6EFCE"/>
            <w:hideMark/>
          </w:tcPr>
          <w:p w14:paraId="36FC3505"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lastRenderedPageBreak/>
              <w:t>Mācību skaits, ko valsts pārvaldes darbinieki pabeiguši ētikas, korupcijas novēršanas, krāpšanas novēršanas un interešu konflikta jomā.</w:t>
            </w:r>
          </w:p>
        </w:tc>
      </w:tr>
      <w:tr w:rsidR="001A3E6F" w:rsidRPr="00A116F8" w14:paraId="3AC8D204" w14:textId="77777777" w:rsidTr="009E7D55">
        <w:trPr>
          <w:jc w:val="center"/>
        </w:trPr>
        <w:tc>
          <w:tcPr>
            <w:tcW w:w="163" w:type="pct"/>
            <w:shd w:val="clear" w:color="auto" w:fill="C6EFCE"/>
            <w:hideMark/>
          </w:tcPr>
          <w:p w14:paraId="5B528EF7"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w:t>
            </w:r>
          </w:p>
        </w:tc>
        <w:tc>
          <w:tcPr>
            <w:tcW w:w="314" w:type="pct"/>
            <w:shd w:val="clear" w:color="auto" w:fill="C6EFCE"/>
            <w:hideMark/>
          </w:tcPr>
          <w:p w14:paraId="0943785E"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6.3.1.2.i. Valsts pārvaldes profesionalizācija un administratīvās un citas kapacitātes celšana</w:t>
            </w:r>
          </w:p>
        </w:tc>
        <w:tc>
          <w:tcPr>
            <w:tcW w:w="270" w:type="pct"/>
            <w:shd w:val="clear" w:color="auto" w:fill="C6EFCE"/>
            <w:hideMark/>
          </w:tcPr>
          <w:p w14:paraId="7C6D716E"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Atskaites punkts</w:t>
            </w:r>
          </w:p>
        </w:tc>
        <w:tc>
          <w:tcPr>
            <w:tcW w:w="326" w:type="pct"/>
            <w:shd w:val="clear" w:color="auto" w:fill="C6EFCE"/>
            <w:hideMark/>
          </w:tcPr>
          <w:p w14:paraId="0DA58D83"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Pieejams kompetenču satvars, tostarp mācību programmas</w:t>
            </w:r>
          </w:p>
        </w:tc>
        <w:tc>
          <w:tcPr>
            <w:tcW w:w="336" w:type="pct"/>
            <w:shd w:val="clear" w:color="auto" w:fill="C6EFCE"/>
            <w:hideMark/>
          </w:tcPr>
          <w:p w14:paraId="23329A81" w14:textId="77777777" w:rsidR="001A3E6F" w:rsidRPr="00A116F8" w:rsidRDefault="001A3E6F" w:rsidP="00A116F8">
            <w:pPr>
              <w:widowControl w:val="0"/>
              <w:spacing w:after="0" w:line="240" w:lineRule="auto"/>
              <w:ind w:left="57" w:right="57"/>
              <w:jc w:val="both"/>
              <w:rPr>
                <w:rFonts w:ascii="Times New Roman" w:hAnsi="Times New Roman" w:cs="Times New Roman"/>
                <w:noProof/>
                <w:sz w:val="16"/>
                <w:szCs w:val="18"/>
              </w:rPr>
            </w:pPr>
            <w:r w:rsidRPr="00A116F8">
              <w:rPr>
                <w:rFonts w:ascii="Times New Roman" w:hAnsi="Times New Roman"/>
                <w:sz w:val="16"/>
                <w:szCs w:val="18"/>
              </w:rPr>
              <w:t>Valsts administrācijas skolas mācību pārvaldības sistēmā ir pieejams kompetenču satvars, tas ir apstiprināts ar Valsts administrācijas skolas iekšējo normatīvo aktu, un ir pieņemts likums “Par valsts budžetu 2024. gadam”.</w:t>
            </w:r>
          </w:p>
        </w:tc>
        <w:tc>
          <w:tcPr>
            <w:tcW w:w="298" w:type="pct"/>
            <w:shd w:val="clear" w:color="auto" w:fill="C6EFCE"/>
            <w:hideMark/>
          </w:tcPr>
          <w:p w14:paraId="675E1E61"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Neattiecas</w:t>
            </w:r>
          </w:p>
        </w:tc>
        <w:tc>
          <w:tcPr>
            <w:tcW w:w="270" w:type="pct"/>
            <w:shd w:val="clear" w:color="auto" w:fill="C6EFCE"/>
            <w:hideMark/>
          </w:tcPr>
          <w:p w14:paraId="20C04F13"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Neattiecas</w:t>
            </w:r>
          </w:p>
        </w:tc>
        <w:tc>
          <w:tcPr>
            <w:tcW w:w="203" w:type="pct"/>
            <w:shd w:val="clear" w:color="auto" w:fill="C6EFCE"/>
            <w:hideMark/>
          </w:tcPr>
          <w:p w14:paraId="0CA64B98"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Neattiecas</w:t>
            </w:r>
          </w:p>
        </w:tc>
        <w:tc>
          <w:tcPr>
            <w:tcW w:w="136" w:type="pct"/>
            <w:shd w:val="clear" w:color="auto" w:fill="C6EFCE"/>
            <w:hideMark/>
          </w:tcPr>
          <w:p w14:paraId="62AEC8D4"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4. cet.</w:t>
            </w:r>
          </w:p>
        </w:tc>
        <w:tc>
          <w:tcPr>
            <w:tcW w:w="193" w:type="pct"/>
            <w:shd w:val="clear" w:color="auto" w:fill="C6EFCE"/>
            <w:hideMark/>
          </w:tcPr>
          <w:p w14:paraId="665B5936"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2023</w:t>
            </w:r>
          </w:p>
        </w:tc>
        <w:tc>
          <w:tcPr>
            <w:tcW w:w="407" w:type="pct"/>
            <w:shd w:val="clear" w:color="auto" w:fill="C6EFCE"/>
          </w:tcPr>
          <w:p w14:paraId="597A518B"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 xml:space="preserve">Valsts kanceleja </w:t>
            </w:r>
          </w:p>
        </w:tc>
        <w:tc>
          <w:tcPr>
            <w:tcW w:w="370" w:type="pct"/>
            <w:shd w:val="clear" w:color="auto" w:fill="C6EFCE"/>
          </w:tcPr>
          <w:p w14:paraId="44973509"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77DA778D"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Kopsavilkuma dokuments, kurā pienācīgi pamatots, kā tika apmierinoši sasniegts atskaites punkts (tostarp visi būtiskie elementi), kopā ar atbilstošām saitēm uz pamatojošajiem pierādījumiem.</w:t>
            </w:r>
          </w:p>
          <w:p w14:paraId="132961E6"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Šā dokumenta pielikumā iekļauj šādus dokumentārus pierādījumus:</w:t>
            </w:r>
          </w:p>
          <w:p w14:paraId="359D69D4"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t>a) tā Valsts administrācijas skolas iekšējā normatīvā akta kopiju, kas attiecas uz kompetenču pārvaldības sistēmu un apliecina, ka sistēma ir izveidota un pieejama Valsts administrācijas skolas mācību vadības sistēmā;</w:t>
            </w:r>
          </w:p>
          <w:p w14:paraId="72F1C979"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lastRenderedPageBreak/>
              <w:t>b) valsts budžeta likuma attiecīgo daļu kopiju un saiti uz to publikāciju oficiālajā izdevumā, kas apliecina, ka valsts pārvaldes profesionalizācijas pilnveides mācību programmām ir nodrošināts valsts budžeta finansējums no 2024. gada, kopā ar dokumentu, kurā ir norāde uz atskaites punkta izpildei būtiskajām daļām, tostarp atsauce uz noteikumu, kurā norādīta stāšanās spēkā.</w:t>
            </w:r>
          </w:p>
        </w:tc>
        <w:tc>
          <w:tcPr>
            <w:tcW w:w="760" w:type="pct"/>
            <w:shd w:val="clear" w:color="auto" w:fill="C6EFCE"/>
            <w:hideMark/>
          </w:tcPr>
          <w:p w14:paraId="40CB1088"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lastRenderedPageBreak/>
              <w:t>Kompetences satvars un mācību programmas ir pieejamas šādās jomās:</w:t>
            </w:r>
          </w:p>
          <w:p w14:paraId="494608B3"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klientu apkalpošana;</w:t>
            </w:r>
          </w:p>
          <w:p w14:paraId="1EC885F5"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līderības attīstīšana;</w:t>
            </w:r>
          </w:p>
          <w:p w14:paraId="0DC7D40F"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pamatprasmes valsts pārvaldē;</w:t>
            </w:r>
          </w:p>
          <w:p w14:paraId="461F04F0"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publiskā iepirkuma vadība;</w:t>
            </w:r>
          </w:p>
          <w:p w14:paraId="2F0D3B96"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cilvēkresursi;</w:t>
            </w:r>
          </w:p>
          <w:p w14:paraId="29B3BF83"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juridiskā prakse;</w:t>
            </w:r>
          </w:p>
          <w:p w14:paraId="6FC6CC25"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politikas plānošana un īstenošana.</w:t>
            </w:r>
          </w:p>
          <w:p w14:paraId="38929330"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lang w:eastAsia="en-GB"/>
              </w:rPr>
            </w:pPr>
          </w:p>
          <w:p w14:paraId="6A257A11"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No 2024. gada ir nodrošināts valsts budžeta finansējums publiskās pārvaldes profesionalizācijai.</w:t>
            </w:r>
          </w:p>
        </w:tc>
      </w:tr>
      <w:tr w:rsidR="001A3E6F" w:rsidRPr="00A116F8" w14:paraId="16B878AC" w14:textId="77777777" w:rsidTr="009E7D55">
        <w:trPr>
          <w:jc w:val="center"/>
        </w:trPr>
        <w:tc>
          <w:tcPr>
            <w:tcW w:w="163" w:type="pct"/>
            <w:shd w:val="clear" w:color="auto" w:fill="C6EFCE"/>
            <w:hideMark/>
          </w:tcPr>
          <w:p w14:paraId="452DB640"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203</w:t>
            </w:r>
          </w:p>
        </w:tc>
        <w:tc>
          <w:tcPr>
            <w:tcW w:w="314" w:type="pct"/>
            <w:shd w:val="clear" w:color="auto" w:fill="C6EFCE"/>
            <w:hideMark/>
          </w:tcPr>
          <w:p w14:paraId="05B58414"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6.3.1.2.i. Valsts pārvaldes profesionalizācija un administratīvās un citas kapacitātes celšana</w:t>
            </w:r>
          </w:p>
        </w:tc>
        <w:tc>
          <w:tcPr>
            <w:tcW w:w="270" w:type="pct"/>
            <w:shd w:val="clear" w:color="auto" w:fill="C6EFCE"/>
            <w:hideMark/>
          </w:tcPr>
          <w:p w14:paraId="1F98AA0A"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Mērķis</w:t>
            </w:r>
          </w:p>
        </w:tc>
        <w:tc>
          <w:tcPr>
            <w:tcW w:w="326" w:type="pct"/>
            <w:shd w:val="clear" w:color="auto" w:fill="C6EFCE"/>
            <w:hideMark/>
          </w:tcPr>
          <w:p w14:paraId="3EC01301"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 xml:space="preserve">Valsts pārvaldes darbinieku pabeigtās mācības </w:t>
            </w:r>
          </w:p>
        </w:tc>
        <w:tc>
          <w:tcPr>
            <w:tcW w:w="336" w:type="pct"/>
            <w:shd w:val="clear" w:color="auto" w:fill="C6EFCE"/>
            <w:hideMark/>
          </w:tcPr>
          <w:p w14:paraId="69A5F13E"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Neattiecas</w:t>
            </w:r>
          </w:p>
        </w:tc>
        <w:tc>
          <w:tcPr>
            <w:tcW w:w="298" w:type="pct"/>
            <w:shd w:val="clear" w:color="auto" w:fill="C6EFCE"/>
            <w:hideMark/>
          </w:tcPr>
          <w:p w14:paraId="1E24B63C"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 xml:space="preserve">Skaits </w:t>
            </w:r>
          </w:p>
        </w:tc>
        <w:tc>
          <w:tcPr>
            <w:tcW w:w="270" w:type="pct"/>
            <w:shd w:val="clear" w:color="auto" w:fill="C6EFCE"/>
            <w:hideMark/>
          </w:tcPr>
          <w:p w14:paraId="016FE60E"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0</w:t>
            </w:r>
          </w:p>
        </w:tc>
        <w:tc>
          <w:tcPr>
            <w:tcW w:w="203" w:type="pct"/>
            <w:shd w:val="clear" w:color="auto" w:fill="C6EFCE"/>
            <w:hideMark/>
          </w:tcPr>
          <w:p w14:paraId="3CD95AC9"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20 011</w:t>
            </w:r>
          </w:p>
        </w:tc>
        <w:tc>
          <w:tcPr>
            <w:tcW w:w="136" w:type="pct"/>
            <w:shd w:val="clear" w:color="auto" w:fill="C6EFCE"/>
            <w:hideMark/>
          </w:tcPr>
          <w:p w14:paraId="797CB798"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4. cet.</w:t>
            </w:r>
          </w:p>
        </w:tc>
        <w:tc>
          <w:tcPr>
            <w:tcW w:w="193" w:type="pct"/>
            <w:shd w:val="clear" w:color="auto" w:fill="C6EFCE"/>
            <w:hideMark/>
          </w:tcPr>
          <w:p w14:paraId="409C4113"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2025</w:t>
            </w:r>
          </w:p>
        </w:tc>
        <w:tc>
          <w:tcPr>
            <w:tcW w:w="407" w:type="pct"/>
            <w:shd w:val="clear" w:color="auto" w:fill="C6EFCE"/>
          </w:tcPr>
          <w:p w14:paraId="45793D4F"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Valsts administrācijas skola</w:t>
            </w:r>
          </w:p>
        </w:tc>
        <w:tc>
          <w:tcPr>
            <w:tcW w:w="370" w:type="pct"/>
            <w:shd w:val="clear" w:color="auto" w:fill="C6EFCE"/>
          </w:tcPr>
          <w:p w14:paraId="5731DD82"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2F0BADF4"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Kopsavilkuma dokuments, kurā pienācīgi pamatots, kā tika apmierinoši sasniegts mērķis (tostarp visi būtiskie elementi), kopā ar atbilstošām saitēm uz pamatojošajiem pierādījumiem.</w:t>
            </w:r>
          </w:p>
          <w:p w14:paraId="6E1D286E"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Šā dokumenta pielikumā iekļauj šādus dokumentārus pierādījumus:</w:t>
            </w:r>
          </w:p>
          <w:p w14:paraId="6FA4E60A"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t xml:space="preserve">a) sarakstu ar valsts pārvaldes </w:t>
            </w:r>
            <w:r w:rsidRPr="00A116F8">
              <w:rPr>
                <w:rFonts w:ascii="Times New Roman" w:hAnsi="Times New Roman"/>
                <w:sz w:val="16"/>
                <w:szCs w:val="18"/>
              </w:rPr>
              <w:lastRenderedPageBreak/>
              <w:t>darbiniekiem, kas pabeiguši mācību programmas, un atsauces uz viņu mācību sertifikātiem;</w:t>
            </w:r>
          </w:p>
          <w:p w14:paraId="241A04FF"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b) organizēto mācību programmu sarakstu, tostarp katras programmas aprakstu, un mācību statistiku.</w:t>
            </w:r>
          </w:p>
        </w:tc>
        <w:tc>
          <w:tcPr>
            <w:tcW w:w="760" w:type="pct"/>
            <w:shd w:val="clear" w:color="auto" w:fill="C6EFCE"/>
            <w:hideMark/>
          </w:tcPr>
          <w:p w14:paraId="153E6BC1"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lastRenderedPageBreak/>
              <w:t>Valsts pārvaldes darbinieku pabeigto mācību skaits klientu apkalpošanas, līderības attīstīšanas, valsts pārvaldē nepieciešamo pamatprasmju, publiskā iepirkuma vadības, cilvēkresursu, juridiskās prakses, politikas plānošanas un īstenošanas jomā.</w:t>
            </w:r>
          </w:p>
        </w:tc>
      </w:tr>
      <w:tr w:rsidR="001A3E6F" w:rsidRPr="00A116F8" w14:paraId="636A831E" w14:textId="77777777" w:rsidTr="009E7D55">
        <w:trPr>
          <w:jc w:val="center"/>
        </w:trPr>
        <w:tc>
          <w:tcPr>
            <w:tcW w:w="163" w:type="pct"/>
            <w:shd w:val="clear" w:color="auto" w:fill="C6EFCE"/>
            <w:hideMark/>
          </w:tcPr>
          <w:p w14:paraId="3DFA22BF"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204</w:t>
            </w:r>
          </w:p>
        </w:tc>
        <w:tc>
          <w:tcPr>
            <w:tcW w:w="314" w:type="pct"/>
            <w:shd w:val="clear" w:color="auto" w:fill="C6EFCE"/>
            <w:hideMark/>
          </w:tcPr>
          <w:p w14:paraId="4013BF12"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 xml:space="preserve">6.3.1.3.i. Valsts pārvaldes inovācijas ekosistēmas attīstība </w:t>
            </w:r>
          </w:p>
        </w:tc>
        <w:tc>
          <w:tcPr>
            <w:tcW w:w="270" w:type="pct"/>
            <w:shd w:val="clear" w:color="auto" w:fill="C6EFCE"/>
            <w:hideMark/>
          </w:tcPr>
          <w:p w14:paraId="5095EC88"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Atskaites punkts</w:t>
            </w:r>
          </w:p>
        </w:tc>
        <w:tc>
          <w:tcPr>
            <w:tcW w:w="326" w:type="pct"/>
            <w:shd w:val="clear" w:color="auto" w:fill="C6EFCE"/>
            <w:hideMark/>
          </w:tcPr>
          <w:p w14:paraId="229FF2D4"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Tiesiskā regulējuma stāšanās spēkā attiecībā uz inovācijas ekosistēmu</w:t>
            </w:r>
          </w:p>
        </w:tc>
        <w:tc>
          <w:tcPr>
            <w:tcW w:w="336" w:type="pct"/>
            <w:shd w:val="clear" w:color="auto" w:fill="C6EFCE"/>
            <w:hideMark/>
          </w:tcPr>
          <w:p w14:paraId="6D336530"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Vienotas eksperimentālās sistēmas izstrāde un īstenošana valsts sektora inovācijai</w:t>
            </w:r>
          </w:p>
        </w:tc>
        <w:tc>
          <w:tcPr>
            <w:tcW w:w="298" w:type="pct"/>
            <w:shd w:val="clear" w:color="auto" w:fill="C6EFCE"/>
            <w:hideMark/>
          </w:tcPr>
          <w:p w14:paraId="67BDC8CA"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70" w:type="pct"/>
            <w:shd w:val="clear" w:color="auto" w:fill="C6EFCE"/>
            <w:hideMark/>
          </w:tcPr>
          <w:p w14:paraId="76CCCC04"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03" w:type="pct"/>
            <w:shd w:val="clear" w:color="auto" w:fill="C6EFCE"/>
            <w:hideMark/>
          </w:tcPr>
          <w:p w14:paraId="29BB9F1B"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136" w:type="pct"/>
            <w:shd w:val="clear" w:color="auto" w:fill="C6EFCE"/>
            <w:hideMark/>
          </w:tcPr>
          <w:p w14:paraId="1DD386C8"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 cet.</w:t>
            </w:r>
          </w:p>
        </w:tc>
        <w:tc>
          <w:tcPr>
            <w:tcW w:w="193" w:type="pct"/>
            <w:shd w:val="clear" w:color="auto" w:fill="C6EFCE"/>
            <w:hideMark/>
          </w:tcPr>
          <w:p w14:paraId="56E6746E"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2025</w:t>
            </w:r>
          </w:p>
        </w:tc>
        <w:tc>
          <w:tcPr>
            <w:tcW w:w="407" w:type="pct"/>
            <w:shd w:val="clear" w:color="auto" w:fill="C6EFCE"/>
          </w:tcPr>
          <w:p w14:paraId="620D8EA1"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Valsts kanceleja</w:t>
            </w:r>
          </w:p>
        </w:tc>
        <w:tc>
          <w:tcPr>
            <w:tcW w:w="370" w:type="pct"/>
            <w:shd w:val="clear" w:color="auto" w:fill="C6EFCE"/>
          </w:tcPr>
          <w:p w14:paraId="3D259B31"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66BF856F"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Kopsavilkuma dokuments, kurā pienācīgi pamatots, kā tika apmierinoši sasniegts atskaites punkts (tostarp visi būtiskie elementi), kopā ar atbilstošām saitēm uz pamatojošajiem pierādījumiem.</w:t>
            </w:r>
          </w:p>
          <w:p w14:paraId="5C6EDCF9"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Šā dokumenta pielikumā iekļauj šādus dokumentārus pierādījumus:</w:t>
            </w:r>
          </w:p>
          <w:p w14:paraId="24201AA5"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 xml:space="preserve">a) kopijas tiesību aktiem un citiem dokumentiem, kas attiecas uz tiesiskā regulējuma izstrādi valsts sektora inovācijas ekosistēmai un inovācijas laboratorijas izveidi un kas publicēti oficiālajā izdevumā, tostarp </w:t>
            </w:r>
            <w:r w:rsidRPr="00A116F8">
              <w:rPr>
                <w:rFonts w:ascii="Times New Roman" w:hAnsi="Times New Roman"/>
                <w:sz w:val="16"/>
                <w:szCs w:val="18"/>
              </w:rPr>
              <w:lastRenderedPageBreak/>
              <w:t>atsauci uz noteikumu, kurā norādīta stāšanās spēkā;</w:t>
            </w:r>
          </w:p>
          <w:p w14:paraId="7EAAEBC7"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b) dokumentārus pierādījumus par inovācijas laboratorijas darbības uzsākšanu.</w:t>
            </w:r>
          </w:p>
        </w:tc>
        <w:tc>
          <w:tcPr>
            <w:tcW w:w="760" w:type="pct"/>
            <w:shd w:val="clear" w:color="auto" w:fill="C6EFCE"/>
            <w:hideMark/>
          </w:tcPr>
          <w:p w14:paraId="7E242833" w14:textId="77777777" w:rsidR="001A3E6F" w:rsidRPr="00A116F8" w:rsidRDefault="001A3E6F" w:rsidP="00A116F8">
            <w:pPr>
              <w:widowControl w:val="0"/>
              <w:spacing w:after="0" w:line="240" w:lineRule="auto"/>
              <w:ind w:left="57" w:right="57"/>
              <w:rPr>
                <w:rFonts w:ascii="Times New Roman" w:hAnsi="Times New Roman" w:cs="Times New Roman"/>
                <w:noProof/>
                <w:sz w:val="16"/>
                <w:szCs w:val="18"/>
              </w:rPr>
            </w:pPr>
            <w:r w:rsidRPr="00A116F8">
              <w:rPr>
                <w:rFonts w:ascii="Times New Roman" w:hAnsi="Times New Roman"/>
                <w:sz w:val="16"/>
                <w:szCs w:val="18"/>
              </w:rPr>
              <w:lastRenderedPageBreak/>
              <w:t>Stājas spēkā tiesiskais regulējums (pamatnostādnes, noteikumi, ieteikumi u. c.), lai atbalstītu valsts sektora inovācijas ekosistēmas attīstību.</w:t>
            </w:r>
          </w:p>
          <w:p w14:paraId="4C2736EB" w14:textId="77777777" w:rsidR="001A3E6F" w:rsidRPr="00A116F8" w:rsidRDefault="001A3E6F" w:rsidP="00A116F8">
            <w:pPr>
              <w:widowControl w:val="0"/>
              <w:spacing w:after="0" w:line="240" w:lineRule="auto"/>
              <w:ind w:left="57" w:right="57"/>
              <w:rPr>
                <w:rFonts w:ascii="Times New Roman" w:hAnsi="Times New Roman" w:cs="Times New Roman"/>
                <w:noProof/>
                <w:sz w:val="16"/>
                <w:szCs w:val="18"/>
              </w:rPr>
            </w:pPr>
            <w:r w:rsidRPr="00A116F8">
              <w:rPr>
                <w:rFonts w:ascii="Times New Roman" w:hAnsi="Times New Roman"/>
                <w:sz w:val="16"/>
                <w:szCs w:val="18"/>
              </w:rPr>
              <w:t>Regulējumā</w:t>
            </w:r>
            <w:r w:rsidRPr="00A116F8">
              <w:rPr>
                <w:rFonts w:ascii="Times New Roman" w:hAnsi="Times New Roman"/>
                <w:i/>
                <w:iCs/>
                <w:sz w:val="16"/>
                <w:szCs w:val="18"/>
              </w:rPr>
              <w:t xml:space="preserve"> inter alia</w:t>
            </w:r>
            <w:r w:rsidRPr="00A116F8">
              <w:rPr>
                <w:rFonts w:ascii="Times New Roman" w:hAnsi="Times New Roman"/>
                <w:sz w:val="16"/>
                <w:szCs w:val="18"/>
              </w:rPr>
              <w:t xml:space="preserve"> noteikti šādi uzdevumi:</w:t>
            </w:r>
          </w:p>
          <w:p w14:paraId="1772C218"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samazināt Latvijas inovācijas ekosistēmas un tās pārvaldības sadrumstalotību;</w:t>
            </w:r>
          </w:p>
          <w:p w14:paraId="288CDBB3"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uzlabot sadarbību starp iestādēm inovācijas politikas īstenošanā;</w:t>
            </w:r>
          </w:p>
          <w:p w14:paraId="3ED538B8"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izveidot vienotu satvaru eksperimentiem.</w:t>
            </w:r>
          </w:p>
          <w:p w14:paraId="14EDCAC1"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lang w:eastAsia="en-GB"/>
              </w:rPr>
            </w:pPr>
          </w:p>
          <w:p w14:paraId="018814C6"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Ir izveidota un darbojas inovācijas laboratorija. Inovācijas laboratorijas galvenās funkcijas ir:</w:t>
            </w:r>
          </w:p>
          <w:p w14:paraId="5C91AE6B"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xml:space="preserve">1) publiskās inovācijas gadījumu izpētes </w:t>
            </w:r>
            <w:r w:rsidRPr="00A116F8">
              <w:rPr>
                <w:rFonts w:ascii="Times New Roman" w:hAnsi="Times New Roman"/>
                <w:sz w:val="16"/>
                <w:szCs w:val="18"/>
              </w:rPr>
              <w:lastRenderedPageBreak/>
              <w:t>izstrāde;</w:t>
            </w:r>
          </w:p>
          <w:p w14:paraId="5BDD2B71"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2) inovatīvu risinājumu rašana valsts pārvaldes problēmām;</w:t>
            </w:r>
          </w:p>
          <w:p w14:paraId="4ED87AEC"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3) prototipu risinājumu testēšana;</w:t>
            </w:r>
          </w:p>
          <w:p w14:paraId="61F086A6"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4) sabiedrības informēšana par inovāciju valsts pārvaldē.</w:t>
            </w:r>
          </w:p>
        </w:tc>
      </w:tr>
      <w:tr w:rsidR="001A3E6F" w:rsidRPr="00A116F8" w14:paraId="66177611" w14:textId="77777777" w:rsidTr="009E7D55">
        <w:trPr>
          <w:jc w:val="center"/>
        </w:trPr>
        <w:tc>
          <w:tcPr>
            <w:tcW w:w="163" w:type="pct"/>
            <w:shd w:val="clear" w:color="auto" w:fill="C6EFCE"/>
            <w:hideMark/>
          </w:tcPr>
          <w:p w14:paraId="0834F68F"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lastRenderedPageBreak/>
              <w:t>205</w:t>
            </w:r>
          </w:p>
        </w:tc>
        <w:tc>
          <w:tcPr>
            <w:tcW w:w="314" w:type="pct"/>
            <w:shd w:val="clear" w:color="auto" w:fill="C6EFCE"/>
            <w:hideMark/>
          </w:tcPr>
          <w:p w14:paraId="72E38B90"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 xml:space="preserve">6.3.1.3.i. Valsts pārvaldes inovācijas ekosistēmas attīstība </w:t>
            </w:r>
          </w:p>
        </w:tc>
        <w:tc>
          <w:tcPr>
            <w:tcW w:w="270" w:type="pct"/>
            <w:shd w:val="clear" w:color="auto" w:fill="C6EFCE"/>
            <w:hideMark/>
          </w:tcPr>
          <w:p w14:paraId="1E6DF552"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Atskaites punkts</w:t>
            </w:r>
          </w:p>
        </w:tc>
        <w:tc>
          <w:tcPr>
            <w:tcW w:w="326" w:type="pct"/>
            <w:shd w:val="clear" w:color="auto" w:fill="C6EFCE"/>
            <w:hideMark/>
          </w:tcPr>
          <w:p w14:paraId="7B6914BD"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Inovācijas laboratorijas finansiālās ilgtspējības nodrošināšana</w:t>
            </w:r>
          </w:p>
        </w:tc>
        <w:tc>
          <w:tcPr>
            <w:tcW w:w="336" w:type="pct"/>
            <w:shd w:val="clear" w:color="auto" w:fill="C6EFCE"/>
            <w:hideMark/>
          </w:tcPr>
          <w:p w14:paraId="094DA19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Likuma “Par valsts budžetu 2026. gadam” stāšanās spēkā</w:t>
            </w:r>
          </w:p>
        </w:tc>
        <w:tc>
          <w:tcPr>
            <w:tcW w:w="298" w:type="pct"/>
            <w:shd w:val="clear" w:color="auto" w:fill="C6EFCE"/>
            <w:hideMark/>
          </w:tcPr>
          <w:p w14:paraId="023C7B9E"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Neattiecas</w:t>
            </w:r>
          </w:p>
        </w:tc>
        <w:tc>
          <w:tcPr>
            <w:tcW w:w="270" w:type="pct"/>
            <w:shd w:val="clear" w:color="auto" w:fill="C6EFCE"/>
            <w:hideMark/>
          </w:tcPr>
          <w:p w14:paraId="655F0F7F"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Neattiecas</w:t>
            </w:r>
          </w:p>
        </w:tc>
        <w:tc>
          <w:tcPr>
            <w:tcW w:w="203" w:type="pct"/>
            <w:shd w:val="clear" w:color="auto" w:fill="C6EFCE"/>
            <w:hideMark/>
          </w:tcPr>
          <w:p w14:paraId="0AE276B3"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Neattiecas</w:t>
            </w:r>
          </w:p>
        </w:tc>
        <w:tc>
          <w:tcPr>
            <w:tcW w:w="136" w:type="pct"/>
            <w:shd w:val="clear" w:color="auto" w:fill="C6EFCE"/>
            <w:hideMark/>
          </w:tcPr>
          <w:p w14:paraId="2CF0694D"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3. cet.</w:t>
            </w:r>
          </w:p>
        </w:tc>
        <w:tc>
          <w:tcPr>
            <w:tcW w:w="193" w:type="pct"/>
            <w:shd w:val="clear" w:color="auto" w:fill="C6EFCE"/>
            <w:hideMark/>
          </w:tcPr>
          <w:p w14:paraId="1E047243"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2025</w:t>
            </w:r>
          </w:p>
        </w:tc>
        <w:tc>
          <w:tcPr>
            <w:tcW w:w="407" w:type="pct"/>
            <w:shd w:val="clear" w:color="auto" w:fill="C6EFCE"/>
          </w:tcPr>
          <w:p w14:paraId="2BA02C2A"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Valsts kanceleja apkopo datus un ir atbildīga par ziņošanu.</w:t>
            </w:r>
          </w:p>
        </w:tc>
        <w:tc>
          <w:tcPr>
            <w:tcW w:w="370" w:type="pct"/>
            <w:shd w:val="clear" w:color="auto" w:fill="C6EFCE"/>
          </w:tcPr>
          <w:p w14:paraId="3ACB0719"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19DC1AA2"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Kopsavilkuma dokuments, kurā pienācīgi pamatots, kā tika apmierinoši sasniegts atskaites punkts (tostarp visi būtiskie elementi), kopā ar atbilstošām saitēm uz pamatojošajiem pierādījumiem.</w:t>
            </w:r>
          </w:p>
          <w:p w14:paraId="2BF67672"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t xml:space="preserve">Šā dokumenta pielikumā iekļauj valsts budžeta likuma attiecīgo daļu kopiju un saiti uz to publikāciju oficiālajā izdevumā, kas apliecina, ka inovācijas laboratorijas darbībai ir nodrošināts valsts budžeta finansējums, sākot no 2026. gada, kā arī pievienotu dokumentu, kurā ir norāde uz tām daļām, kas attiecas </w:t>
            </w:r>
            <w:r w:rsidRPr="00A116F8">
              <w:rPr>
                <w:rFonts w:ascii="Times New Roman" w:hAnsi="Times New Roman"/>
                <w:sz w:val="16"/>
                <w:szCs w:val="18"/>
              </w:rPr>
              <w:lastRenderedPageBreak/>
              <w:t>uz atskaites punkta sasniegšanu, tostarp atsauci uz noteikumu, kurā norādīta stāšanās spēkā.</w:t>
            </w:r>
          </w:p>
        </w:tc>
        <w:tc>
          <w:tcPr>
            <w:tcW w:w="760" w:type="pct"/>
            <w:shd w:val="clear" w:color="auto" w:fill="C6EFCE"/>
            <w:hideMark/>
          </w:tcPr>
          <w:p w14:paraId="292AB2BB"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lastRenderedPageBreak/>
              <w:t>Sākot no 2026. gada, tiek nodrošināts valsts budžeta finansējums inovācijas laboratorijas darbībai.</w:t>
            </w:r>
          </w:p>
        </w:tc>
      </w:tr>
      <w:tr w:rsidR="001A3E6F" w:rsidRPr="00A116F8" w14:paraId="668D77CC" w14:textId="77777777" w:rsidTr="009E7D55">
        <w:trPr>
          <w:jc w:val="center"/>
        </w:trPr>
        <w:tc>
          <w:tcPr>
            <w:tcW w:w="163" w:type="pct"/>
            <w:shd w:val="clear" w:color="auto" w:fill="C6EFCE"/>
            <w:hideMark/>
          </w:tcPr>
          <w:p w14:paraId="2D19449E"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206</w:t>
            </w:r>
          </w:p>
        </w:tc>
        <w:tc>
          <w:tcPr>
            <w:tcW w:w="314" w:type="pct"/>
            <w:shd w:val="clear" w:color="auto" w:fill="C6EFCE"/>
            <w:hideMark/>
          </w:tcPr>
          <w:p w14:paraId="3D6A1E17"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6.3.1.4.i.</w:t>
            </w:r>
          </w:p>
          <w:p w14:paraId="2B113724"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Nevalstisko organizāciju izaugsme sociālās drošības pārstāvniecības stiprināšanā un sabiedrības interešu uzraudzībā</w:t>
            </w:r>
          </w:p>
        </w:tc>
        <w:tc>
          <w:tcPr>
            <w:tcW w:w="270" w:type="pct"/>
            <w:shd w:val="clear" w:color="auto" w:fill="C6EFCE"/>
            <w:hideMark/>
          </w:tcPr>
          <w:p w14:paraId="4E7D314D"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Atskaites punkts</w:t>
            </w:r>
          </w:p>
        </w:tc>
        <w:tc>
          <w:tcPr>
            <w:tcW w:w="326" w:type="pct"/>
            <w:shd w:val="clear" w:color="auto" w:fill="C6EFCE"/>
            <w:hideMark/>
          </w:tcPr>
          <w:p w14:paraId="33D92CEB"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Regulējuma publicēšana attiecībā uz atbalstu nevalstiskajām organizācijām šādās jomās:</w:t>
            </w:r>
          </w:p>
          <w:p w14:paraId="2D9CF3F6"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 sociālā noturība;</w:t>
            </w:r>
          </w:p>
          <w:p w14:paraId="7947EDDE"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 sabiedrības interešu aizstāvība.</w:t>
            </w:r>
          </w:p>
        </w:tc>
        <w:tc>
          <w:tcPr>
            <w:tcW w:w="336" w:type="pct"/>
            <w:shd w:val="clear" w:color="auto" w:fill="C6EFCE"/>
            <w:hideMark/>
          </w:tcPr>
          <w:p w14:paraId="577D651E"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Atbalsta programmas noteikumu publicēšana</w:t>
            </w:r>
          </w:p>
        </w:tc>
        <w:tc>
          <w:tcPr>
            <w:tcW w:w="298" w:type="pct"/>
            <w:shd w:val="clear" w:color="auto" w:fill="C6EFCE"/>
            <w:hideMark/>
          </w:tcPr>
          <w:p w14:paraId="009D1954"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Neattiecas</w:t>
            </w:r>
          </w:p>
        </w:tc>
        <w:tc>
          <w:tcPr>
            <w:tcW w:w="270" w:type="pct"/>
            <w:shd w:val="clear" w:color="auto" w:fill="C6EFCE"/>
            <w:hideMark/>
          </w:tcPr>
          <w:p w14:paraId="25E14E6F"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Neattiecas</w:t>
            </w:r>
          </w:p>
        </w:tc>
        <w:tc>
          <w:tcPr>
            <w:tcW w:w="203" w:type="pct"/>
            <w:shd w:val="clear" w:color="auto" w:fill="C6EFCE"/>
            <w:hideMark/>
          </w:tcPr>
          <w:p w14:paraId="4F8AC487"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Neattiecas</w:t>
            </w:r>
          </w:p>
        </w:tc>
        <w:tc>
          <w:tcPr>
            <w:tcW w:w="136" w:type="pct"/>
            <w:shd w:val="clear" w:color="auto" w:fill="C6EFCE"/>
            <w:hideMark/>
          </w:tcPr>
          <w:p w14:paraId="19A249F9"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4. cet.</w:t>
            </w:r>
          </w:p>
        </w:tc>
        <w:tc>
          <w:tcPr>
            <w:tcW w:w="193" w:type="pct"/>
            <w:shd w:val="clear" w:color="auto" w:fill="C6EFCE"/>
            <w:hideMark/>
          </w:tcPr>
          <w:p w14:paraId="01FC85DD"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2022</w:t>
            </w:r>
          </w:p>
        </w:tc>
        <w:tc>
          <w:tcPr>
            <w:tcW w:w="407" w:type="pct"/>
            <w:shd w:val="clear" w:color="auto" w:fill="C6EFCE"/>
          </w:tcPr>
          <w:p w14:paraId="4FA82FCC"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Valsts kanceleja, Sabiedrības integrācijas fonds</w:t>
            </w:r>
          </w:p>
        </w:tc>
        <w:tc>
          <w:tcPr>
            <w:tcW w:w="370" w:type="pct"/>
            <w:shd w:val="clear" w:color="auto" w:fill="C6EFCE"/>
          </w:tcPr>
          <w:p w14:paraId="023E8E04"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34DADEF5"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Kopsavilkuma dokuments, kurā pienācīgi pamatots, kā tika apmierinoši sasniegts atskaites punkts (tostarp visi būtiskie elementi), kopā ar atbilstošām saitēm uz pamatojošajiem pierādījumiem.</w:t>
            </w:r>
          </w:p>
          <w:p w14:paraId="4BA83CFD"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t>Šā dokumenta pielikumā iekļauj kopiju publicētajam uzaicinājumam iesniegt projekta priekšlikumus un saiti uz to, tostarp nosacījumus un kritērijus NVO dalībai atbalsta programmā, ziņošanas mehānismu, rādītājus un programmā sasniedzamos mērķus.</w:t>
            </w:r>
          </w:p>
        </w:tc>
        <w:tc>
          <w:tcPr>
            <w:tcW w:w="760" w:type="pct"/>
            <w:shd w:val="clear" w:color="auto" w:fill="C6EFCE"/>
            <w:hideMark/>
          </w:tcPr>
          <w:p w14:paraId="10389A8B"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Ir publicēts atklāts uzaicinājums piešķirt finansējumu nevalstisko organizāciju (NVO) darba stiprināšanai šādās divās jomās: a) sociālās noturības veicināšana un b) sabiedrības interešu aizstāvība. Uzaicinājumā iekļauj nosacījumus un kritērijus NVO dalībai atbalsta programmā, ziņošanas mehānismu, rādītājus un programmā sasniedzamos mērķus.</w:t>
            </w:r>
          </w:p>
        </w:tc>
      </w:tr>
      <w:tr w:rsidR="001A3E6F" w:rsidRPr="00A116F8" w14:paraId="3D14CAC1" w14:textId="77777777" w:rsidTr="009E7D55">
        <w:trPr>
          <w:jc w:val="center"/>
        </w:trPr>
        <w:tc>
          <w:tcPr>
            <w:tcW w:w="163" w:type="pct"/>
            <w:shd w:val="clear" w:color="auto" w:fill="C6EFCE"/>
            <w:hideMark/>
          </w:tcPr>
          <w:p w14:paraId="5C39BAE1"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207</w:t>
            </w:r>
          </w:p>
        </w:tc>
        <w:tc>
          <w:tcPr>
            <w:tcW w:w="314" w:type="pct"/>
            <w:shd w:val="clear" w:color="auto" w:fill="C6EFCE"/>
            <w:hideMark/>
          </w:tcPr>
          <w:p w14:paraId="2DC3278D"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6.3.1.4.i.</w:t>
            </w:r>
          </w:p>
          <w:p w14:paraId="32D10F96"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 xml:space="preserve">Nevalstisko organizāciju izaugsme sociālās drošības pārstāvniecības </w:t>
            </w:r>
            <w:r w:rsidRPr="00A116F8">
              <w:rPr>
                <w:rFonts w:ascii="Times New Roman" w:hAnsi="Times New Roman"/>
                <w:b/>
                <w:sz w:val="16"/>
                <w:szCs w:val="18"/>
              </w:rPr>
              <w:lastRenderedPageBreak/>
              <w:t>stiprināšanā un sabiedrības interešu uzraudzībā</w:t>
            </w:r>
          </w:p>
        </w:tc>
        <w:tc>
          <w:tcPr>
            <w:tcW w:w="270" w:type="pct"/>
            <w:shd w:val="clear" w:color="auto" w:fill="C6EFCE"/>
            <w:hideMark/>
          </w:tcPr>
          <w:p w14:paraId="194FAC49"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lastRenderedPageBreak/>
              <w:t>Mērķis</w:t>
            </w:r>
          </w:p>
        </w:tc>
        <w:tc>
          <w:tcPr>
            <w:tcW w:w="326" w:type="pct"/>
            <w:shd w:val="clear" w:color="auto" w:fill="C6EFCE"/>
            <w:hideMark/>
          </w:tcPr>
          <w:p w14:paraId="2091283D"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 xml:space="preserve">Atbalsta programmas atbalsta saņēmēji </w:t>
            </w:r>
          </w:p>
        </w:tc>
        <w:tc>
          <w:tcPr>
            <w:tcW w:w="336" w:type="pct"/>
            <w:shd w:val="clear" w:color="auto" w:fill="C6EFCE"/>
            <w:hideMark/>
          </w:tcPr>
          <w:p w14:paraId="7BC17D14"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Parakstītie granta līgumi</w:t>
            </w:r>
          </w:p>
        </w:tc>
        <w:tc>
          <w:tcPr>
            <w:tcW w:w="298" w:type="pct"/>
            <w:shd w:val="clear" w:color="auto" w:fill="C6EFCE"/>
            <w:hideMark/>
          </w:tcPr>
          <w:p w14:paraId="48E86F10"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 xml:space="preserve">Atbalsta programmas atbalsta saņēmēju (tostarp partneru) </w:t>
            </w:r>
            <w:r w:rsidRPr="00A116F8">
              <w:rPr>
                <w:rFonts w:ascii="Times New Roman" w:hAnsi="Times New Roman"/>
                <w:sz w:val="16"/>
                <w:szCs w:val="18"/>
              </w:rPr>
              <w:lastRenderedPageBreak/>
              <w:t>skaits</w:t>
            </w:r>
          </w:p>
        </w:tc>
        <w:tc>
          <w:tcPr>
            <w:tcW w:w="270" w:type="pct"/>
            <w:shd w:val="clear" w:color="auto" w:fill="C6EFCE"/>
            <w:hideMark/>
          </w:tcPr>
          <w:p w14:paraId="17F989F6"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lastRenderedPageBreak/>
              <w:t>0</w:t>
            </w:r>
          </w:p>
        </w:tc>
        <w:tc>
          <w:tcPr>
            <w:tcW w:w="203" w:type="pct"/>
            <w:shd w:val="clear" w:color="auto" w:fill="C6EFCE"/>
            <w:hideMark/>
          </w:tcPr>
          <w:p w14:paraId="5B2E7157"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30</w:t>
            </w:r>
          </w:p>
        </w:tc>
        <w:tc>
          <w:tcPr>
            <w:tcW w:w="136" w:type="pct"/>
            <w:shd w:val="clear" w:color="auto" w:fill="C6EFCE"/>
            <w:hideMark/>
          </w:tcPr>
          <w:p w14:paraId="1FBF01AE"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3. cet.</w:t>
            </w:r>
          </w:p>
        </w:tc>
        <w:tc>
          <w:tcPr>
            <w:tcW w:w="193" w:type="pct"/>
            <w:shd w:val="clear" w:color="auto" w:fill="C6EFCE"/>
            <w:hideMark/>
          </w:tcPr>
          <w:p w14:paraId="7DB03956"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2026</w:t>
            </w:r>
          </w:p>
        </w:tc>
        <w:tc>
          <w:tcPr>
            <w:tcW w:w="407" w:type="pct"/>
            <w:shd w:val="clear" w:color="auto" w:fill="C6EFCE"/>
          </w:tcPr>
          <w:p w14:paraId="6C94A33B"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Valsts kanceleja, Sabiedrības integrācijas fonds</w:t>
            </w:r>
          </w:p>
        </w:tc>
        <w:tc>
          <w:tcPr>
            <w:tcW w:w="370" w:type="pct"/>
            <w:shd w:val="clear" w:color="auto" w:fill="C6EFCE"/>
          </w:tcPr>
          <w:p w14:paraId="1D470C8A"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49B8D895"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 xml:space="preserve">Kopsavilkuma dokuments, kurā pienācīgi pamatots, kā tika apmierinoši sasniegts mērķis </w:t>
            </w:r>
            <w:r w:rsidRPr="00A116F8">
              <w:rPr>
                <w:rFonts w:ascii="Times New Roman" w:hAnsi="Times New Roman"/>
                <w:sz w:val="16"/>
                <w:szCs w:val="18"/>
              </w:rPr>
              <w:lastRenderedPageBreak/>
              <w:t>(tostarp visi būtiskie elementi), kopā ar atbilstošām saitēm uz pamatojošajiem pierādījumiem.</w:t>
            </w:r>
          </w:p>
          <w:p w14:paraId="5359ACC9"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Šā dokumenta pielikumā iekļauj šādus dokumentārus pierādījumus:</w:t>
            </w:r>
          </w:p>
          <w:p w14:paraId="32468100"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t>a) atbalsta saņēmēju sarakstu (vismaz 15 organizācijas sociālās noturības programmā un 15 organizācijas sabiedrības interešu aizstāvības programmā) un saites uz projekta ziņojumiem un sasniegtajiem rezultātiem;</w:t>
            </w:r>
          </w:p>
          <w:p w14:paraId="55CF98A4"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b) to granta līgumu kopijas, kurus Sabiedrības integrācijas fonds noslēdzis ar atbalsta saņēmējām nevalstiskajām organizācijām par projekta izpildi.</w:t>
            </w:r>
          </w:p>
        </w:tc>
        <w:tc>
          <w:tcPr>
            <w:tcW w:w="760" w:type="pct"/>
            <w:shd w:val="clear" w:color="auto" w:fill="C6EFCE"/>
            <w:hideMark/>
          </w:tcPr>
          <w:p w14:paraId="181FBBE6"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lastRenderedPageBreak/>
              <w:t>No projekta īstenošanas finansējuma labumu gūst vismaz:</w:t>
            </w:r>
          </w:p>
          <w:p w14:paraId="147824C0"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xml:space="preserve">-15 organizācijas sociālās noturības </w:t>
            </w:r>
            <w:r w:rsidRPr="00A116F8">
              <w:rPr>
                <w:rFonts w:ascii="Times New Roman" w:hAnsi="Times New Roman"/>
                <w:sz w:val="16"/>
                <w:szCs w:val="18"/>
              </w:rPr>
              <w:lastRenderedPageBreak/>
              <w:t>programmā;</w:t>
            </w:r>
          </w:p>
          <w:p w14:paraId="60268415"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-15 organizācijas sabiedrības interešu aizstāvības programmā.</w:t>
            </w:r>
          </w:p>
          <w:p w14:paraId="40A60B85"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Mērķi uzskata par sasniegtu, ja starp nevalstiskām organizācijām un Sabiedrības integrācijas fondu ir noslēgts līgums par projekta izpildi.</w:t>
            </w:r>
          </w:p>
        </w:tc>
      </w:tr>
      <w:tr w:rsidR="001A3E6F" w:rsidRPr="00A116F8" w14:paraId="3CB11FB9" w14:textId="77777777" w:rsidTr="009E7D55">
        <w:trPr>
          <w:jc w:val="center"/>
        </w:trPr>
        <w:tc>
          <w:tcPr>
            <w:tcW w:w="163" w:type="pct"/>
            <w:shd w:val="clear" w:color="auto" w:fill="C6EFCE"/>
            <w:hideMark/>
          </w:tcPr>
          <w:p w14:paraId="61B314FE"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lastRenderedPageBreak/>
              <w:t>208</w:t>
            </w:r>
          </w:p>
        </w:tc>
        <w:tc>
          <w:tcPr>
            <w:tcW w:w="314" w:type="pct"/>
            <w:shd w:val="clear" w:color="auto" w:fill="C6EFCE"/>
            <w:hideMark/>
          </w:tcPr>
          <w:p w14:paraId="2E394E09"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6.4.1.r.</w:t>
            </w:r>
          </w:p>
          <w:p w14:paraId="6773691D"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Publisko iepirkumu līgumu reģistra izveide</w:t>
            </w:r>
          </w:p>
        </w:tc>
        <w:tc>
          <w:tcPr>
            <w:tcW w:w="270" w:type="pct"/>
            <w:shd w:val="clear" w:color="auto" w:fill="C6EFCE"/>
            <w:hideMark/>
          </w:tcPr>
          <w:p w14:paraId="51946011"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Atskaites punkts</w:t>
            </w:r>
          </w:p>
        </w:tc>
        <w:tc>
          <w:tcPr>
            <w:tcW w:w="326" w:type="pct"/>
            <w:shd w:val="clear" w:color="auto" w:fill="C6EFCE"/>
            <w:hideMark/>
          </w:tcPr>
          <w:p w14:paraId="4436408C"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 xml:space="preserve">Ir pieejams publisko iepirkumu līgumu reģistrs </w:t>
            </w:r>
          </w:p>
        </w:tc>
        <w:tc>
          <w:tcPr>
            <w:tcW w:w="336" w:type="pct"/>
            <w:shd w:val="clear" w:color="auto" w:fill="C6EFCE"/>
            <w:hideMark/>
          </w:tcPr>
          <w:p w14:paraId="70570290"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 xml:space="preserve">Grozījumi publisko iepirkumu tiesību aktos un izstrādāts un produkcijas vidē pieejams </w:t>
            </w:r>
            <w:r w:rsidRPr="00A116F8">
              <w:rPr>
                <w:rFonts w:ascii="Times New Roman" w:hAnsi="Times New Roman"/>
                <w:sz w:val="16"/>
                <w:szCs w:val="18"/>
              </w:rPr>
              <w:lastRenderedPageBreak/>
              <w:t>tehniskais risinājums</w:t>
            </w:r>
          </w:p>
        </w:tc>
        <w:tc>
          <w:tcPr>
            <w:tcW w:w="298" w:type="pct"/>
            <w:shd w:val="clear" w:color="auto" w:fill="C6EFCE"/>
            <w:hideMark/>
          </w:tcPr>
          <w:p w14:paraId="550A47FF"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lastRenderedPageBreak/>
              <w:t>Neattiecas</w:t>
            </w:r>
          </w:p>
        </w:tc>
        <w:tc>
          <w:tcPr>
            <w:tcW w:w="270" w:type="pct"/>
            <w:shd w:val="clear" w:color="auto" w:fill="C6EFCE"/>
            <w:hideMark/>
          </w:tcPr>
          <w:p w14:paraId="0678DAE1"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Neattiecas</w:t>
            </w:r>
          </w:p>
        </w:tc>
        <w:tc>
          <w:tcPr>
            <w:tcW w:w="203" w:type="pct"/>
            <w:shd w:val="clear" w:color="auto" w:fill="C6EFCE"/>
            <w:hideMark/>
          </w:tcPr>
          <w:p w14:paraId="6571AA06"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Neattiecas</w:t>
            </w:r>
          </w:p>
        </w:tc>
        <w:tc>
          <w:tcPr>
            <w:tcW w:w="136" w:type="pct"/>
            <w:shd w:val="clear" w:color="auto" w:fill="C6EFCE"/>
            <w:hideMark/>
          </w:tcPr>
          <w:p w14:paraId="5494A289"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4. cet.</w:t>
            </w:r>
          </w:p>
        </w:tc>
        <w:tc>
          <w:tcPr>
            <w:tcW w:w="193" w:type="pct"/>
            <w:shd w:val="clear" w:color="auto" w:fill="C6EFCE"/>
            <w:hideMark/>
          </w:tcPr>
          <w:p w14:paraId="652C535C"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2022</w:t>
            </w:r>
          </w:p>
        </w:tc>
        <w:tc>
          <w:tcPr>
            <w:tcW w:w="407" w:type="pct"/>
            <w:shd w:val="clear" w:color="auto" w:fill="C6EFCE"/>
          </w:tcPr>
          <w:p w14:paraId="7086D858"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Iepirkumu uzraudzības birojs /</w:t>
            </w:r>
          </w:p>
          <w:p w14:paraId="0026A5B4"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Finanšu ministrija</w:t>
            </w:r>
          </w:p>
        </w:tc>
        <w:tc>
          <w:tcPr>
            <w:tcW w:w="370" w:type="pct"/>
            <w:shd w:val="clear" w:color="auto" w:fill="C6EFCE"/>
          </w:tcPr>
          <w:p w14:paraId="65AF9612"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1C1D2CC6"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 xml:space="preserve">Kopsavilkuma dokuments, kurā pienācīgi pamatots, kā tika apmierinoši sasniegts atskaites punkts (tostarp visi </w:t>
            </w:r>
            <w:r w:rsidRPr="00A116F8">
              <w:rPr>
                <w:rFonts w:ascii="Times New Roman" w:hAnsi="Times New Roman"/>
                <w:sz w:val="16"/>
                <w:szCs w:val="18"/>
              </w:rPr>
              <w:lastRenderedPageBreak/>
              <w:t>būtiskie elementi), kopā ar atbilstošām saitēm uz pamatojošajiem pierādījumiem.</w:t>
            </w:r>
          </w:p>
          <w:p w14:paraId="264B6FF0"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Šā dokumenta pielikumā iekļauj šādus dokumentārus pierādījumus:</w:t>
            </w:r>
          </w:p>
          <w:p w14:paraId="37121305"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a) grozītā Publisko iepirkumu likuma publikācijas kopiju oficiālajā izdevumā un saiti uz to, tostarp atsauci uz noteikumu, kurā norādīta stāšanās spēkā;</w:t>
            </w:r>
          </w:p>
          <w:p w14:paraId="4B706F92"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b) kopiju apliecinājumam par pabeigšanu, kas izsniegts saskaņā ar valsts tiesību aktiem un apliecina atjauninātā publisko iepirkumu līgumu reģistra īstenošanu tiešsaistē.</w:t>
            </w:r>
          </w:p>
        </w:tc>
        <w:tc>
          <w:tcPr>
            <w:tcW w:w="760" w:type="pct"/>
            <w:shd w:val="clear" w:color="auto" w:fill="C6EFCE"/>
            <w:hideMark/>
          </w:tcPr>
          <w:p w14:paraId="33751C31"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lastRenderedPageBreak/>
              <w:t xml:space="preserve">Spēkā stājušies grozījumi tiesību aktos, kas reglamentē publisko iepirkumu, paredzot līgumu reģistru, kas satur strukturētu informāciju </w:t>
            </w:r>
            <w:r w:rsidRPr="00A116F8">
              <w:rPr>
                <w:rFonts w:ascii="Times New Roman" w:hAnsi="Times New Roman"/>
                <w:sz w:val="16"/>
                <w:szCs w:val="18"/>
              </w:rPr>
              <w:lastRenderedPageBreak/>
              <w:t>par noslēgtajiem iepirkuma līgumiem un to faktisko izpildi (tostarp faktiskajām izmaksām un termiņiem vai izbeigšanas iemeslu).</w:t>
            </w:r>
          </w:p>
          <w:p w14:paraId="2EC749B6"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lang w:eastAsia="en-GB"/>
              </w:rPr>
            </w:pPr>
          </w:p>
          <w:p w14:paraId="2E6390A7"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Ir izstrādāts un tiešsaistē pieejams tehniskais risinājums publisko iepirkumu līgumu reģistram.</w:t>
            </w:r>
          </w:p>
        </w:tc>
      </w:tr>
      <w:tr w:rsidR="001A3E6F" w:rsidRPr="00A116F8" w14:paraId="58D06A12" w14:textId="77777777" w:rsidTr="009E7D55">
        <w:trPr>
          <w:jc w:val="center"/>
        </w:trPr>
        <w:tc>
          <w:tcPr>
            <w:tcW w:w="163" w:type="pct"/>
            <w:shd w:val="clear" w:color="auto" w:fill="C6EFCE"/>
            <w:hideMark/>
          </w:tcPr>
          <w:p w14:paraId="721AD9DD"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lastRenderedPageBreak/>
              <w:t>209</w:t>
            </w:r>
          </w:p>
        </w:tc>
        <w:tc>
          <w:tcPr>
            <w:tcW w:w="314" w:type="pct"/>
            <w:shd w:val="clear" w:color="auto" w:fill="C6EFCE"/>
            <w:hideMark/>
          </w:tcPr>
          <w:p w14:paraId="0B24F570"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6.4.2.r. Konkurences vides pilnveidošana</w:t>
            </w:r>
          </w:p>
        </w:tc>
        <w:tc>
          <w:tcPr>
            <w:tcW w:w="270" w:type="pct"/>
            <w:shd w:val="clear" w:color="auto" w:fill="C6EFCE"/>
            <w:hideMark/>
          </w:tcPr>
          <w:p w14:paraId="23E890CC"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Atskaites punkts</w:t>
            </w:r>
          </w:p>
        </w:tc>
        <w:tc>
          <w:tcPr>
            <w:tcW w:w="326" w:type="pct"/>
            <w:shd w:val="clear" w:color="auto" w:fill="C6EFCE"/>
            <w:hideMark/>
          </w:tcPr>
          <w:p w14:paraId="2C07A40C"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Tiesiskā regulējuma stāšanās spēkā attiecībā uz konkurences vides pilnveidošanu un korupcijas risku samazināšanu publiskajā iepirkumā</w:t>
            </w:r>
          </w:p>
        </w:tc>
        <w:tc>
          <w:tcPr>
            <w:tcW w:w="336" w:type="pct"/>
            <w:shd w:val="clear" w:color="auto" w:fill="C6EFCE"/>
            <w:hideMark/>
          </w:tcPr>
          <w:p w14:paraId="3C2D3434"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Neattiecas</w:t>
            </w:r>
          </w:p>
        </w:tc>
        <w:tc>
          <w:tcPr>
            <w:tcW w:w="298" w:type="pct"/>
            <w:shd w:val="clear" w:color="auto" w:fill="C6EFCE"/>
            <w:hideMark/>
          </w:tcPr>
          <w:p w14:paraId="2D38928C"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Neattiecas</w:t>
            </w:r>
          </w:p>
        </w:tc>
        <w:tc>
          <w:tcPr>
            <w:tcW w:w="270" w:type="pct"/>
            <w:shd w:val="clear" w:color="auto" w:fill="C6EFCE"/>
            <w:hideMark/>
          </w:tcPr>
          <w:p w14:paraId="6E5ACEA9"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Neattiecas</w:t>
            </w:r>
          </w:p>
        </w:tc>
        <w:tc>
          <w:tcPr>
            <w:tcW w:w="203" w:type="pct"/>
            <w:shd w:val="clear" w:color="auto" w:fill="C6EFCE"/>
            <w:hideMark/>
          </w:tcPr>
          <w:p w14:paraId="2CB72660"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Neattiecas</w:t>
            </w:r>
          </w:p>
        </w:tc>
        <w:tc>
          <w:tcPr>
            <w:tcW w:w="136" w:type="pct"/>
            <w:shd w:val="clear" w:color="auto" w:fill="C6EFCE"/>
            <w:hideMark/>
          </w:tcPr>
          <w:p w14:paraId="094809D2"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4. cet.</w:t>
            </w:r>
          </w:p>
        </w:tc>
        <w:tc>
          <w:tcPr>
            <w:tcW w:w="193" w:type="pct"/>
            <w:shd w:val="clear" w:color="auto" w:fill="C6EFCE"/>
            <w:hideMark/>
          </w:tcPr>
          <w:p w14:paraId="2BAD61B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2021</w:t>
            </w:r>
          </w:p>
        </w:tc>
        <w:tc>
          <w:tcPr>
            <w:tcW w:w="407" w:type="pct"/>
            <w:shd w:val="clear" w:color="auto" w:fill="C6EFCE"/>
          </w:tcPr>
          <w:p w14:paraId="358A1ADF"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Finanšu ministrija</w:t>
            </w:r>
          </w:p>
        </w:tc>
        <w:tc>
          <w:tcPr>
            <w:tcW w:w="370" w:type="pct"/>
            <w:shd w:val="clear" w:color="auto" w:fill="C6EFCE"/>
          </w:tcPr>
          <w:p w14:paraId="0E35A6BF"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3B4A96AC"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t>Publisko iepirkumu likuma grozījumu publikācijas kopija, tostarp attiecībā uz šādām izmaiņām:</w:t>
            </w:r>
          </w:p>
          <w:p w14:paraId="3783218C"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xml:space="preserve">1) katram iepirkumam atsevišķi vai uz noteiktu laiku </w:t>
            </w:r>
            <w:r w:rsidRPr="00A116F8">
              <w:rPr>
                <w:rFonts w:ascii="Times New Roman" w:hAnsi="Times New Roman"/>
                <w:sz w:val="16"/>
                <w:szCs w:val="18"/>
              </w:rPr>
              <w:lastRenderedPageBreak/>
              <w:t>izveido iepirkuma komisiju;</w:t>
            </w:r>
          </w:p>
          <w:p w14:paraId="3CAAC244"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2) iepirkuma komisijas sekretārs paraksta deklarāciju par interešu konflikta neesību;</w:t>
            </w:r>
          </w:p>
          <w:p w14:paraId="7DEB6C56"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3) paplašināti gadījumi, kad piegādātāju var izslēgt no konkursa;</w:t>
            </w:r>
          </w:p>
          <w:p w14:paraId="4BA823F1"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4) vērtēšanas kritērijos ir noteiktas konkrētas jomas, kurās papildus iepirkuma cenai jānovērtē aprites cikla izmaksas un kvalitātes kritēriji;</w:t>
            </w:r>
          </w:p>
          <w:p w14:paraId="0C77A268"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5) stingrākas prasības gadījumiem, kuros ir tikai viens piedāvājums;</w:t>
            </w:r>
          </w:p>
          <w:p w14:paraId="649E18B1"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t>6) prasība apspriesties ar tirgus dalībniekiem, lai izvairītos no ierobežojošām tehniskajām specifikācijām, un saite oficiālajā izdevumā, tostarp atsauce uz noteikumu, kurā norādīta stāšanās spēkā.</w:t>
            </w:r>
          </w:p>
          <w:p w14:paraId="20261EE3"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 xml:space="preserve">Tam pievieno kopsavilkuma </w:t>
            </w:r>
            <w:r w:rsidRPr="00A116F8">
              <w:rPr>
                <w:rFonts w:ascii="Times New Roman" w:hAnsi="Times New Roman"/>
                <w:sz w:val="16"/>
                <w:szCs w:val="18"/>
              </w:rPr>
              <w:lastRenderedPageBreak/>
              <w:t>dokumentu, kurā pienācīgi pamatots, kā tika apmierinoši sasniegts atskaites punkts (tostarp visi būtiskie elementi), kopā ar atbilstošām saitēm uz pamatojošajiem pierādījumiem.</w:t>
            </w:r>
          </w:p>
        </w:tc>
        <w:tc>
          <w:tcPr>
            <w:tcW w:w="760" w:type="pct"/>
            <w:shd w:val="clear" w:color="auto" w:fill="C6EFCE"/>
            <w:hideMark/>
          </w:tcPr>
          <w:p w14:paraId="717BA31C"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lastRenderedPageBreak/>
              <w:t>Stājas spēkā Publisko iepirkumu likuma grozījumi, tostarp šādas izmaiņas:</w:t>
            </w:r>
          </w:p>
          <w:p w14:paraId="2F2D4F4D"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1) katram iepirkumam atsevišķi vai uz noteiktu laiku izveido iepirkuma komisiju;</w:t>
            </w:r>
          </w:p>
          <w:p w14:paraId="784806A0"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xml:space="preserve">2) iepirkuma komisijas sekretārs paraksta deklarāciju par </w:t>
            </w:r>
            <w:r w:rsidRPr="00A116F8">
              <w:rPr>
                <w:rFonts w:ascii="Times New Roman" w:hAnsi="Times New Roman"/>
                <w:sz w:val="16"/>
                <w:szCs w:val="18"/>
              </w:rPr>
              <w:lastRenderedPageBreak/>
              <w:t>interešu konflikta neesību;</w:t>
            </w:r>
          </w:p>
          <w:p w14:paraId="7E33172A"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3) paplašināti gadījumi, kad piegādātāju var izslēgt no konkursa;</w:t>
            </w:r>
          </w:p>
          <w:p w14:paraId="090CADF5"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4) vērtēšanas kritērijos ir noteiktas konkrētas jomas, kurās papildus iepirkuma cenai jānovērtē aprites cikla izmaksas un kvalitātes kritēriji;</w:t>
            </w:r>
          </w:p>
          <w:p w14:paraId="467A41AE"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5) stingrākas prasības gadījumiem, kuros ir tikai viens piedāvājums;</w:t>
            </w:r>
          </w:p>
          <w:p w14:paraId="5B369A75"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6) prasība apspriesties ar tirgus dalībniekiem, lai izvairītos no ierobežojošām tehniskajām specifikācijām.</w:t>
            </w:r>
          </w:p>
        </w:tc>
      </w:tr>
      <w:tr w:rsidR="001A3E6F" w:rsidRPr="00A116F8" w14:paraId="70A66397" w14:textId="77777777" w:rsidTr="009E7D55">
        <w:trPr>
          <w:jc w:val="center"/>
        </w:trPr>
        <w:tc>
          <w:tcPr>
            <w:tcW w:w="163" w:type="pct"/>
            <w:shd w:val="clear" w:color="auto" w:fill="C6EFCE"/>
            <w:hideMark/>
          </w:tcPr>
          <w:p w14:paraId="4E822023"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lastRenderedPageBreak/>
              <w:t>210</w:t>
            </w:r>
          </w:p>
        </w:tc>
        <w:tc>
          <w:tcPr>
            <w:tcW w:w="314" w:type="pct"/>
            <w:shd w:val="clear" w:color="auto" w:fill="C6EFCE"/>
            <w:hideMark/>
          </w:tcPr>
          <w:p w14:paraId="7117B242"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 xml:space="preserve">6.4.3.r. Profesionalizācijas stratēģijas izstrāde un īstenošana </w:t>
            </w:r>
          </w:p>
        </w:tc>
        <w:tc>
          <w:tcPr>
            <w:tcW w:w="270" w:type="pct"/>
            <w:shd w:val="clear" w:color="auto" w:fill="C6EFCE"/>
            <w:hideMark/>
          </w:tcPr>
          <w:p w14:paraId="351E7C1F"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Atskaites punkts</w:t>
            </w:r>
          </w:p>
        </w:tc>
        <w:tc>
          <w:tcPr>
            <w:tcW w:w="326" w:type="pct"/>
            <w:shd w:val="clear" w:color="auto" w:fill="C6EFCE"/>
            <w:hideMark/>
          </w:tcPr>
          <w:p w14:paraId="6D8C8BB3"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Iepirkumu veicēju profesionalizācijas stratēģijas pieņemšana</w:t>
            </w:r>
          </w:p>
        </w:tc>
        <w:tc>
          <w:tcPr>
            <w:tcW w:w="336" w:type="pct"/>
            <w:shd w:val="clear" w:color="auto" w:fill="C6EFCE"/>
            <w:hideMark/>
          </w:tcPr>
          <w:p w14:paraId="43D8351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Stratēģija ir pieņemta</w:t>
            </w:r>
          </w:p>
        </w:tc>
        <w:tc>
          <w:tcPr>
            <w:tcW w:w="298" w:type="pct"/>
            <w:shd w:val="clear" w:color="auto" w:fill="C6EFCE"/>
            <w:hideMark/>
          </w:tcPr>
          <w:p w14:paraId="58794590"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70" w:type="pct"/>
            <w:shd w:val="clear" w:color="auto" w:fill="C6EFCE"/>
            <w:hideMark/>
          </w:tcPr>
          <w:p w14:paraId="3F6E8479"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03" w:type="pct"/>
            <w:shd w:val="clear" w:color="auto" w:fill="C6EFCE"/>
            <w:hideMark/>
          </w:tcPr>
          <w:p w14:paraId="0DDCE3A9"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136" w:type="pct"/>
            <w:shd w:val="clear" w:color="auto" w:fill="C6EFCE"/>
            <w:hideMark/>
          </w:tcPr>
          <w:p w14:paraId="6E168BBB"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1. cet.</w:t>
            </w:r>
          </w:p>
        </w:tc>
        <w:tc>
          <w:tcPr>
            <w:tcW w:w="193" w:type="pct"/>
            <w:shd w:val="clear" w:color="auto" w:fill="C6EFCE"/>
            <w:hideMark/>
          </w:tcPr>
          <w:p w14:paraId="71FB6DC1"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2022</w:t>
            </w:r>
          </w:p>
        </w:tc>
        <w:tc>
          <w:tcPr>
            <w:tcW w:w="407" w:type="pct"/>
            <w:shd w:val="clear" w:color="auto" w:fill="C6EFCE"/>
          </w:tcPr>
          <w:p w14:paraId="55AE89CF" w14:textId="77777777" w:rsidR="001A3E6F" w:rsidRPr="00A116F8" w:rsidRDefault="001A3E6F" w:rsidP="00A116F8">
            <w:pPr>
              <w:widowControl w:val="0"/>
              <w:spacing w:after="0" w:line="240" w:lineRule="auto"/>
              <w:ind w:left="57" w:right="57"/>
              <w:jc w:val="both"/>
              <w:rPr>
                <w:rFonts w:ascii="Times New Roman" w:hAnsi="Times New Roman"/>
                <w:noProof/>
                <w:sz w:val="16"/>
                <w:szCs w:val="18"/>
              </w:rPr>
            </w:pPr>
            <w:r w:rsidRPr="00A116F8">
              <w:rPr>
                <w:rFonts w:ascii="Times New Roman" w:hAnsi="Times New Roman"/>
                <w:sz w:val="16"/>
                <w:szCs w:val="18"/>
              </w:rPr>
              <w:t xml:space="preserve">Finanšu ministrija / Iepirkumu uzraudzības birojs </w:t>
            </w:r>
          </w:p>
        </w:tc>
        <w:tc>
          <w:tcPr>
            <w:tcW w:w="370" w:type="pct"/>
            <w:shd w:val="clear" w:color="auto" w:fill="C6EFCE"/>
          </w:tcPr>
          <w:p w14:paraId="23E9BE6A" w14:textId="77777777" w:rsidR="001A3E6F" w:rsidRPr="00A116F8" w:rsidRDefault="001A3E6F" w:rsidP="00A116F8">
            <w:pPr>
              <w:widowControl w:val="0"/>
              <w:spacing w:after="0" w:line="240" w:lineRule="auto"/>
              <w:ind w:left="57" w:right="57"/>
              <w:jc w:val="both"/>
              <w:rPr>
                <w:rFonts w:ascii="Times New Roman" w:hAnsi="Times New Roman" w:cs="Segoe UI"/>
                <w:noProof/>
                <w:sz w:val="16"/>
                <w:szCs w:val="18"/>
                <w:shd w:val="clear" w:color="auto" w:fill="C6EFCE"/>
              </w:rPr>
            </w:pPr>
            <w:r w:rsidRPr="00A116F8">
              <w:rPr>
                <w:rFonts w:ascii="Times New Roman" w:hAnsi="Times New Roman"/>
                <w:sz w:val="16"/>
                <w:szCs w:val="18"/>
                <w:shd w:val="clear" w:color="auto" w:fill="C6EFCE"/>
              </w:rPr>
              <w:t>Iepirkumu centralizācija būs atrunāta Ministru kabineta lēmumā.</w:t>
            </w:r>
          </w:p>
        </w:tc>
        <w:tc>
          <w:tcPr>
            <w:tcW w:w="955" w:type="pct"/>
            <w:shd w:val="clear" w:color="auto" w:fill="C6EFCE"/>
          </w:tcPr>
          <w:p w14:paraId="593AB7C8"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t>Kopsavilkuma dokuments, kurā pienācīgi pamatots, kā tika apmierinoši sasniegts atskaites punkts (tostarp visi būtiskie elementi), kopā ar atbilstošām saitēm uz pamatojošajiem pierādījumiem.</w:t>
            </w:r>
          </w:p>
          <w:p w14:paraId="3CA9543D"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t>Šā dokumenta pielikumā iekļauj šādus dokumentārus pierādījumus:</w:t>
            </w:r>
          </w:p>
          <w:p w14:paraId="4711872B"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t>a) pieņemtās profesionalizācijas stratēģijas kopiju;</w:t>
            </w:r>
          </w:p>
          <w:p w14:paraId="067B62C1"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t>b) tā Ministru kabineta lēmuma kopiju, kas attiecas uz rīcības virzieniem centralizēto iepirkumu veikšanai.</w:t>
            </w:r>
          </w:p>
        </w:tc>
        <w:tc>
          <w:tcPr>
            <w:tcW w:w="760" w:type="pct"/>
            <w:shd w:val="clear" w:color="auto" w:fill="C6EFCE"/>
            <w:hideMark/>
          </w:tcPr>
          <w:p w14:paraId="46882954"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Profesionalizācijas stratēģijas pieņemšana, kurā iekļauti konkrēti rīcības virzieni attiecībā uz iepirkumu veicēju kompetenci un centralizēto iepirkumu veikšanu.</w:t>
            </w:r>
          </w:p>
        </w:tc>
      </w:tr>
      <w:tr w:rsidR="001A3E6F" w:rsidRPr="00A116F8" w14:paraId="40C9E71A" w14:textId="77777777" w:rsidTr="009E7D55">
        <w:trPr>
          <w:jc w:val="center"/>
        </w:trPr>
        <w:tc>
          <w:tcPr>
            <w:tcW w:w="163" w:type="pct"/>
            <w:shd w:val="clear" w:color="auto" w:fill="C6EFCE"/>
            <w:hideMark/>
          </w:tcPr>
          <w:p w14:paraId="3A477D29"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211</w:t>
            </w:r>
          </w:p>
        </w:tc>
        <w:tc>
          <w:tcPr>
            <w:tcW w:w="314" w:type="pct"/>
            <w:shd w:val="clear" w:color="auto" w:fill="C6EFCE"/>
            <w:hideMark/>
          </w:tcPr>
          <w:p w14:paraId="6399578C"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 xml:space="preserve">6.4.3.r. Profesionalizācijas stratēģijas </w:t>
            </w:r>
            <w:r w:rsidRPr="00A116F8">
              <w:rPr>
                <w:rFonts w:ascii="Times New Roman" w:hAnsi="Times New Roman"/>
                <w:b/>
                <w:sz w:val="16"/>
                <w:szCs w:val="18"/>
              </w:rPr>
              <w:lastRenderedPageBreak/>
              <w:t xml:space="preserve">izstrāde un īstenošana </w:t>
            </w:r>
          </w:p>
        </w:tc>
        <w:tc>
          <w:tcPr>
            <w:tcW w:w="270" w:type="pct"/>
            <w:shd w:val="clear" w:color="auto" w:fill="C6EFCE"/>
            <w:hideMark/>
          </w:tcPr>
          <w:p w14:paraId="0CC084E8"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lastRenderedPageBreak/>
              <w:t>Atskaites punkts</w:t>
            </w:r>
          </w:p>
        </w:tc>
        <w:tc>
          <w:tcPr>
            <w:tcW w:w="326" w:type="pct"/>
            <w:shd w:val="clear" w:color="auto" w:fill="C6EFCE"/>
            <w:hideMark/>
          </w:tcPr>
          <w:p w14:paraId="50B77319"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 xml:space="preserve">Grozījumi attiecīgajos tiesību aktos, </w:t>
            </w:r>
            <w:r w:rsidRPr="00A116F8">
              <w:rPr>
                <w:rFonts w:ascii="Times New Roman" w:hAnsi="Times New Roman"/>
                <w:sz w:val="16"/>
                <w:szCs w:val="18"/>
              </w:rPr>
              <w:lastRenderedPageBreak/>
              <w:t>noteikumos un iekšējās procedūrās</w:t>
            </w:r>
          </w:p>
        </w:tc>
        <w:tc>
          <w:tcPr>
            <w:tcW w:w="336" w:type="pct"/>
            <w:shd w:val="clear" w:color="auto" w:fill="C6EFCE"/>
            <w:hideMark/>
          </w:tcPr>
          <w:p w14:paraId="28C7767A"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lastRenderedPageBreak/>
              <w:t xml:space="preserve">Attiecīgo tiesību aktu, noteikumu vai </w:t>
            </w:r>
            <w:r w:rsidRPr="00A116F8">
              <w:rPr>
                <w:rFonts w:ascii="Times New Roman" w:hAnsi="Times New Roman"/>
                <w:sz w:val="16"/>
                <w:szCs w:val="18"/>
              </w:rPr>
              <w:lastRenderedPageBreak/>
              <w:t>iekšējo procedūru grozījumu stāšanās spēkā</w:t>
            </w:r>
          </w:p>
        </w:tc>
        <w:tc>
          <w:tcPr>
            <w:tcW w:w="298" w:type="pct"/>
            <w:shd w:val="clear" w:color="auto" w:fill="C6EFCE"/>
            <w:hideMark/>
          </w:tcPr>
          <w:p w14:paraId="0718EB7C"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70" w:type="pct"/>
            <w:shd w:val="clear" w:color="auto" w:fill="C6EFCE"/>
            <w:hideMark/>
          </w:tcPr>
          <w:p w14:paraId="620E9A42"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03" w:type="pct"/>
            <w:shd w:val="clear" w:color="auto" w:fill="C6EFCE"/>
            <w:hideMark/>
          </w:tcPr>
          <w:p w14:paraId="6540C83E"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136" w:type="pct"/>
            <w:shd w:val="clear" w:color="auto" w:fill="C6EFCE"/>
            <w:hideMark/>
          </w:tcPr>
          <w:p w14:paraId="014ECC71"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4. cet.</w:t>
            </w:r>
          </w:p>
        </w:tc>
        <w:tc>
          <w:tcPr>
            <w:tcW w:w="193" w:type="pct"/>
            <w:shd w:val="clear" w:color="auto" w:fill="C6EFCE"/>
            <w:hideMark/>
          </w:tcPr>
          <w:p w14:paraId="4705BD54"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2022</w:t>
            </w:r>
          </w:p>
        </w:tc>
        <w:tc>
          <w:tcPr>
            <w:tcW w:w="407" w:type="pct"/>
            <w:shd w:val="clear" w:color="auto" w:fill="C6EFCE"/>
          </w:tcPr>
          <w:p w14:paraId="423D14C9"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bookmarkStart w:id="32" w:name="_Hlk89673884"/>
            <w:r w:rsidRPr="00A116F8">
              <w:rPr>
                <w:rFonts w:ascii="Times New Roman" w:hAnsi="Times New Roman"/>
                <w:sz w:val="16"/>
                <w:szCs w:val="18"/>
              </w:rPr>
              <w:t>Iepirkumu uzraudzības birojs</w:t>
            </w:r>
            <w:bookmarkEnd w:id="32"/>
            <w:r w:rsidRPr="00A116F8">
              <w:rPr>
                <w:rFonts w:ascii="Times New Roman" w:hAnsi="Times New Roman"/>
                <w:sz w:val="16"/>
                <w:szCs w:val="18"/>
              </w:rPr>
              <w:t xml:space="preserve">, Valsts </w:t>
            </w:r>
            <w:r w:rsidRPr="00A116F8">
              <w:rPr>
                <w:rFonts w:ascii="Times New Roman" w:hAnsi="Times New Roman"/>
                <w:sz w:val="16"/>
                <w:szCs w:val="18"/>
              </w:rPr>
              <w:lastRenderedPageBreak/>
              <w:t>administrācijas skola, Valsts kanceleja, Ekonomikas ministrija</w:t>
            </w:r>
          </w:p>
        </w:tc>
        <w:tc>
          <w:tcPr>
            <w:tcW w:w="370" w:type="pct"/>
            <w:shd w:val="clear" w:color="auto" w:fill="C6EFCE"/>
          </w:tcPr>
          <w:p w14:paraId="3C533D1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605B3534"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 xml:space="preserve">Kopsavilkuma dokuments, kurā pienācīgi </w:t>
            </w:r>
            <w:r w:rsidRPr="00A116F8">
              <w:rPr>
                <w:rFonts w:ascii="Times New Roman" w:hAnsi="Times New Roman"/>
                <w:sz w:val="16"/>
                <w:szCs w:val="18"/>
              </w:rPr>
              <w:lastRenderedPageBreak/>
              <w:t>pamatots, kā tika apmierinoši sasniegts atskaites punkts (tostarp visi būtiskie elementi), kopā ar atbilstošām saitēm uz pamatojošajiem pierādījumiem.</w:t>
            </w:r>
          </w:p>
          <w:p w14:paraId="2614FF48"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 xml:space="preserve">Šā dokumenta pielikumā iekļauj </w:t>
            </w:r>
            <w:bookmarkStart w:id="33" w:name="_Hlk85527710"/>
            <w:r w:rsidRPr="00A116F8">
              <w:rPr>
                <w:rFonts w:ascii="Times New Roman" w:hAnsi="Times New Roman"/>
                <w:sz w:val="16"/>
                <w:szCs w:val="18"/>
              </w:rPr>
              <w:t>šādus dokumentārus pierādījumus:</w:t>
            </w:r>
          </w:p>
          <w:p w14:paraId="0E923C82"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t>a) kopiju standartizēto kvalifikācijas prasību pa nozarēm publikācijai (un saiti uz to) tīmekļvietnē iub.gov.lv;</w:t>
            </w:r>
          </w:p>
          <w:p w14:paraId="1B28086B"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t>b) kopiju Ministru kabineta noteikumu par standartizētiem pieņemšanas–nodošanas dokumentiem būvdarbu iepirkumos publikācijai oficiālajā izdevumā (un saiti uz to);</w:t>
            </w:r>
          </w:p>
          <w:p w14:paraId="69D7A565"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c) publiska pieejamu saiti uz metodiskajiem materiāliem tīmekļvietnē iub.gov.lv;</w:t>
            </w:r>
          </w:p>
          <w:p w14:paraId="10F0FA32"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t xml:space="preserve">d) vienotas mācību </w:t>
            </w:r>
            <w:r w:rsidRPr="00A116F8">
              <w:rPr>
                <w:rFonts w:ascii="Times New Roman" w:hAnsi="Times New Roman"/>
                <w:sz w:val="16"/>
                <w:szCs w:val="18"/>
              </w:rPr>
              <w:lastRenderedPageBreak/>
              <w:t>programmas kopiju ar mērķi nodrošināt iepirkuma veicēju kompetences pilnveidi un īstenošanu Valsts administrācijas skolā;</w:t>
            </w:r>
          </w:p>
          <w:p w14:paraId="07BB163A"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xml:space="preserve">e) attiecīgo vadlīniju vai tiesību akta kopiju (un saiti uz to), lai palielinātu </w:t>
            </w:r>
            <w:bookmarkEnd w:id="33"/>
            <w:r w:rsidRPr="00A116F8">
              <w:rPr>
                <w:rFonts w:ascii="Times New Roman" w:hAnsi="Times New Roman"/>
                <w:sz w:val="16"/>
                <w:szCs w:val="18"/>
              </w:rPr>
              <w:t>prasības iepirkuma komisijas kompetencei iepirkumos, kuri sasniedz noteiktu līgumcenu slieksni;</w:t>
            </w:r>
          </w:p>
          <w:p w14:paraId="2F505C2E"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f) attiecīgo iekšējo darbības noteikumu vai tiesību akta kopiju (un saiti uz to), lai nodrošinātu, ka iepirkuma komisija izsludina atbilstošu piedāvājumu kvalitāti (riska izvērtējumā balstītu iepirkumu uzraudzību).</w:t>
            </w:r>
          </w:p>
        </w:tc>
        <w:tc>
          <w:tcPr>
            <w:tcW w:w="760" w:type="pct"/>
            <w:shd w:val="clear" w:color="auto" w:fill="C6EFCE"/>
            <w:hideMark/>
          </w:tcPr>
          <w:p w14:paraId="38ED1186"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lastRenderedPageBreak/>
              <w:t>Pabeigta šādu dokumentu pieņemšana:</w:t>
            </w:r>
          </w:p>
          <w:p w14:paraId="79C62016"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lastRenderedPageBreak/>
              <w:t>1) standartizētas kvalifikācijas prasības pa nozarēm (informācijas un komunikācijas tehnoloģijas, būvniecība, autotransports, mobilo un fiksēto sakaru pakalpojumi), 2) standartizēti pieņemšanas–nodošanas dokumenti būvdarbu iepirkumos, 3) publiska metodisko materiālu pieejamība, 4) vienota mācību programma ar mērķi nodrošināt iepirkuma veicēju kompetences pilnveidi un īstenošanu, 5) paaugstinātas prasības iepirkuma komisijas kompetencei iepirkumos, kuri sasniedz noteiktu līgumcenu slieksni, piemēram, iepirkuma komisijas priekšsēdētāja sertifikācija, 6) iepirkumu pirmspārbaude nodrošina, ka iepirkuma komisija izsludina atbilstošu piedāvājumu kvalitāti.</w:t>
            </w:r>
          </w:p>
        </w:tc>
      </w:tr>
      <w:tr w:rsidR="001A3E6F" w:rsidRPr="00A116F8" w14:paraId="6AADB320" w14:textId="77777777" w:rsidTr="009E7D55">
        <w:trPr>
          <w:jc w:val="center"/>
        </w:trPr>
        <w:tc>
          <w:tcPr>
            <w:tcW w:w="163" w:type="pct"/>
            <w:shd w:val="clear" w:color="auto" w:fill="C6EFCE"/>
            <w:hideMark/>
          </w:tcPr>
          <w:p w14:paraId="1CB394B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lastRenderedPageBreak/>
              <w:t>212</w:t>
            </w:r>
          </w:p>
        </w:tc>
        <w:tc>
          <w:tcPr>
            <w:tcW w:w="314" w:type="pct"/>
            <w:shd w:val="clear" w:color="auto" w:fill="C6EFCE"/>
            <w:hideMark/>
          </w:tcPr>
          <w:p w14:paraId="305CA970"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 xml:space="preserve">6.4.3.r. Profesionalizācijas stratēģijas izstrāde un īstenošana </w:t>
            </w:r>
          </w:p>
        </w:tc>
        <w:tc>
          <w:tcPr>
            <w:tcW w:w="270" w:type="pct"/>
            <w:shd w:val="clear" w:color="auto" w:fill="C6EFCE"/>
            <w:hideMark/>
          </w:tcPr>
          <w:p w14:paraId="6DDD04AD"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Atskaites punkts</w:t>
            </w:r>
          </w:p>
        </w:tc>
        <w:tc>
          <w:tcPr>
            <w:tcW w:w="326" w:type="pct"/>
            <w:shd w:val="clear" w:color="auto" w:fill="C6EFCE"/>
            <w:hideMark/>
          </w:tcPr>
          <w:p w14:paraId="53095CA1"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 xml:space="preserve">To tiesību aktu stāšanās spēkā, ar kuriem īsteno iepirkumu centralizāciju </w:t>
            </w:r>
          </w:p>
        </w:tc>
        <w:tc>
          <w:tcPr>
            <w:tcW w:w="336" w:type="pct"/>
            <w:shd w:val="clear" w:color="auto" w:fill="C6EFCE"/>
            <w:hideMark/>
          </w:tcPr>
          <w:p w14:paraId="29336907"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Attiecīgo tiesību aktu stāšanās spēkā</w:t>
            </w:r>
          </w:p>
        </w:tc>
        <w:tc>
          <w:tcPr>
            <w:tcW w:w="298" w:type="pct"/>
            <w:shd w:val="clear" w:color="auto" w:fill="C6EFCE"/>
            <w:hideMark/>
          </w:tcPr>
          <w:p w14:paraId="3450F188"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70" w:type="pct"/>
            <w:shd w:val="clear" w:color="auto" w:fill="C6EFCE"/>
            <w:hideMark/>
          </w:tcPr>
          <w:p w14:paraId="204ECCE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03" w:type="pct"/>
            <w:shd w:val="clear" w:color="auto" w:fill="C6EFCE"/>
            <w:hideMark/>
          </w:tcPr>
          <w:p w14:paraId="0A17228B"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136" w:type="pct"/>
            <w:shd w:val="clear" w:color="auto" w:fill="C6EFCE"/>
            <w:hideMark/>
          </w:tcPr>
          <w:p w14:paraId="3494EE90"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3. cet.</w:t>
            </w:r>
          </w:p>
        </w:tc>
        <w:tc>
          <w:tcPr>
            <w:tcW w:w="193" w:type="pct"/>
            <w:shd w:val="clear" w:color="auto" w:fill="C6EFCE"/>
            <w:hideMark/>
          </w:tcPr>
          <w:p w14:paraId="5090C967"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2026</w:t>
            </w:r>
          </w:p>
        </w:tc>
        <w:tc>
          <w:tcPr>
            <w:tcW w:w="407" w:type="pct"/>
            <w:shd w:val="clear" w:color="auto" w:fill="C6EFCE"/>
          </w:tcPr>
          <w:p w14:paraId="5D8B4C02"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Finanšu ministrija</w:t>
            </w:r>
          </w:p>
        </w:tc>
        <w:tc>
          <w:tcPr>
            <w:tcW w:w="370" w:type="pct"/>
            <w:shd w:val="clear" w:color="auto" w:fill="C6EFCE"/>
          </w:tcPr>
          <w:p w14:paraId="43EFCF87"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61F94FF9"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 xml:space="preserve">Kopsavilkuma dokuments, kurā pienācīgi pamatots, kā tika apmierinoši sasniegts atskaites punkts (tostarp visi būtiskie elementi, jo īpaši saikne </w:t>
            </w:r>
            <w:r w:rsidRPr="00A116F8">
              <w:rPr>
                <w:rFonts w:ascii="Times New Roman" w:hAnsi="Times New Roman"/>
                <w:sz w:val="16"/>
                <w:szCs w:val="18"/>
              </w:rPr>
              <w:lastRenderedPageBreak/>
              <w:t>starp lēmumu un iepriekšējo iespēju izpēti), kopā ar atbilstošām saitēm uz pamatojošajiem pierādījumiem.</w:t>
            </w:r>
          </w:p>
          <w:p w14:paraId="347DECCF"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Šā dokumenta pielikumā iekļauj šādus dokumentārus pierādījumus:</w:t>
            </w:r>
          </w:p>
          <w:p w14:paraId="5DF28382"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t>a) kopiju Ministru kabineta lēmuma par noteiktu publiskā iepirkuma daļu centralizāciju publikāciju oficiālajā izdevumā un saiti uz to, tostarp atsauci uz noteikumu, kurā norādīta stāšanās spēkā;</w:t>
            </w:r>
          </w:p>
          <w:p w14:paraId="3BAC08EA"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b) tās iespēju izpētes kopiju, kas ir lēmuma pamatā.</w:t>
            </w:r>
          </w:p>
        </w:tc>
        <w:tc>
          <w:tcPr>
            <w:tcW w:w="760" w:type="pct"/>
            <w:shd w:val="clear" w:color="auto" w:fill="C6EFCE"/>
            <w:hideMark/>
          </w:tcPr>
          <w:p w14:paraId="51DEC80E" w14:textId="77777777" w:rsidR="001A3E6F" w:rsidRPr="00A116F8" w:rsidRDefault="001A3E6F" w:rsidP="00A116F8">
            <w:pPr>
              <w:widowControl w:val="0"/>
              <w:spacing w:after="0" w:line="240" w:lineRule="auto"/>
              <w:ind w:left="57" w:right="57"/>
              <w:rPr>
                <w:rFonts w:ascii="Times New Roman" w:hAnsi="Times New Roman" w:cs="Times New Roman"/>
                <w:noProof/>
                <w:sz w:val="16"/>
                <w:szCs w:val="18"/>
              </w:rPr>
            </w:pPr>
            <w:r w:rsidRPr="00A116F8">
              <w:rPr>
                <w:rFonts w:ascii="Times New Roman" w:hAnsi="Times New Roman"/>
                <w:sz w:val="16"/>
                <w:szCs w:val="18"/>
              </w:rPr>
              <w:lastRenderedPageBreak/>
              <w:t>Ministru kabineta lēmuma stāšanās spēkā attiecībā uz centralizēto iepirkumu izpildi noteiktās jomās, kas tiks noteiktas iepriekšējā iespēju izpētē.</w:t>
            </w:r>
          </w:p>
        </w:tc>
      </w:tr>
      <w:tr w:rsidR="001A3E6F" w:rsidRPr="00A116F8" w14:paraId="577B0D29" w14:textId="77777777" w:rsidTr="009E7D55">
        <w:trPr>
          <w:jc w:val="center"/>
        </w:trPr>
        <w:tc>
          <w:tcPr>
            <w:tcW w:w="163" w:type="pct"/>
            <w:shd w:val="clear" w:color="auto" w:fill="C6EFCE"/>
            <w:hideMark/>
          </w:tcPr>
          <w:p w14:paraId="24BDBE00"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213</w:t>
            </w:r>
          </w:p>
        </w:tc>
        <w:tc>
          <w:tcPr>
            <w:tcW w:w="314" w:type="pct"/>
            <w:shd w:val="clear" w:color="auto" w:fill="C6EFCE"/>
            <w:hideMark/>
          </w:tcPr>
          <w:p w14:paraId="1E2EC4A4"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6.4.4.r.</w:t>
            </w:r>
          </w:p>
          <w:p w14:paraId="033A9BBA"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IUB IT un analītiskās kapacitātes celšana</w:t>
            </w:r>
          </w:p>
        </w:tc>
        <w:tc>
          <w:tcPr>
            <w:tcW w:w="270" w:type="pct"/>
            <w:shd w:val="clear" w:color="auto" w:fill="C6EFCE"/>
            <w:hideMark/>
          </w:tcPr>
          <w:p w14:paraId="7A74E15E"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Atskaites punkts</w:t>
            </w:r>
          </w:p>
        </w:tc>
        <w:tc>
          <w:tcPr>
            <w:tcW w:w="326" w:type="pct"/>
            <w:shd w:val="clear" w:color="auto" w:fill="C6EFCE"/>
            <w:hideMark/>
          </w:tcPr>
          <w:p w14:paraId="70F6D932"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Kritēriju pieņemšana riskantu tirgus sektoru, pasūtītāju un iepirkumu noteikšanai</w:t>
            </w:r>
          </w:p>
        </w:tc>
        <w:tc>
          <w:tcPr>
            <w:tcW w:w="336" w:type="pct"/>
            <w:shd w:val="clear" w:color="auto" w:fill="C6EFCE"/>
            <w:hideMark/>
          </w:tcPr>
          <w:p w14:paraId="48F74248"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Neattiecas</w:t>
            </w:r>
          </w:p>
        </w:tc>
        <w:tc>
          <w:tcPr>
            <w:tcW w:w="298" w:type="pct"/>
            <w:shd w:val="clear" w:color="auto" w:fill="C6EFCE"/>
            <w:hideMark/>
          </w:tcPr>
          <w:p w14:paraId="50B6AC61"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70" w:type="pct"/>
            <w:shd w:val="clear" w:color="auto" w:fill="C6EFCE"/>
            <w:hideMark/>
          </w:tcPr>
          <w:p w14:paraId="0AFFF87B"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03" w:type="pct"/>
            <w:shd w:val="clear" w:color="auto" w:fill="C6EFCE"/>
            <w:hideMark/>
          </w:tcPr>
          <w:p w14:paraId="18EC4819"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136" w:type="pct"/>
            <w:shd w:val="clear" w:color="auto" w:fill="C6EFCE"/>
            <w:hideMark/>
          </w:tcPr>
          <w:p w14:paraId="3B96B083"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4. cet.</w:t>
            </w:r>
          </w:p>
        </w:tc>
        <w:tc>
          <w:tcPr>
            <w:tcW w:w="193" w:type="pct"/>
            <w:shd w:val="clear" w:color="auto" w:fill="C6EFCE"/>
            <w:hideMark/>
          </w:tcPr>
          <w:p w14:paraId="1EFE6BBB"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2021</w:t>
            </w:r>
          </w:p>
        </w:tc>
        <w:tc>
          <w:tcPr>
            <w:tcW w:w="407" w:type="pct"/>
            <w:shd w:val="clear" w:color="auto" w:fill="C6EFCE"/>
          </w:tcPr>
          <w:p w14:paraId="2177AC1E"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 xml:space="preserve">Iepirkumu uzraudzības birojs </w:t>
            </w:r>
          </w:p>
        </w:tc>
        <w:tc>
          <w:tcPr>
            <w:tcW w:w="370" w:type="pct"/>
            <w:shd w:val="clear" w:color="auto" w:fill="C6EFCE"/>
          </w:tcPr>
          <w:p w14:paraId="0712C3CF"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75EE858F"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Kopsavilkuma dokuments, kurā pienācīgi pamatots, kā tika apmierinoši sasniegts atskaites punkts (tostarp visi būtiskie elementi), kopā ar atbilstošām saitēm uz pamatojošajiem pierādījumiem.</w:t>
            </w:r>
          </w:p>
          <w:p w14:paraId="5A86A2FA" w14:textId="77777777" w:rsidR="001A3E6F" w:rsidRPr="00A116F8" w:rsidRDefault="001A3E6F" w:rsidP="00A116F8">
            <w:pPr>
              <w:widowControl w:val="0"/>
              <w:spacing w:after="0" w:line="240" w:lineRule="auto"/>
              <w:ind w:left="57" w:right="57"/>
              <w:rPr>
                <w:rFonts w:ascii="Times New Roman" w:hAnsi="Times New Roman"/>
                <w:noProof/>
                <w:sz w:val="16"/>
                <w:szCs w:val="18"/>
              </w:rPr>
            </w:pPr>
            <w:r w:rsidRPr="00A116F8">
              <w:rPr>
                <w:rFonts w:ascii="Times New Roman" w:hAnsi="Times New Roman"/>
                <w:sz w:val="16"/>
                <w:szCs w:val="18"/>
              </w:rPr>
              <w:t xml:space="preserve">Šā dokumenta pielikumā iekļauj tā dokumenta kopiju, kurā </w:t>
            </w:r>
            <w:r w:rsidRPr="00A116F8">
              <w:rPr>
                <w:rFonts w:ascii="Times New Roman" w:hAnsi="Times New Roman"/>
                <w:sz w:val="16"/>
                <w:szCs w:val="18"/>
              </w:rPr>
              <w:lastRenderedPageBreak/>
              <w:t>noteikti apstiprinātie riskantu tirgus sektoru, pasūtītāju un iepirkuma procedūru kritēriji. Kritēriju kopuma pamatā ir iepirkuma publikāciju rādītāji un EK iepirkuma rādītāji, kā arī citu valstu labā prakse, piemēram, indeksa rīks.</w:t>
            </w:r>
          </w:p>
        </w:tc>
        <w:tc>
          <w:tcPr>
            <w:tcW w:w="760" w:type="pct"/>
            <w:shd w:val="clear" w:color="auto" w:fill="C6EFCE"/>
            <w:hideMark/>
          </w:tcPr>
          <w:p w14:paraId="7A273D8A"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lastRenderedPageBreak/>
              <w:t>Apstiprināti kritēriji riskantu tirgus sektoru, pasūtītāju un iepirkuma procedūru noteikšanai.</w:t>
            </w:r>
          </w:p>
          <w:p w14:paraId="4E70C67A"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Kritēriju kopuma pamatā ir iepirkuma publikāciju rādītāji un EK iepirkuma rādītāji, kā arī citu valstu labā prakse, piemēram, indeksa rīks.</w:t>
            </w:r>
          </w:p>
        </w:tc>
      </w:tr>
      <w:tr w:rsidR="001A3E6F" w:rsidRPr="00A116F8" w14:paraId="404E7499" w14:textId="77777777" w:rsidTr="009E7D55">
        <w:trPr>
          <w:jc w:val="center"/>
        </w:trPr>
        <w:tc>
          <w:tcPr>
            <w:tcW w:w="163" w:type="pct"/>
            <w:shd w:val="clear" w:color="auto" w:fill="C6EFCE"/>
            <w:hideMark/>
          </w:tcPr>
          <w:p w14:paraId="26B4CBBE"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214</w:t>
            </w:r>
          </w:p>
        </w:tc>
        <w:tc>
          <w:tcPr>
            <w:tcW w:w="314" w:type="pct"/>
            <w:shd w:val="clear" w:color="auto" w:fill="C6EFCE"/>
            <w:hideMark/>
          </w:tcPr>
          <w:p w14:paraId="00F8F671"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6.4.4.r.</w:t>
            </w:r>
          </w:p>
          <w:p w14:paraId="6A130C4A"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6"/>
                <w:szCs w:val="18"/>
              </w:rPr>
            </w:pPr>
            <w:r w:rsidRPr="00A116F8">
              <w:rPr>
                <w:rFonts w:ascii="Times New Roman" w:hAnsi="Times New Roman"/>
                <w:b/>
                <w:sz w:val="16"/>
                <w:szCs w:val="18"/>
              </w:rPr>
              <w:t>IUB IT un analītiskās kapacitātes celšana</w:t>
            </w:r>
          </w:p>
        </w:tc>
        <w:tc>
          <w:tcPr>
            <w:tcW w:w="270" w:type="pct"/>
            <w:shd w:val="clear" w:color="auto" w:fill="C6EFCE"/>
            <w:hideMark/>
          </w:tcPr>
          <w:p w14:paraId="77CB5869"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Atskaites punkts</w:t>
            </w:r>
          </w:p>
        </w:tc>
        <w:tc>
          <w:tcPr>
            <w:tcW w:w="326" w:type="pct"/>
            <w:shd w:val="clear" w:color="auto" w:fill="C6EFCE"/>
            <w:hideMark/>
          </w:tcPr>
          <w:p w14:paraId="4F0B9E2B"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Pabeigta publikāciju vadības sistēmas atjaunināšana</w:t>
            </w:r>
          </w:p>
        </w:tc>
        <w:tc>
          <w:tcPr>
            <w:tcW w:w="336" w:type="pct"/>
            <w:shd w:val="clear" w:color="auto" w:fill="C6EFCE"/>
            <w:hideMark/>
          </w:tcPr>
          <w:p w14:paraId="0BBFB25D"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Pabeigta publikāciju vadības sistēmas atjaunināšana</w:t>
            </w:r>
          </w:p>
        </w:tc>
        <w:tc>
          <w:tcPr>
            <w:tcW w:w="298" w:type="pct"/>
            <w:shd w:val="clear" w:color="auto" w:fill="C6EFCE"/>
            <w:hideMark/>
          </w:tcPr>
          <w:p w14:paraId="542A4BFC"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70" w:type="pct"/>
            <w:shd w:val="clear" w:color="auto" w:fill="C6EFCE"/>
            <w:hideMark/>
          </w:tcPr>
          <w:p w14:paraId="75B1F73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203" w:type="pct"/>
            <w:shd w:val="clear" w:color="auto" w:fill="C6EFCE"/>
            <w:hideMark/>
          </w:tcPr>
          <w:p w14:paraId="4765A557"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136" w:type="pct"/>
            <w:shd w:val="clear" w:color="auto" w:fill="C6EFCE"/>
            <w:hideMark/>
          </w:tcPr>
          <w:p w14:paraId="2184C277"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4. cet.</w:t>
            </w:r>
          </w:p>
        </w:tc>
        <w:tc>
          <w:tcPr>
            <w:tcW w:w="193" w:type="pct"/>
            <w:shd w:val="clear" w:color="auto" w:fill="C6EFCE"/>
            <w:hideMark/>
          </w:tcPr>
          <w:p w14:paraId="7D250A1F"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rPr>
            </w:pPr>
            <w:r w:rsidRPr="00A116F8">
              <w:rPr>
                <w:rFonts w:ascii="Times New Roman" w:hAnsi="Times New Roman"/>
                <w:sz w:val="16"/>
                <w:szCs w:val="18"/>
              </w:rPr>
              <w:t>2024</w:t>
            </w:r>
          </w:p>
        </w:tc>
        <w:tc>
          <w:tcPr>
            <w:tcW w:w="407" w:type="pct"/>
            <w:shd w:val="clear" w:color="auto" w:fill="C6EFCE"/>
          </w:tcPr>
          <w:p w14:paraId="11023EA0" w14:textId="77777777" w:rsidR="001A3E6F" w:rsidRPr="00A116F8" w:rsidRDefault="001A3E6F" w:rsidP="00A116F8">
            <w:pPr>
              <w:widowControl w:val="0"/>
              <w:spacing w:after="0" w:line="240" w:lineRule="auto"/>
              <w:ind w:left="57" w:right="57"/>
              <w:jc w:val="both"/>
              <w:rPr>
                <w:rFonts w:ascii="Times New Roman" w:hAnsi="Times New Roman" w:cs="Calibri"/>
                <w:noProof/>
                <w:sz w:val="16"/>
                <w:szCs w:val="18"/>
              </w:rPr>
            </w:pPr>
            <w:r w:rsidRPr="00A116F8">
              <w:rPr>
                <w:rFonts w:ascii="Times New Roman" w:hAnsi="Times New Roman"/>
                <w:sz w:val="16"/>
                <w:szCs w:val="18"/>
              </w:rPr>
              <w:t xml:space="preserve">Iepirkumu uzraudzības birojs </w:t>
            </w:r>
          </w:p>
        </w:tc>
        <w:tc>
          <w:tcPr>
            <w:tcW w:w="370" w:type="pct"/>
            <w:shd w:val="clear" w:color="auto" w:fill="C6EFCE"/>
          </w:tcPr>
          <w:p w14:paraId="1E29413D"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noProof/>
                <w:sz w:val="16"/>
                <w:szCs w:val="18"/>
                <w:lang w:eastAsia="en-GB"/>
              </w:rPr>
            </w:pPr>
          </w:p>
        </w:tc>
        <w:tc>
          <w:tcPr>
            <w:tcW w:w="955" w:type="pct"/>
            <w:shd w:val="clear" w:color="auto" w:fill="C6EFCE"/>
          </w:tcPr>
          <w:p w14:paraId="2FB89515"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Kopsavilkuma dokuments, kurā pienācīgi pamatots, kā tika apmierinoši sasniegts atskaites punkts (tostarp visi būtiskie elementi), kopā ar atbilstošām saitēm uz pamatojošajiem pierādījumiem.</w:t>
            </w:r>
          </w:p>
          <w:p w14:paraId="573C0AE3"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Šā dokumenta pielikumā iekļauj šādus dokumentārus pierādījumus:</w:t>
            </w:r>
          </w:p>
          <w:p w14:paraId="357A9283"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 xml:space="preserve">a) kopiju apliecinājumam par pabeigšanu, kas izsniegts saskaņā ar valsts tiesību aktiem un apliecina, ka publikāciju vadības sistēmas uzlabošana ir pabeigta un </w:t>
            </w:r>
            <w:r w:rsidRPr="00A116F8">
              <w:rPr>
                <w:rFonts w:ascii="Times New Roman" w:hAnsi="Times New Roman"/>
                <w:sz w:val="16"/>
                <w:szCs w:val="18"/>
              </w:rPr>
              <w:lastRenderedPageBreak/>
              <w:t>sistēma ir pieejama;</w:t>
            </w:r>
          </w:p>
          <w:p w14:paraId="3A538295"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b) saiti uz publiski pieejamām sistēmas daļām;</w:t>
            </w:r>
          </w:p>
          <w:p w14:paraId="30C5638C" w14:textId="77777777" w:rsidR="001A3E6F" w:rsidRPr="00A116F8" w:rsidRDefault="001A3E6F" w:rsidP="00A116F8">
            <w:pPr>
              <w:widowControl w:val="0"/>
              <w:spacing w:after="0" w:line="240" w:lineRule="auto"/>
              <w:ind w:left="57" w:right="57"/>
              <w:rPr>
                <w:rFonts w:ascii="Times New Roman" w:hAnsi="Times New Roman" w:cs="Calibri"/>
                <w:noProof/>
                <w:sz w:val="16"/>
                <w:szCs w:val="18"/>
              </w:rPr>
            </w:pPr>
            <w:r w:rsidRPr="00A116F8">
              <w:rPr>
                <w:rFonts w:ascii="Times New Roman" w:hAnsi="Times New Roman"/>
                <w:sz w:val="16"/>
                <w:szCs w:val="18"/>
              </w:rPr>
              <w:t>c) izrakstus no iekšējās sistēmas, kas pierāda tās funkcionalitāti atbilstoši atskaites punkta aprakstā paredzētajam.</w:t>
            </w:r>
          </w:p>
        </w:tc>
        <w:tc>
          <w:tcPr>
            <w:tcW w:w="760" w:type="pct"/>
            <w:shd w:val="clear" w:color="auto" w:fill="C6EFCE"/>
            <w:hideMark/>
          </w:tcPr>
          <w:p w14:paraId="1F88CE66"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lastRenderedPageBreak/>
              <w:t>Pieejama publikāciju vadības sistēma, kas nodrošina:</w:t>
            </w:r>
          </w:p>
          <w:p w14:paraId="5E62DF0B"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tiešsaistes piekļuvi;</w:t>
            </w:r>
          </w:p>
          <w:p w14:paraId="1213877C"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e-formu publicēšanu;</w:t>
            </w:r>
          </w:p>
          <w:p w14:paraId="12415566"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pārskatu par iepirkumu statistiku;</w:t>
            </w:r>
          </w:p>
          <w:p w14:paraId="6F75EA1E"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klientu profilu pieejamību;</w:t>
            </w:r>
          </w:p>
          <w:p w14:paraId="19A3665B"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iepirkumu sūdzību procesa moduli;</w:t>
            </w:r>
          </w:p>
          <w:p w14:paraId="2C9A6270"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pirmspārbaužu veikšanas moduli;</w:t>
            </w:r>
          </w:p>
          <w:p w14:paraId="39BF3110"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moduli administratīvā pārkāpumā procesa lietām;</w:t>
            </w:r>
          </w:p>
          <w:p w14:paraId="76CA0C80"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6"/>
                <w:szCs w:val="18"/>
              </w:rPr>
            </w:pPr>
            <w:r w:rsidRPr="00A116F8">
              <w:rPr>
                <w:rFonts w:ascii="Times New Roman" w:hAnsi="Times New Roman"/>
                <w:sz w:val="16"/>
                <w:szCs w:val="18"/>
              </w:rPr>
              <w:t>- sodītu personu pārbaudi pirms to iekļaušanas iepirkumu komisijā.</w:t>
            </w:r>
          </w:p>
        </w:tc>
      </w:tr>
    </w:tbl>
    <w:p w14:paraId="1CDBF337" w14:textId="77777777" w:rsidR="001A3E6F" w:rsidRPr="00481482" w:rsidRDefault="001A3E6F" w:rsidP="001A3E6F">
      <w:pPr>
        <w:widowControl w:val="0"/>
        <w:spacing w:after="0" w:line="240" w:lineRule="auto"/>
        <w:jc w:val="both"/>
        <w:rPr>
          <w:rFonts w:ascii="Times New Roman" w:hAnsi="Times New Roman" w:cs="Times New Roman"/>
          <w:noProof/>
          <w:sz w:val="24"/>
          <w:szCs w:val="24"/>
        </w:rPr>
      </w:pPr>
      <w:r>
        <w:br w:type="page"/>
      </w:r>
    </w:p>
    <w:p w14:paraId="3D0E5275" w14:textId="5FE12DA6" w:rsidR="001A3E6F" w:rsidRDefault="00790F21" w:rsidP="001A3E6F">
      <w:pPr>
        <w:widowControl w:val="0"/>
        <w:spacing w:after="0" w:line="240" w:lineRule="auto"/>
        <w:ind w:left="567"/>
        <w:jc w:val="both"/>
        <w:rPr>
          <w:rFonts w:ascii="Times New Roman" w:hAnsi="Times New Roman" w:cs="Times New Roman"/>
          <w:b/>
          <w:bCs/>
          <w:noProof/>
          <w:sz w:val="24"/>
          <w:szCs w:val="24"/>
        </w:rPr>
      </w:pPr>
      <w:r>
        <w:rPr>
          <w:rFonts w:ascii="Times New Roman" w:hAnsi="Times New Roman"/>
          <w:b/>
          <w:sz w:val="24"/>
        </w:rPr>
        <w:lastRenderedPageBreak/>
        <w:t>G</w:t>
      </w:r>
      <w:r w:rsidR="001A3E6F">
        <w:rPr>
          <w:rFonts w:ascii="Times New Roman" w:hAnsi="Times New Roman"/>
          <w:b/>
          <w:sz w:val="24"/>
        </w:rPr>
        <w:t xml:space="preserve">. KOMPONENTS NR. 7. </w:t>
      </w:r>
      <w:r w:rsidR="001A3E6F">
        <w:rPr>
          <w:rFonts w:ascii="Times New Roman" w:hAnsi="Times New Roman"/>
          <w:b/>
          <w:i/>
          <w:iCs/>
          <w:sz w:val="24"/>
        </w:rPr>
        <w:t>REPOWEREU</w:t>
      </w:r>
    </w:p>
    <w:p w14:paraId="697E254C" w14:textId="77777777" w:rsidR="001A3E6F" w:rsidRPr="00481482" w:rsidRDefault="001A3E6F" w:rsidP="001A3E6F">
      <w:pPr>
        <w:widowControl w:val="0"/>
        <w:spacing w:after="0" w:line="240" w:lineRule="auto"/>
        <w:jc w:val="both"/>
        <w:rPr>
          <w:rFonts w:ascii="Times New Roman" w:hAnsi="Times New Roman" w:cs="Times New Roman"/>
          <w:b/>
          <w:bCs/>
          <w:noProof/>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413"/>
        <w:gridCol w:w="1349"/>
        <w:gridCol w:w="820"/>
        <w:gridCol w:w="1229"/>
        <w:gridCol w:w="1229"/>
        <w:gridCol w:w="988"/>
        <w:gridCol w:w="859"/>
        <w:gridCol w:w="859"/>
        <w:gridCol w:w="943"/>
        <w:gridCol w:w="535"/>
        <w:gridCol w:w="924"/>
        <w:gridCol w:w="904"/>
        <w:gridCol w:w="1508"/>
        <w:gridCol w:w="1433"/>
      </w:tblGrid>
      <w:tr w:rsidR="00A116F8" w:rsidRPr="00A116F8" w14:paraId="1FA56A04" w14:textId="77777777" w:rsidTr="009E7D55">
        <w:trPr>
          <w:tblHeader/>
          <w:jc w:val="center"/>
        </w:trPr>
        <w:tc>
          <w:tcPr>
            <w:tcW w:w="148" w:type="pct"/>
            <w:vMerge w:val="restart"/>
            <w:shd w:val="clear" w:color="auto" w:fill="BDD7EE"/>
            <w:vAlign w:val="center"/>
            <w:hideMark/>
          </w:tcPr>
          <w:p w14:paraId="2769C9CD" w14:textId="77777777" w:rsidR="001A3E6F" w:rsidRPr="00A116F8" w:rsidRDefault="001A3E6F" w:rsidP="00A116F8">
            <w:pPr>
              <w:widowControl w:val="0"/>
              <w:spacing w:after="0" w:line="240" w:lineRule="auto"/>
              <w:ind w:left="57" w:right="57"/>
              <w:jc w:val="center"/>
              <w:rPr>
                <w:rFonts w:ascii="Times New Roman" w:eastAsia="Times New Roman" w:hAnsi="Times New Roman" w:cs="Times New Roman"/>
                <w:b/>
                <w:noProof/>
                <w:sz w:val="18"/>
                <w:szCs w:val="20"/>
              </w:rPr>
            </w:pPr>
            <w:r w:rsidRPr="00A116F8">
              <w:rPr>
                <w:rFonts w:ascii="Times New Roman" w:hAnsi="Times New Roman"/>
                <w:b/>
                <w:sz w:val="18"/>
                <w:szCs w:val="20"/>
              </w:rPr>
              <w:t>#</w:t>
            </w:r>
          </w:p>
        </w:tc>
        <w:tc>
          <w:tcPr>
            <w:tcW w:w="482" w:type="pct"/>
            <w:vMerge w:val="restart"/>
            <w:shd w:val="clear" w:color="auto" w:fill="BDD7EE"/>
            <w:vAlign w:val="center"/>
            <w:hideMark/>
          </w:tcPr>
          <w:p w14:paraId="206F743F" w14:textId="77777777" w:rsidR="001A3E6F" w:rsidRPr="00A116F8" w:rsidRDefault="001A3E6F" w:rsidP="00A116F8">
            <w:pPr>
              <w:widowControl w:val="0"/>
              <w:spacing w:after="0" w:line="240" w:lineRule="auto"/>
              <w:ind w:left="57" w:right="57"/>
              <w:jc w:val="center"/>
              <w:rPr>
                <w:rFonts w:ascii="Times New Roman" w:eastAsia="Times New Roman" w:hAnsi="Times New Roman" w:cs="Times New Roman"/>
                <w:b/>
                <w:bCs/>
                <w:noProof/>
                <w:sz w:val="18"/>
                <w:szCs w:val="20"/>
              </w:rPr>
            </w:pPr>
            <w:r w:rsidRPr="00A116F8">
              <w:rPr>
                <w:rFonts w:ascii="Times New Roman" w:hAnsi="Times New Roman"/>
                <w:b/>
                <w:sz w:val="18"/>
                <w:szCs w:val="20"/>
              </w:rPr>
              <w:t>Saistītais pasākums (reforma vai investīcija)</w:t>
            </w:r>
          </w:p>
        </w:tc>
        <w:tc>
          <w:tcPr>
            <w:tcW w:w="293" w:type="pct"/>
            <w:vMerge w:val="restart"/>
            <w:shd w:val="clear" w:color="auto" w:fill="BDD7EE"/>
            <w:vAlign w:val="center"/>
            <w:hideMark/>
          </w:tcPr>
          <w:p w14:paraId="6ECB6642" w14:textId="77777777" w:rsidR="001A3E6F" w:rsidRPr="00A116F8" w:rsidRDefault="001A3E6F" w:rsidP="00A116F8">
            <w:pPr>
              <w:widowControl w:val="0"/>
              <w:spacing w:after="0" w:line="240" w:lineRule="auto"/>
              <w:ind w:left="57" w:right="57"/>
              <w:jc w:val="center"/>
              <w:rPr>
                <w:rFonts w:ascii="Times New Roman" w:eastAsia="Times New Roman" w:hAnsi="Times New Roman" w:cs="Times New Roman"/>
                <w:b/>
                <w:bCs/>
                <w:noProof/>
                <w:sz w:val="18"/>
                <w:szCs w:val="20"/>
              </w:rPr>
            </w:pPr>
            <w:r w:rsidRPr="00A116F8">
              <w:rPr>
                <w:rFonts w:ascii="Times New Roman" w:hAnsi="Times New Roman"/>
                <w:b/>
                <w:sz w:val="18"/>
                <w:szCs w:val="20"/>
              </w:rPr>
              <w:t>Atskaites punkts / mērķis</w:t>
            </w:r>
          </w:p>
        </w:tc>
        <w:tc>
          <w:tcPr>
            <w:tcW w:w="439" w:type="pct"/>
            <w:vMerge w:val="restart"/>
            <w:shd w:val="clear" w:color="auto" w:fill="BDD7EE"/>
            <w:vAlign w:val="center"/>
            <w:hideMark/>
          </w:tcPr>
          <w:p w14:paraId="0C1ED5DC" w14:textId="77777777" w:rsidR="001A3E6F" w:rsidRPr="00A116F8" w:rsidRDefault="001A3E6F" w:rsidP="00A116F8">
            <w:pPr>
              <w:widowControl w:val="0"/>
              <w:spacing w:after="0" w:line="240" w:lineRule="auto"/>
              <w:ind w:left="57" w:right="57"/>
              <w:jc w:val="center"/>
              <w:rPr>
                <w:rFonts w:ascii="Times New Roman" w:eastAsia="Times New Roman" w:hAnsi="Times New Roman" w:cs="Times New Roman"/>
                <w:b/>
                <w:bCs/>
                <w:noProof/>
                <w:sz w:val="18"/>
                <w:szCs w:val="20"/>
              </w:rPr>
            </w:pPr>
            <w:r w:rsidRPr="00A116F8">
              <w:rPr>
                <w:rFonts w:ascii="Times New Roman" w:hAnsi="Times New Roman"/>
                <w:b/>
                <w:sz w:val="18"/>
                <w:szCs w:val="20"/>
              </w:rPr>
              <w:t>Nosaukums</w:t>
            </w:r>
          </w:p>
        </w:tc>
        <w:tc>
          <w:tcPr>
            <w:tcW w:w="439" w:type="pct"/>
            <w:vMerge w:val="restart"/>
            <w:shd w:val="clear" w:color="auto" w:fill="BDD7EE"/>
            <w:vAlign w:val="center"/>
            <w:hideMark/>
          </w:tcPr>
          <w:p w14:paraId="15FF1159" w14:textId="77777777" w:rsidR="001A3E6F" w:rsidRPr="00A116F8" w:rsidRDefault="001A3E6F" w:rsidP="00A116F8">
            <w:pPr>
              <w:widowControl w:val="0"/>
              <w:spacing w:after="0" w:line="240" w:lineRule="auto"/>
              <w:ind w:left="57" w:right="57"/>
              <w:jc w:val="center"/>
              <w:rPr>
                <w:rFonts w:ascii="Times New Roman" w:eastAsia="Times New Roman" w:hAnsi="Times New Roman" w:cs="Times New Roman"/>
                <w:b/>
                <w:bCs/>
                <w:noProof/>
                <w:sz w:val="18"/>
                <w:szCs w:val="20"/>
              </w:rPr>
            </w:pPr>
            <w:r w:rsidRPr="00A116F8">
              <w:rPr>
                <w:rFonts w:ascii="Times New Roman" w:hAnsi="Times New Roman"/>
                <w:b/>
                <w:sz w:val="18"/>
                <w:szCs w:val="20"/>
              </w:rPr>
              <w:t>Kvalitatīvie rādītāji</w:t>
            </w:r>
          </w:p>
          <w:p w14:paraId="75492E30" w14:textId="77777777" w:rsidR="001A3E6F" w:rsidRPr="00A116F8" w:rsidRDefault="001A3E6F" w:rsidP="00A116F8">
            <w:pPr>
              <w:widowControl w:val="0"/>
              <w:spacing w:after="0" w:line="240" w:lineRule="auto"/>
              <w:ind w:left="57" w:right="57"/>
              <w:jc w:val="center"/>
              <w:rPr>
                <w:rFonts w:ascii="Times New Roman" w:eastAsia="Times New Roman" w:hAnsi="Times New Roman" w:cs="Times New Roman"/>
                <w:b/>
                <w:bCs/>
                <w:noProof/>
                <w:sz w:val="18"/>
                <w:szCs w:val="20"/>
              </w:rPr>
            </w:pPr>
            <w:r w:rsidRPr="00A116F8">
              <w:rPr>
                <w:rFonts w:ascii="Times New Roman" w:hAnsi="Times New Roman"/>
                <w:b/>
                <w:sz w:val="18"/>
                <w:szCs w:val="20"/>
              </w:rPr>
              <w:t>(atskaites punktiem)</w:t>
            </w:r>
          </w:p>
        </w:tc>
        <w:tc>
          <w:tcPr>
            <w:tcW w:w="967" w:type="pct"/>
            <w:gridSpan w:val="3"/>
            <w:shd w:val="clear" w:color="auto" w:fill="BDD7EE"/>
            <w:vAlign w:val="center"/>
            <w:hideMark/>
          </w:tcPr>
          <w:p w14:paraId="137DE3BF" w14:textId="77777777" w:rsidR="001A3E6F" w:rsidRPr="00A116F8" w:rsidRDefault="001A3E6F" w:rsidP="00A116F8">
            <w:pPr>
              <w:widowControl w:val="0"/>
              <w:spacing w:after="0" w:line="240" w:lineRule="auto"/>
              <w:ind w:left="57" w:right="57"/>
              <w:jc w:val="center"/>
              <w:rPr>
                <w:rFonts w:ascii="Times New Roman" w:eastAsia="Times New Roman" w:hAnsi="Times New Roman" w:cs="Times New Roman"/>
                <w:b/>
                <w:bCs/>
                <w:noProof/>
                <w:sz w:val="18"/>
                <w:szCs w:val="20"/>
              </w:rPr>
            </w:pPr>
            <w:r w:rsidRPr="00A116F8">
              <w:rPr>
                <w:rFonts w:ascii="Times New Roman" w:hAnsi="Times New Roman"/>
                <w:b/>
                <w:sz w:val="18"/>
                <w:szCs w:val="20"/>
              </w:rPr>
              <w:t>Kvantitatīvie rādītāji</w:t>
            </w:r>
          </w:p>
          <w:p w14:paraId="5F96D70C" w14:textId="77777777" w:rsidR="001A3E6F" w:rsidRPr="00A116F8" w:rsidRDefault="001A3E6F" w:rsidP="00A116F8">
            <w:pPr>
              <w:widowControl w:val="0"/>
              <w:spacing w:after="0" w:line="240" w:lineRule="auto"/>
              <w:ind w:left="57" w:right="57"/>
              <w:jc w:val="center"/>
              <w:rPr>
                <w:rFonts w:ascii="Times New Roman" w:eastAsia="Times New Roman" w:hAnsi="Times New Roman" w:cs="Times New Roman"/>
                <w:b/>
                <w:bCs/>
                <w:noProof/>
                <w:sz w:val="18"/>
                <w:szCs w:val="20"/>
              </w:rPr>
            </w:pPr>
            <w:r w:rsidRPr="00A116F8">
              <w:rPr>
                <w:rFonts w:ascii="Times New Roman" w:hAnsi="Times New Roman"/>
                <w:b/>
                <w:sz w:val="18"/>
                <w:szCs w:val="20"/>
              </w:rPr>
              <w:t>(mērķiem)</w:t>
            </w:r>
          </w:p>
        </w:tc>
        <w:tc>
          <w:tcPr>
            <w:tcW w:w="528" w:type="pct"/>
            <w:gridSpan w:val="2"/>
            <w:shd w:val="clear" w:color="auto" w:fill="BDD7EE"/>
            <w:vAlign w:val="center"/>
            <w:hideMark/>
          </w:tcPr>
          <w:p w14:paraId="38C4DE32" w14:textId="77777777" w:rsidR="001A3E6F" w:rsidRPr="00A116F8" w:rsidRDefault="001A3E6F" w:rsidP="00A116F8">
            <w:pPr>
              <w:widowControl w:val="0"/>
              <w:spacing w:after="0" w:line="240" w:lineRule="auto"/>
              <w:ind w:left="57" w:right="57"/>
              <w:jc w:val="center"/>
              <w:rPr>
                <w:rFonts w:ascii="Times New Roman" w:eastAsia="Times New Roman" w:hAnsi="Times New Roman" w:cs="Times New Roman"/>
                <w:b/>
                <w:bCs/>
                <w:noProof/>
                <w:sz w:val="18"/>
                <w:szCs w:val="20"/>
              </w:rPr>
            </w:pPr>
            <w:r w:rsidRPr="00A116F8">
              <w:rPr>
                <w:rFonts w:ascii="Times New Roman" w:hAnsi="Times New Roman"/>
                <w:b/>
                <w:sz w:val="18"/>
                <w:szCs w:val="20"/>
              </w:rPr>
              <w:t>Orientējošs pabeigšanas grafiks</w:t>
            </w:r>
          </w:p>
        </w:tc>
        <w:tc>
          <w:tcPr>
            <w:tcW w:w="330" w:type="pct"/>
            <w:vMerge w:val="restart"/>
            <w:shd w:val="clear" w:color="auto" w:fill="BDD7EE"/>
            <w:vAlign w:val="center"/>
          </w:tcPr>
          <w:p w14:paraId="738D0126" w14:textId="77777777" w:rsidR="001A3E6F" w:rsidRPr="00A116F8" w:rsidRDefault="001A3E6F" w:rsidP="00A116F8">
            <w:pPr>
              <w:widowControl w:val="0"/>
              <w:spacing w:after="0" w:line="240" w:lineRule="auto"/>
              <w:ind w:left="57" w:right="57"/>
              <w:jc w:val="center"/>
              <w:rPr>
                <w:rFonts w:ascii="Times New Roman" w:hAnsi="Times New Roman" w:cs="Calibri"/>
                <w:b/>
                <w:noProof/>
                <w:sz w:val="18"/>
                <w:szCs w:val="20"/>
              </w:rPr>
            </w:pPr>
            <w:r w:rsidRPr="00A116F8">
              <w:rPr>
                <w:rFonts w:ascii="Times New Roman" w:hAnsi="Times New Roman"/>
                <w:b/>
                <w:sz w:val="18"/>
                <w:szCs w:val="20"/>
              </w:rPr>
              <w:t>Atbildība par ziņošanu un īstenošanu</w:t>
            </w:r>
          </w:p>
        </w:tc>
        <w:tc>
          <w:tcPr>
            <w:tcW w:w="323" w:type="pct"/>
            <w:vMerge w:val="restart"/>
            <w:shd w:val="clear" w:color="auto" w:fill="BDD7EE"/>
            <w:vAlign w:val="center"/>
          </w:tcPr>
          <w:p w14:paraId="0371F89C" w14:textId="77777777" w:rsidR="001A3E6F" w:rsidRPr="00A116F8" w:rsidRDefault="001A3E6F" w:rsidP="00A116F8">
            <w:pPr>
              <w:widowControl w:val="0"/>
              <w:spacing w:after="0" w:line="240" w:lineRule="auto"/>
              <w:ind w:left="57" w:right="57"/>
              <w:jc w:val="center"/>
              <w:rPr>
                <w:rFonts w:ascii="Times New Roman" w:hAnsi="Times New Roman" w:cs="Calibri"/>
                <w:b/>
                <w:noProof/>
                <w:sz w:val="18"/>
                <w:szCs w:val="20"/>
              </w:rPr>
            </w:pPr>
            <w:r w:rsidRPr="00A116F8">
              <w:rPr>
                <w:rFonts w:ascii="Times New Roman" w:hAnsi="Times New Roman"/>
                <w:b/>
                <w:sz w:val="18"/>
                <w:szCs w:val="20"/>
              </w:rPr>
              <w:t>Precizējums (ja nepieciešams)</w:t>
            </w:r>
          </w:p>
        </w:tc>
        <w:tc>
          <w:tcPr>
            <w:tcW w:w="539" w:type="pct"/>
            <w:vMerge w:val="restart"/>
            <w:shd w:val="clear" w:color="auto" w:fill="BDD7EE"/>
            <w:vAlign w:val="center"/>
          </w:tcPr>
          <w:p w14:paraId="465B1811" w14:textId="77777777" w:rsidR="001A3E6F" w:rsidRPr="00A116F8" w:rsidRDefault="001A3E6F" w:rsidP="00A116F8">
            <w:pPr>
              <w:widowControl w:val="0"/>
              <w:spacing w:after="0" w:line="240" w:lineRule="auto"/>
              <w:ind w:left="57" w:right="57"/>
              <w:jc w:val="center"/>
              <w:rPr>
                <w:rFonts w:ascii="Times New Roman" w:hAnsi="Times New Roman" w:cs="Calibri"/>
                <w:b/>
                <w:noProof/>
                <w:sz w:val="18"/>
                <w:szCs w:val="20"/>
              </w:rPr>
            </w:pPr>
            <w:r w:rsidRPr="00A116F8">
              <w:rPr>
                <w:rFonts w:ascii="Times New Roman" w:hAnsi="Times New Roman"/>
                <w:b/>
                <w:sz w:val="18"/>
                <w:szCs w:val="20"/>
              </w:rPr>
              <w:t>Pārbaudes mehānisms</w:t>
            </w:r>
          </w:p>
        </w:tc>
        <w:tc>
          <w:tcPr>
            <w:tcW w:w="512" w:type="pct"/>
            <w:vMerge w:val="restart"/>
            <w:shd w:val="clear" w:color="auto" w:fill="BDD7EE"/>
            <w:vAlign w:val="center"/>
            <w:hideMark/>
          </w:tcPr>
          <w:p w14:paraId="2FB72223" w14:textId="77777777" w:rsidR="001A3E6F" w:rsidRPr="00A116F8" w:rsidRDefault="001A3E6F" w:rsidP="00A116F8">
            <w:pPr>
              <w:widowControl w:val="0"/>
              <w:spacing w:after="0" w:line="240" w:lineRule="auto"/>
              <w:ind w:left="57" w:right="57"/>
              <w:jc w:val="center"/>
              <w:rPr>
                <w:rFonts w:ascii="Times New Roman" w:hAnsi="Times New Roman" w:cs="Calibri"/>
                <w:b/>
                <w:noProof/>
                <w:sz w:val="18"/>
                <w:szCs w:val="20"/>
              </w:rPr>
            </w:pPr>
            <w:r w:rsidRPr="00A116F8">
              <w:rPr>
                <w:rFonts w:ascii="Times New Roman" w:hAnsi="Times New Roman"/>
                <w:b/>
                <w:sz w:val="18"/>
                <w:szCs w:val="20"/>
              </w:rPr>
              <w:t>Atskaites punkta un mērķa apraksts</w:t>
            </w:r>
          </w:p>
        </w:tc>
      </w:tr>
      <w:tr w:rsidR="001A3E6F" w:rsidRPr="00A116F8" w14:paraId="566B1B94" w14:textId="77777777" w:rsidTr="00A116F8">
        <w:trPr>
          <w:trHeight w:val="559"/>
          <w:jc w:val="center"/>
        </w:trPr>
        <w:tc>
          <w:tcPr>
            <w:tcW w:w="148" w:type="pct"/>
            <w:vMerge/>
            <w:vAlign w:val="center"/>
            <w:hideMark/>
          </w:tcPr>
          <w:p w14:paraId="27E0D201"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8"/>
                <w:szCs w:val="20"/>
                <w:lang w:eastAsia="en-GB"/>
              </w:rPr>
            </w:pPr>
          </w:p>
        </w:tc>
        <w:tc>
          <w:tcPr>
            <w:tcW w:w="482" w:type="pct"/>
            <w:vMerge/>
            <w:vAlign w:val="center"/>
            <w:hideMark/>
          </w:tcPr>
          <w:p w14:paraId="76E52CD4"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8"/>
                <w:szCs w:val="20"/>
                <w:lang w:eastAsia="en-GB"/>
              </w:rPr>
            </w:pPr>
          </w:p>
        </w:tc>
        <w:tc>
          <w:tcPr>
            <w:tcW w:w="293" w:type="pct"/>
            <w:vMerge/>
            <w:vAlign w:val="center"/>
            <w:hideMark/>
          </w:tcPr>
          <w:p w14:paraId="50F5B142"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8"/>
                <w:szCs w:val="20"/>
                <w:lang w:eastAsia="en-GB"/>
              </w:rPr>
            </w:pPr>
          </w:p>
        </w:tc>
        <w:tc>
          <w:tcPr>
            <w:tcW w:w="439" w:type="pct"/>
            <w:vMerge/>
            <w:vAlign w:val="center"/>
            <w:hideMark/>
          </w:tcPr>
          <w:p w14:paraId="7C9E0EB5"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8"/>
                <w:szCs w:val="20"/>
                <w:lang w:eastAsia="en-GB"/>
              </w:rPr>
            </w:pPr>
          </w:p>
        </w:tc>
        <w:tc>
          <w:tcPr>
            <w:tcW w:w="439" w:type="pct"/>
            <w:vMerge/>
            <w:vAlign w:val="center"/>
            <w:hideMark/>
          </w:tcPr>
          <w:p w14:paraId="56A73EDF"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8"/>
                <w:szCs w:val="20"/>
                <w:lang w:eastAsia="en-GB"/>
              </w:rPr>
            </w:pPr>
          </w:p>
        </w:tc>
        <w:tc>
          <w:tcPr>
            <w:tcW w:w="353" w:type="pct"/>
            <w:shd w:val="clear" w:color="auto" w:fill="BDD7EE"/>
            <w:vAlign w:val="center"/>
            <w:hideMark/>
          </w:tcPr>
          <w:p w14:paraId="6923DA6F" w14:textId="77777777" w:rsidR="001A3E6F" w:rsidRPr="00A116F8" w:rsidRDefault="001A3E6F" w:rsidP="00A116F8">
            <w:pPr>
              <w:widowControl w:val="0"/>
              <w:spacing w:after="0" w:line="240" w:lineRule="auto"/>
              <w:ind w:left="57" w:right="57"/>
              <w:jc w:val="center"/>
              <w:rPr>
                <w:rFonts w:ascii="Times New Roman" w:eastAsia="Times New Roman" w:hAnsi="Times New Roman" w:cs="Times New Roman"/>
                <w:b/>
                <w:bCs/>
                <w:noProof/>
                <w:sz w:val="18"/>
                <w:szCs w:val="20"/>
              </w:rPr>
            </w:pPr>
            <w:r w:rsidRPr="00A116F8">
              <w:rPr>
                <w:rFonts w:ascii="Times New Roman" w:hAnsi="Times New Roman"/>
                <w:b/>
                <w:sz w:val="18"/>
                <w:szCs w:val="20"/>
              </w:rPr>
              <w:t>Mērvienība</w:t>
            </w:r>
          </w:p>
        </w:tc>
        <w:tc>
          <w:tcPr>
            <w:tcW w:w="307" w:type="pct"/>
            <w:shd w:val="clear" w:color="auto" w:fill="BDD7EE"/>
            <w:vAlign w:val="center"/>
            <w:hideMark/>
          </w:tcPr>
          <w:p w14:paraId="1F7FC3F8" w14:textId="77777777" w:rsidR="001A3E6F" w:rsidRPr="00A116F8" w:rsidRDefault="001A3E6F" w:rsidP="00A116F8">
            <w:pPr>
              <w:widowControl w:val="0"/>
              <w:spacing w:after="0" w:line="240" w:lineRule="auto"/>
              <w:ind w:left="57" w:right="57"/>
              <w:jc w:val="center"/>
              <w:rPr>
                <w:rFonts w:ascii="Times New Roman" w:eastAsia="Times New Roman" w:hAnsi="Times New Roman" w:cs="Times New Roman"/>
                <w:b/>
                <w:bCs/>
                <w:noProof/>
                <w:sz w:val="18"/>
                <w:szCs w:val="20"/>
              </w:rPr>
            </w:pPr>
            <w:r w:rsidRPr="00A116F8">
              <w:rPr>
                <w:rFonts w:ascii="Times New Roman" w:hAnsi="Times New Roman"/>
                <w:b/>
                <w:sz w:val="18"/>
                <w:szCs w:val="20"/>
              </w:rPr>
              <w:t>Bāze</w:t>
            </w:r>
          </w:p>
        </w:tc>
        <w:tc>
          <w:tcPr>
            <w:tcW w:w="307" w:type="pct"/>
            <w:shd w:val="clear" w:color="auto" w:fill="BDD7EE"/>
            <w:vAlign w:val="center"/>
            <w:hideMark/>
          </w:tcPr>
          <w:p w14:paraId="038DCD4D" w14:textId="77777777" w:rsidR="001A3E6F" w:rsidRPr="00A116F8" w:rsidRDefault="001A3E6F" w:rsidP="00A116F8">
            <w:pPr>
              <w:widowControl w:val="0"/>
              <w:spacing w:after="0" w:line="240" w:lineRule="auto"/>
              <w:ind w:left="57" w:right="57"/>
              <w:jc w:val="center"/>
              <w:rPr>
                <w:rFonts w:ascii="Times New Roman" w:eastAsia="Times New Roman" w:hAnsi="Times New Roman" w:cs="Times New Roman"/>
                <w:b/>
                <w:bCs/>
                <w:noProof/>
                <w:sz w:val="18"/>
                <w:szCs w:val="20"/>
              </w:rPr>
            </w:pPr>
            <w:r w:rsidRPr="00A116F8">
              <w:rPr>
                <w:rFonts w:ascii="Times New Roman" w:hAnsi="Times New Roman"/>
                <w:b/>
                <w:sz w:val="18"/>
                <w:szCs w:val="20"/>
              </w:rPr>
              <w:t>Mērķis</w:t>
            </w:r>
          </w:p>
        </w:tc>
        <w:tc>
          <w:tcPr>
            <w:tcW w:w="337" w:type="pct"/>
            <w:shd w:val="clear" w:color="auto" w:fill="BDD7EE"/>
            <w:vAlign w:val="center"/>
            <w:hideMark/>
          </w:tcPr>
          <w:p w14:paraId="7209AC08" w14:textId="77777777" w:rsidR="001A3E6F" w:rsidRPr="00A116F8" w:rsidRDefault="001A3E6F" w:rsidP="00A116F8">
            <w:pPr>
              <w:widowControl w:val="0"/>
              <w:spacing w:after="0" w:line="240" w:lineRule="auto"/>
              <w:ind w:left="57" w:right="57"/>
              <w:jc w:val="center"/>
              <w:rPr>
                <w:rFonts w:ascii="Times New Roman" w:eastAsia="Times New Roman" w:hAnsi="Times New Roman" w:cs="Times New Roman"/>
                <w:b/>
                <w:bCs/>
                <w:noProof/>
                <w:sz w:val="18"/>
                <w:szCs w:val="20"/>
              </w:rPr>
            </w:pPr>
            <w:r w:rsidRPr="00A116F8">
              <w:rPr>
                <w:rFonts w:ascii="Times New Roman" w:hAnsi="Times New Roman"/>
                <w:b/>
                <w:sz w:val="18"/>
                <w:szCs w:val="20"/>
              </w:rPr>
              <w:t>Ceturksnis</w:t>
            </w:r>
          </w:p>
        </w:tc>
        <w:tc>
          <w:tcPr>
            <w:tcW w:w="191" w:type="pct"/>
            <w:shd w:val="clear" w:color="auto" w:fill="BDD7EE"/>
            <w:vAlign w:val="center"/>
            <w:hideMark/>
          </w:tcPr>
          <w:p w14:paraId="78199D6C" w14:textId="77777777" w:rsidR="001A3E6F" w:rsidRPr="00A116F8" w:rsidRDefault="001A3E6F" w:rsidP="00A116F8">
            <w:pPr>
              <w:widowControl w:val="0"/>
              <w:spacing w:after="0" w:line="240" w:lineRule="auto"/>
              <w:ind w:left="57" w:right="57"/>
              <w:jc w:val="center"/>
              <w:rPr>
                <w:rFonts w:ascii="Times New Roman" w:eastAsia="Times New Roman" w:hAnsi="Times New Roman" w:cs="Times New Roman"/>
                <w:b/>
                <w:bCs/>
                <w:noProof/>
                <w:sz w:val="18"/>
                <w:szCs w:val="20"/>
              </w:rPr>
            </w:pPr>
            <w:r w:rsidRPr="00A116F8">
              <w:rPr>
                <w:rFonts w:ascii="Times New Roman" w:hAnsi="Times New Roman"/>
                <w:b/>
                <w:sz w:val="18"/>
                <w:szCs w:val="20"/>
              </w:rPr>
              <w:t>Gads</w:t>
            </w:r>
          </w:p>
        </w:tc>
        <w:tc>
          <w:tcPr>
            <w:tcW w:w="330" w:type="pct"/>
            <w:vMerge/>
          </w:tcPr>
          <w:p w14:paraId="09B93571"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8"/>
                <w:szCs w:val="20"/>
                <w:lang w:eastAsia="en-GB"/>
              </w:rPr>
            </w:pPr>
          </w:p>
        </w:tc>
        <w:tc>
          <w:tcPr>
            <w:tcW w:w="323" w:type="pct"/>
            <w:vMerge/>
          </w:tcPr>
          <w:p w14:paraId="2143F79C"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8"/>
                <w:szCs w:val="20"/>
                <w:lang w:eastAsia="en-GB"/>
              </w:rPr>
            </w:pPr>
          </w:p>
        </w:tc>
        <w:tc>
          <w:tcPr>
            <w:tcW w:w="539" w:type="pct"/>
            <w:vMerge/>
          </w:tcPr>
          <w:p w14:paraId="477EE10E"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color w:val="4F6228" w:themeColor="accent3" w:themeShade="80"/>
                <w:sz w:val="18"/>
                <w:szCs w:val="20"/>
                <w:lang w:eastAsia="en-GB"/>
              </w:rPr>
            </w:pPr>
          </w:p>
        </w:tc>
        <w:tc>
          <w:tcPr>
            <w:tcW w:w="512" w:type="pct"/>
            <w:vMerge/>
            <w:vAlign w:val="center"/>
            <w:hideMark/>
          </w:tcPr>
          <w:p w14:paraId="698CB791" w14:textId="77777777" w:rsidR="001A3E6F" w:rsidRPr="00A116F8" w:rsidRDefault="001A3E6F" w:rsidP="00A116F8">
            <w:pPr>
              <w:widowControl w:val="0"/>
              <w:spacing w:after="0" w:line="240" w:lineRule="auto"/>
              <w:ind w:left="57" w:right="57"/>
              <w:jc w:val="both"/>
              <w:rPr>
                <w:rFonts w:ascii="Times New Roman" w:eastAsia="Times New Roman" w:hAnsi="Times New Roman" w:cs="Times New Roman"/>
                <w:b/>
                <w:bCs/>
                <w:noProof/>
                <w:sz w:val="18"/>
                <w:szCs w:val="20"/>
                <w:lang w:eastAsia="en-GB"/>
              </w:rPr>
            </w:pPr>
          </w:p>
        </w:tc>
      </w:tr>
      <w:tr w:rsidR="00A116F8" w:rsidRPr="00A116F8" w14:paraId="39D23D40" w14:textId="77777777" w:rsidTr="00A116F8">
        <w:trPr>
          <w:trHeight w:val="1200"/>
          <w:jc w:val="center"/>
        </w:trPr>
        <w:tc>
          <w:tcPr>
            <w:tcW w:w="148" w:type="pct"/>
            <w:shd w:val="clear" w:color="auto" w:fill="C6EFCE"/>
          </w:tcPr>
          <w:p w14:paraId="660DD7CD"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215</w:t>
            </w:r>
          </w:p>
        </w:tc>
        <w:tc>
          <w:tcPr>
            <w:tcW w:w="482" w:type="pct"/>
            <w:shd w:val="clear" w:color="auto" w:fill="C6EFCE"/>
          </w:tcPr>
          <w:p w14:paraId="3C1CC7E9" w14:textId="77777777" w:rsidR="001A3E6F" w:rsidRPr="00A116F8" w:rsidRDefault="001A3E6F" w:rsidP="00A116F8">
            <w:pPr>
              <w:widowControl w:val="0"/>
              <w:spacing w:after="0" w:line="240" w:lineRule="auto"/>
              <w:ind w:left="57" w:right="57"/>
              <w:rPr>
                <w:rFonts w:ascii="Times New Roman" w:eastAsia="Times New Roman" w:hAnsi="Times New Roman" w:cs="Times New Roman"/>
                <w:b/>
                <w:bCs/>
                <w:noProof/>
                <w:sz w:val="18"/>
                <w:szCs w:val="20"/>
              </w:rPr>
            </w:pPr>
            <w:r w:rsidRPr="00A116F8">
              <w:rPr>
                <w:rFonts w:ascii="Times New Roman" w:hAnsi="Times New Roman"/>
                <w:b/>
                <w:sz w:val="18"/>
                <w:szCs w:val="20"/>
              </w:rPr>
              <w:t>7.1.r. Valsts enerģētikas nozares pārveidošana</w:t>
            </w:r>
          </w:p>
        </w:tc>
        <w:tc>
          <w:tcPr>
            <w:tcW w:w="293" w:type="pct"/>
            <w:shd w:val="clear" w:color="auto" w:fill="C6EFCE"/>
          </w:tcPr>
          <w:p w14:paraId="372E19D3"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Atskaites punkts</w:t>
            </w:r>
          </w:p>
        </w:tc>
        <w:tc>
          <w:tcPr>
            <w:tcW w:w="439" w:type="pct"/>
            <w:shd w:val="clear" w:color="auto" w:fill="C6EFCE"/>
          </w:tcPr>
          <w:p w14:paraId="7EA187DE"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Noteikumi, ar ko izveido energokopienu reģistrācijas un darbības sistēmu</w:t>
            </w:r>
          </w:p>
        </w:tc>
        <w:tc>
          <w:tcPr>
            <w:tcW w:w="439" w:type="pct"/>
            <w:shd w:val="clear" w:color="auto" w:fill="C6EFCE"/>
          </w:tcPr>
          <w:p w14:paraId="15E65626"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 xml:space="preserve">Tiesību normas, kas nosaka minēto noteikumu stāšanos spēkā </w:t>
            </w:r>
          </w:p>
        </w:tc>
        <w:tc>
          <w:tcPr>
            <w:tcW w:w="353" w:type="pct"/>
            <w:shd w:val="clear" w:color="auto" w:fill="C6EFCE"/>
          </w:tcPr>
          <w:p w14:paraId="4083A514"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Neattiecas</w:t>
            </w:r>
          </w:p>
        </w:tc>
        <w:tc>
          <w:tcPr>
            <w:tcW w:w="307" w:type="pct"/>
            <w:shd w:val="clear" w:color="auto" w:fill="C6EFCE"/>
          </w:tcPr>
          <w:p w14:paraId="1560CFBA"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Neattiecas</w:t>
            </w:r>
          </w:p>
        </w:tc>
        <w:tc>
          <w:tcPr>
            <w:tcW w:w="307" w:type="pct"/>
            <w:shd w:val="clear" w:color="auto" w:fill="C6EFCE"/>
          </w:tcPr>
          <w:p w14:paraId="3E0DD5C8"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Neattiecas</w:t>
            </w:r>
          </w:p>
        </w:tc>
        <w:tc>
          <w:tcPr>
            <w:tcW w:w="337" w:type="pct"/>
            <w:shd w:val="clear" w:color="auto" w:fill="C6EFCE"/>
          </w:tcPr>
          <w:p w14:paraId="33CF30E0"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4. cet.</w:t>
            </w:r>
          </w:p>
        </w:tc>
        <w:tc>
          <w:tcPr>
            <w:tcW w:w="191" w:type="pct"/>
            <w:shd w:val="clear" w:color="auto" w:fill="C6EFCE"/>
          </w:tcPr>
          <w:p w14:paraId="2E92C556"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2024</w:t>
            </w:r>
          </w:p>
        </w:tc>
        <w:tc>
          <w:tcPr>
            <w:tcW w:w="330" w:type="pct"/>
            <w:shd w:val="clear" w:color="auto" w:fill="C6EFCE"/>
          </w:tcPr>
          <w:p w14:paraId="4FA9446A" w14:textId="77777777" w:rsidR="001A3E6F" w:rsidRPr="00A116F8" w:rsidRDefault="001A3E6F" w:rsidP="00A116F8">
            <w:pPr>
              <w:widowControl w:val="0"/>
              <w:spacing w:after="0" w:line="240" w:lineRule="auto"/>
              <w:ind w:left="57" w:right="57"/>
              <w:rPr>
                <w:rFonts w:ascii="Times New Roman" w:eastAsia="Arial Narrow" w:hAnsi="Times New Roman" w:cs="Arial Narrow"/>
                <w:noProof/>
                <w:sz w:val="18"/>
                <w:szCs w:val="20"/>
              </w:rPr>
            </w:pPr>
            <w:r w:rsidRPr="00A116F8">
              <w:rPr>
                <w:rFonts w:ascii="Times New Roman" w:hAnsi="Times New Roman"/>
                <w:sz w:val="18"/>
                <w:szCs w:val="20"/>
              </w:rPr>
              <w:t>Klimata un enerģētikas ministrija</w:t>
            </w:r>
          </w:p>
        </w:tc>
        <w:tc>
          <w:tcPr>
            <w:tcW w:w="323" w:type="pct"/>
            <w:shd w:val="clear" w:color="auto" w:fill="C6EFCE"/>
          </w:tcPr>
          <w:p w14:paraId="2BB27DFC"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lang w:eastAsia="en-GB"/>
              </w:rPr>
            </w:pPr>
          </w:p>
        </w:tc>
        <w:tc>
          <w:tcPr>
            <w:tcW w:w="539" w:type="pct"/>
            <w:shd w:val="clear" w:color="auto" w:fill="C6EFCE"/>
          </w:tcPr>
          <w:p w14:paraId="79980077"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r w:rsidRPr="00A116F8">
              <w:rPr>
                <w:rFonts w:ascii="Times New Roman" w:hAnsi="Times New Roman"/>
                <w:sz w:val="18"/>
                <w:szCs w:val="20"/>
              </w:rPr>
              <w:t xml:space="preserve">Kopija publikācijai oficiālajā izdevumā, kopā ar kopsavilkuma dokumentu, kurā pienācīgi pamatots, kā tika apmierinoši sasniegts atskaites punkts. Šajā kopsavilkuma dokumentā iekļauj atsauci uz attiecīgajiem noteikumiem, kuros norādīta stāšanās spēkā, un noteikumiem par to atskaites punkta būtisko elementu izpildi, kuri uzskaitīti Padomes Īstenošanas lēmuma pielikumā sniegtajā atskaites punkta un attiecīgā pasākuma aprakstā. </w:t>
            </w:r>
          </w:p>
        </w:tc>
        <w:tc>
          <w:tcPr>
            <w:tcW w:w="512" w:type="pct"/>
            <w:shd w:val="clear" w:color="auto" w:fill="C6EFCE"/>
          </w:tcPr>
          <w:p w14:paraId="5756BFDA"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Stājas spēkā Ministru kabineta noteikumi, ar kuriem:</w:t>
            </w:r>
          </w:p>
          <w:p w14:paraId="360AFA51"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 nosaka energokopienu reģistrācijas un darbības nosacījumus un procedūras;</w:t>
            </w:r>
          </w:p>
          <w:p w14:paraId="5E31D362"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 ievieš pienākumu vietējām un reģionālajām iestādēm daļu no energokopienā saražotās elektroenerģijas vai no tās gūtā ekonomiskā labuma novirzīt mazaizsargātām sabiedrības grupām;</w:t>
            </w:r>
          </w:p>
          <w:p w14:paraId="38874E43" w14:textId="77777777" w:rsidR="001A3E6F" w:rsidRPr="00A116F8" w:rsidRDefault="001A3E6F" w:rsidP="00A116F8">
            <w:pPr>
              <w:widowControl w:val="0"/>
              <w:spacing w:after="0" w:line="240" w:lineRule="auto"/>
              <w:ind w:left="57" w:right="57"/>
              <w:rPr>
                <w:rFonts w:ascii="Times New Roman" w:hAnsi="Times New Roman"/>
                <w:noProof/>
                <w:sz w:val="18"/>
                <w:szCs w:val="20"/>
              </w:rPr>
            </w:pPr>
            <w:r w:rsidRPr="00A116F8">
              <w:rPr>
                <w:rFonts w:ascii="Times New Roman" w:hAnsi="Times New Roman"/>
                <w:sz w:val="18"/>
                <w:szCs w:val="20"/>
              </w:rPr>
              <w:t>- ievieš pienākumu elektroenerģijas tirgotājiem piedāvāt vismaz vienu produktu elektroenerģijas iegādei no energokopienām.</w:t>
            </w:r>
          </w:p>
        </w:tc>
      </w:tr>
      <w:tr w:rsidR="00A116F8" w:rsidRPr="00A116F8" w14:paraId="016F4A5B" w14:textId="77777777" w:rsidTr="00A116F8">
        <w:trPr>
          <w:trHeight w:val="639"/>
          <w:jc w:val="center"/>
        </w:trPr>
        <w:tc>
          <w:tcPr>
            <w:tcW w:w="148" w:type="pct"/>
            <w:shd w:val="clear" w:color="auto" w:fill="C6EFCE"/>
          </w:tcPr>
          <w:p w14:paraId="5184A314"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lastRenderedPageBreak/>
              <w:t>216</w:t>
            </w:r>
          </w:p>
        </w:tc>
        <w:tc>
          <w:tcPr>
            <w:tcW w:w="482" w:type="pct"/>
            <w:shd w:val="clear" w:color="auto" w:fill="C6EFCE"/>
          </w:tcPr>
          <w:p w14:paraId="68712682" w14:textId="77777777" w:rsidR="001A3E6F" w:rsidRPr="00A116F8" w:rsidRDefault="001A3E6F" w:rsidP="00A116F8">
            <w:pPr>
              <w:widowControl w:val="0"/>
              <w:spacing w:after="0" w:line="240" w:lineRule="auto"/>
              <w:ind w:left="57" w:right="57"/>
              <w:rPr>
                <w:rFonts w:ascii="Times New Roman" w:eastAsia="Times New Roman" w:hAnsi="Times New Roman" w:cs="Times New Roman"/>
                <w:b/>
                <w:bCs/>
                <w:noProof/>
                <w:sz w:val="18"/>
                <w:szCs w:val="20"/>
              </w:rPr>
            </w:pPr>
            <w:r w:rsidRPr="00A116F8">
              <w:rPr>
                <w:rFonts w:ascii="Times New Roman" w:hAnsi="Times New Roman"/>
                <w:b/>
                <w:sz w:val="18"/>
                <w:szCs w:val="20"/>
              </w:rPr>
              <w:t>7.1.r. Valsts enerģētikas nozares pārveidošana</w:t>
            </w:r>
          </w:p>
        </w:tc>
        <w:tc>
          <w:tcPr>
            <w:tcW w:w="293" w:type="pct"/>
            <w:shd w:val="clear" w:color="auto" w:fill="C6EFCE"/>
          </w:tcPr>
          <w:p w14:paraId="57DF26D0"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Atskaites punkts</w:t>
            </w:r>
          </w:p>
        </w:tc>
        <w:tc>
          <w:tcPr>
            <w:tcW w:w="439" w:type="pct"/>
            <w:shd w:val="clear" w:color="auto" w:fill="C6EFCE"/>
          </w:tcPr>
          <w:p w14:paraId="26E0CE62"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Tiesību akti, ar kuriem groza normas par elektroenerģijas tirdzniecību un patēriņu</w:t>
            </w:r>
          </w:p>
        </w:tc>
        <w:tc>
          <w:tcPr>
            <w:tcW w:w="439" w:type="pct"/>
            <w:shd w:val="clear" w:color="auto" w:fill="C6EFCE"/>
          </w:tcPr>
          <w:p w14:paraId="195A50C2"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 xml:space="preserve">Tiesību normas, kas nosaka, ka stājas spēkā tiesību akti, ar kuriem groza normas par elektroenerģijas tirdzniecību un patēriņu </w:t>
            </w:r>
          </w:p>
        </w:tc>
        <w:tc>
          <w:tcPr>
            <w:tcW w:w="353" w:type="pct"/>
            <w:shd w:val="clear" w:color="auto" w:fill="C6EFCE"/>
          </w:tcPr>
          <w:p w14:paraId="38D8DD12"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Neattiecas</w:t>
            </w:r>
          </w:p>
        </w:tc>
        <w:tc>
          <w:tcPr>
            <w:tcW w:w="307" w:type="pct"/>
            <w:shd w:val="clear" w:color="auto" w:fill="C6EFCE"/>
          </w:tcPr>
          <w:p w14:paraId="72A5D706"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Neattiecas</w:t>
            </w:r>
          </w:p>
        </w:tc>
        <w:tc>
          <w:tcPr>
            <w:tcW w:w="307" w:type="pct"/>
            <w:shd w:val="clear" w:color="auto" w:fill="C6EFCE"/>
          </w:tcPr>
          <w:p w14:paraId="5F36F910"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Neattiecas</w:t>
            </w:r>
          </w:p>
        </w:tc>
        <w:tc>
          <w:tcPr>
            <w:tcW w:w="337" w:type="pct"/>
            <w:shd w:val="clear" w:color="auto" w:fill="C6EFCE"/>
          </w:tcPr>
          <w:p w14:paraId="5AFDCCA1"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1. cet.</w:t>
            </w:r>
          </w:p>
        </w:tc>
        <w:tc>
          <w:tcPr>
            <w:tcW w:w="191" w:type="pct"/>
            <w:shd w:val="clear" w:color="auto" w:fill="C6EFCE"/>
          </w:tcPr>
          <w:p w14:paraId="55A012F4"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2024</w:t>
            </w:r>
          </w:p>
        </w:tc>
        <w:tc>
          <w:tcPr>
            <w:tcW w:w="330" w:type="pct"/>
            <w:shd w:val="clear" w:color="auto" w:fill="C6EFCE"/>
          </w:tcPr>
          <w:p w14:paraId="79040C01" w14:textId="77777777" w:rsidR="001A3E6F" w:rsidRPr="00A116F8" w:rsidRDefault="001A3E6F" w:rsidP="00A116F8">
            <w:pPr>
              <w:widowControl w:val="0"/>
              <w:spacing w:after="0" w:line="240" w:lineRule="auto"/>
              <w:ind w:left="57" w:right="57"/>
              <w:rPr>
                <w:rFonts w:ascii="Times New Roman" w:eastAsia="Arial Narrow" w:hAnsi="Times New Roman" w:cs="Arial Narrow"/>
                <w:noProof/>
                <w:sz w:val="18"/>
                <w:szCs w:val="20"/>
              </w:rPr>
            </w:pPr>
            <w:r w:rsidRPr="00A116F8">
              <w:rPr>
                <w:rFonts w:ascii="Times New Roman" w:hAnsi="Times New Roman"/>
                <w:sz w:val="18"/>
                <w:szCs w:val="20"/>
              </w:rPr>
              <w:t>Klimata un enerģētikas ministrija</w:t>
            </w:r>
          </w:p>
        </w:tc>
        <w:tc>
          <w:tcPr>
            <w:tcW w:w="323" w:type="pct"/>
            <w:shd w:val="clear" w:color="auto" w:fill="C6EFCE"/>
          </w:tcPr>
          <w:p w14:paraId="2B4D7BC0"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lang w:eastAsia="en-GB"/>
              </w:rPr>
            </w:pPr>
          </w:p>
        </w:tc>
        <w:tc>
          <w:tcPr>
            <w:tcW w:w="539" w:type="pct"/>
            <w:shd w:val="clear" w:color="auto" w:fill="C6EFCE"/>
          </w:tcPr>
          <w:p w14:paraId="5691321D"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r w:rsidRPr="00A116F8">
              <w:rPr>
                <w:rFonts w:ascii="Times New Roman" w:hAnsi="Times New Roman"/>
                <w:sz w:val="18"/>
                <w:szCs w:val="20"/>
              </w:rPr>
              <w:t xml:space="preserve">Kopija publikācijai oficiālajā izdevumā, kopā ar kopsavilkuma dokumentu, kurā pienācīgi pamatots, kā tika apmierinoši sasniegts atskaites punkts. Šajā kopsavilkuma dokumentā iekļauj atsauci uz attiecīgajiem noteikumiem, kuros norādīta stāšanās spēkā, un noteikumiem par to atskaites punkta būtisko elementu izpildi, kuri uzskaitīti Padomes Īstenošanas lēmuma pielikumā sniegtajā atskaites punkta un attiecīgā pasākuma aprakstā. </w:t>
            </w:r>
          </w:p>
        </w:tc>
        <w:tc>
          <w:tcPr>
            <w:tcW w:w="512" w:type="pct"/>
            <w:shd w:val="clear" w:color="auto" w:fill="C6EFCE"/>
          </w:tcPr>
          <w:p w14:paraId="1B3C79AC"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Stājas spēkā elektroenerģijas tirdzniecības un patēriņa normu grozījumi, ar kuriem ievieš:</w:t>
            </w:r>
          </w:p>
          <w:p w14:paraId="7A148DFA"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 xml:space="preserve">- </w:t>
            </w:r>
            <w:bookmarkStart w:id="34" w:name="_Hlk147500692"/>
            <w:r w:rsidRPr="00A116F8">
              <w:rPr>
                <w:rFonts w:ascii="Times New Roman" w:hAnsi="Times New Roman"/>
                <w:sz w:val="18"/>
                <w:szCs w:val="20"/>
              </w:rPr>
              <w:t xml:space="preserve">nosacījumu, ka enerģijas koplietošana ir iespējama ārpus daudzdzīvokļu ēkas, bez vajadzības veidot energokopienu; </w:t>
            </w:r>
            <w:bookmarkEnd w:id="34"/>
          </w:p>
          <w:p w14:paraId="0197AF81"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 xml:space="preserve">- iespēju izmantot elektroenerģijas daudzumu, kas saražots viena elektroenerģijas lietotāja iekārtā, lai nodrošinātu tā paša lietotāja citas iekārtas patēriņa vajadzības neatkarīgi no iekārtu atrašanās vietas. Vienīgie ierobežojumi ir tādi, ka iekārtām i) ir jāatrodas Latvijas Republikas teritorijā un ii) jābūt pieslēgtām Latvijas </w:t>
            </w:r>
            <w:r w:rsidRPr="00A116F8">
              <w:rPr>
                <w:rFonts w:ascii="Times New Roman" w:hAnsi="Times New Roman"/>
                <w:sz w:val="18"/>
                <w:szCs w:val="20"/>
              </w:rPr>
              <w:lastRenderedPageBreak/>
              <w:t>Republikā esošajai elektroenerģijas pārvades un sadales sistēmai;</w:t>
            </w:r>
          </w:p>
          <w:p w14:paraId="333488C2" w14:textId="77777777" w:rsidR="001A3E6F" w:rsidRPr="00A116F8" w:rsidRDefault="001A3E6F" w:rsidP="00A116F8">
            <w:pPr>
              <w:widowControl w:val="0"/>
              <w:spacing w:after="0" w:line="240" w:lineRule="auto"/>
              <w:ind w:left="57" w:right="57"/>
              <w:rPr>
                <w:rFonts w:ascii="Times New Roman" w:hAnsi="Times New Roman"/>
                <w:noProof/>
                <w:sz w:val="18"/>
                <w:szCs w:val="20"/>
              </w:rPr>
            </w:pPr>
            <w:r w:rsidRPr="00A116F8">
              <w:rPr>
                <w:rFonts w:ascii="Times New Roman" w:hAnsi="Times New Roman"/>
                <w:sz w:val="18"/>
                <w:szCs w:val="20"/>
              </w:rPr>
              <w:t>- pienākumu elektroenerģijas tirgotājiem ieviest vismaz vienu produktu elektroenerģijas iegādei no pašpatērētājiem, kuri izmanto mikroražošanas iekārtu.</w:t>
            </w:r>
          </w:p>
        </w:tc>
      </w:tr>
      <w:tr w:rsidR="00A116F8" w:rsidRPr="00A116F8" w14:paraId="5D4F8572" w14:textId="77777777" w:rsidTr="00A116F8">
        <w:trPr>
          <w:trHeight w:val="1200"/>
          <w:jc w:val="center"/>
        </w:trPr>
        <w:tc>
          <w:tcPr>
            <w:tcW w:w="148" w:type="pct"/>
            <w:shd w:val="clear" w:color="auto" w:fill="C6EFCE"/>
          </w:tcPr>
          <w:p w14:paraId="258435CD"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lastRenderedPageBreak/>
              <w:t>217</w:t>
            </w:r>
          </w:p>
        </w:tc>
        <w:tc>
          <w:tcPr>
            <w:tcW w:w="482" w:type="pct"/>
            <w:shd w:val="clear" w:color="auto" w:fill="C6EFCE"/>
          </w:tcPr>
          <w:p w14:paraId="5C10C629" w14:textId="77777777" w:rsidR="001A3E6F" w:rsidRPr="00A116F8" w:rsidRDefault="001A3E6F" w:rsidP="00A116F8">
            <w:pPr>
              <w:widowControl w:val="0"/>
              <w:spacing w:after="0" w:line="240" w:lineRule="auto"/>
              <w:ind w:left="57" w:right="57"/>
              <w:rPr>
                <w:rFonts w:ascii="Times New Roman" w:eastAsia="Times New Roman" w:hAnsi="Times New Roman" w:cs="Times New Roman"/>
                <w:b/>
                <w:bCs/>
                <w:noProof/>
                <w:sz w:val="18"/>
                <w:szCs w:val="20"/>
              </w:rPr>
            </w:pPr>
            <w:r w:rsidRPr="00A116F8">
              <w:rPr>
                <w:rFonts w:ascii="Times New Roman" w:hAnsi="Times New Roman"/>
                <w:b/>
                <w:sz w:val="18"/>
                <w:szCs w:val="20"/>
              </w:rPr>
              <w:t>7.1.r. Valsts enerģētikas nozares pārveidošana</w:t>
            </w:r>
          </w:p>
        </w:tc>
        <w:tc>
          <w:tcPr>
            <w:tcW w:w="293" w:type="pct"/>
            <w:shd w:val="clear" w:color="auto" w:fill="C6EFCE"/>
          </w:tcPr>
          <w:p w14:paraId="0A8F07F0"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Atskaites punkts</w:t>
            </w:r>
          </w:p>
        </w:tc>
        <w:tc>
          <w:tcPr>
            <w:tcW w:w="439" w:type="pct"/>
            <w:shd w:val="clear" w:color="auto" w:fill="C6EFCE"/>
          </w:tcPr>
          <w:p w14:paraId="2C302B06"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Noteikumi par elektroenerģijas tīkla optimizāciju</w:t>
            </w:r>
          </w:p>
        </w:tc>
        <w:tc>
          <w:tcPr>
            <w:tcW w:w="439" w:type="pct"/>
            <w:shd w:val="clear" w:color="auto" w:fill="C6EFCE"/>
          </w:tcPr>
          <w:p w14:paraId="4EEF5ECB"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 xml:space="preserve">Tiesību normas, kas nosaka minēto noteikumu stāšanos spēkā </w:t>
            </w:r>
          </w:p>
        </w:tc>
        <w:tc>
          <w:tcPr>
            <w:tcW w:w="353" w:type="pct"/>
            <w:shd w:val="clear" w:color="auto" w:fill="C6EFCE"/>
          </w:tcPr>
          <w:p w14:paraId="501474E0"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Neattiecas</w:t>
            </w:r>
          </w:p>
        </w:tc>
        <w:tc>
          <w:tcPr>
            <w:tcW w:w="307" w:type="pct"/>
            <w:shd w:val="clear" w:color="auto" w:fill="C6EFCE"/>
          </w:tcPr>
          <w:p w14:paraId="3BD49B21"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Neattiecas</w:t>
            </w:r>
          </w:p>
        </w:tc>
        <w:tc>
          <w:tcPr>
            <w:tcW w:w="307" w:type="pct"/>
            <w:shd w:val="clear" w:color="auto" w:fill="C6EFCE"/>
          </w:tcPr>
          <w:p w14:paraId="66500E16"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Neattiecas</w:t>
            </w:r>
          </w:p>
        </w:tc>
        <w:tc>
          <w:tcPr>
            <w:tcW w:w="337" w:type="pct"/>
            <w:shd w:val="clear" w:color="auto" w:fill="C6EFCE"/>
          </w:tcPr>
          <w:p w14:paraId="28395EAD"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4. cet.</w:t>
            </w:r>
          </w:p>
        </w:tc>
        <w:tc>
          <w:tcPr>
            <w:tcW w:w="191" w:type="pct"/>
            <w:shd w:val="clear" w:color="auto" w:fill="C6EFCE"/>
          </w:tcPr>
          <w:p w14:paraId="3BF1CFEA"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2025</w:t>
            </w:r>
          </w:p>
        </w:tc>
        <w:tc>
          <w:tcPr>
            <w:tcW w:w="330" w:type="pct"/>
            <w:shd w:val="clear" w:color="auto" w:fill="C6EFCE"/>
          </w:tcPr>
          <w:p w14:paraId="46C21F45" w14:textId="77777777" w:rsidR="001A3E6F" w:rsidRPr="00A116F8" w:rsidRDefault="001A3E6F" w:rsidP="00A116F8">
            <w:pPr>
              <w:widowControl w:val="0"/>
              <w:spacing w:after="0" w:line="240" w:lineRule="auto"/>
              <w:ind w:left="57" w:right="57"/>
              <w:rPr>
                <w:rFonts w:ascii="Times New Roman" w:eastAsia="Arial Narrow" w:hAnsi="Times New Roman" w:cs="Arial Narrow"/>
                <w:noProof/>
                <w:sz w:val="18"/>
                <w:szCs w:val="20"/>
              </w:rPr>
            </w:pPr>
            <w:r w:rsidRPr="00A116F8">
              <w:rPr>
                <w:rFonts w:ascii="Times New Roman" w:hAnsi="Times New Roman"/>
                <w:sz w:val="18"/>
                <w:szCs w:val="20"/>
              </w:rPr>
              <w:t>Klimata un enerģētikas ministrija</w:t>
            </w:r>
          </w:p>
        </w:tc>
        <w:tc>
          <w:tcPr>
            <w:tcW w:w="323" w:type="pct"/>
            <w:shd w:val="clear" w:color="auto" w:fill="C6EFCE"/>
          </w:tcPr>
          <w:p w14:paraId="20367D0D"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lang w:eastAsia="en-GB"/>
              </w:rPr>
            </w:pPr>
          </w:p>
        </w:tc>
        <w:tc>
          <w:tcPr>
            <w:tcW w:w="539" w:type="pct"/>
            <w:shd w:val="clear" w:color="auto" w:fill="C6EFCE"/>
          </w:tcPr>
          <w:p w14:paraId="65680D2C"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r w:rsidRPr="00A116F8">
              <w:rPr>
                <w:rFonts w:ascii="Times New Roman" w:hAnsi="Times New Roman"/>
                <w:sz w:val="18"/>
                <w:szCs w:val="20"/>
              </w:rPr>
              <w:t xml:space="preserve">Kopija publikācijai oficiālajā izdevumā, kopā ar kopsavilkuma dokumentu, kurā pienācīgi pamatots, kā tika apmierinoši sasniegts atskaites punkts. Šajā kopsavilkuma dokumentā iekļauj atsauci uz attiecīgajiem noteikumiem, kuros norādīta stāšanās spēkā, un noteikumiem par to atskaites punkta būtisko </w:t>
            </w:r>
            <w:r w:rsidRPr="00A116F8">
              <w:rPr>
                <w:rFonts w:ascii="Times New Roman" w:hAnsi="Times New Roman"/>
                <w:sz w:val="18"/>
                <w:szCs w:val="20"/>
              </w:rPr>
              <w:lastRenderedPageBreak/>
              <w:t xml:space="preserve">elementu izpildi, kuri uzskaitīti Padomes Īstenošanas lēmuma pielikumā sniegtajā atskaites punkta un attiecīgā pasākuma aprakstā. </w:t>
            </w:r>
          </w:p>
        </w:tc>
        <w:tc>
          <w:tcPr>
            <w:tcW w:w="512" w:type="pct"/>
            <w:shd w:val="clear" w:color="auto" w:fill="C6EFCE"/>
          </w:tcPr>
          <w:p w14:paraId="63CE4CB0"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lastRenderedPageBreak/>
              <w:t>Stājas spēkā Ministru kabineta noteikumi, ar kuriem:</w:t>
            </w:r>
          </w:p>
          <w:p w14:paraId="7C60F7DE"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 piekļuve tīkla pieslēgumpunktam tiek atļauta elektrostacijām, kurās var būt izmantotas dažādas elektroenerģijas ražošanas tehnoloģijas un kuru kopējā elektroenerģijas ražošanas jauda pārsniedz tīkla pieslēgumpunkta jaudu;</w:t>
            </w:r>
          </w:p>
          <w:p w14:paraId="2F11EA1F"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lastRenderedPageBreak/>
              <w:t>- paredz nosacījumus šādu kopējo elektroenerģijas ražošanas jaudu darbībai, kā arī konkrētu elektroenerģijas ražošanas iekārtu ieslēgšanai un izslēgšanai.</w:t>
            </w:r>
          </w:p>
        </w:tc>
      </w:tr>
      <w:tr w:rsidR="00A116F8" w:rsidRPr="00A116F8" w14:paraId="49AB8DFA" w14:textId="77777777" w:rsidTr="00A116F8">
        <w:trPr>
          <w:trHeight w:val="1200"/>
          <w:jc w:val="center"/>
        </w:trPr>
        <w:tc>
          <w:tcPr>
            <w:tcW w:w="148" w:type="pct"/>
            <w:shd w:val="clear" w:color="auto" w:fill="C6EFCE"/>
          </w:tcPr>
          <w:p w14:paraId="4EBF4C9E"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lastRenderedPageBreak/>
              <w:t>218</w:t>
            </w:r>
          </w:p>
        </w:tc>
        <w:tc>
          <w:tcPr>
            <w:tcW w:w="482" w:type="pct"/>
            <w:shd w:val="clear" w:color="auto" w:fill="C6EFCE"/>
          </w:tcPr>
          <w:p w14:paraId="1BEB19F3" w14:textId="77777777" w:rsidR="001A3E6F" w:rsidRPr="00A116F8" w:rsidRDefault="001A3E6F" w:rsidP="00A116F8">
            <w:pPr>
              <w:widowControl w:val="0"/>
              <w:spacing w:after="0" w:line="240" w:lineRule="auto"/>
              <w:ind w:left="57" w:right="57"/>
              <w:rPr>
                <w:rFonts w:ascii="Times New Roman" w:eastAsia="Times New Roman" w:hAnsi="Times New Roman" w:cs="Times New Roman"/>
                <w:b/>
                <w:bCs/>
                <w:noProof/>
                <w:sz w:val="18"/>
                <w:szCs w:val="20"/>
              </w:rPr>
            </w:pPr>
            <w:r w:rsidRPr="00A116F8">
              <w:rPr>
                <w:rFonts w:ascii="Times New Roman" w:hAnsi="Times New Roman"/>
                <w:b/>
                <w:sz w:val="18"/>
                <w:szCs w:val="20"/>
              </w:rPr>
              <w:t>7.1.r. Valsts enerģētikas nozares pārveidošana</w:t>
            </w:r>
          </w:p>
        </w:tc>
        <w:tc>
          <w:tcPr>
            <w:tcW w:w="293" w:type="pct"/>
            <w:shd w:val="clear" w:color="auto" w:fill="C6EFCE"/>
          </w:tcPr>
          <w:p w14:paraId="254F3CDF"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Atskaites punkts</w:t>
            </w:r>
          </w:p>
        </w:tc>
        <w:tc>
          <w:tcPr>
            <w:tcW w:w="439" w:type="pct"/>
            <w:shd w:val="clear" w:color="auto" w:fill="C6EFCE"/>
          </w:tcPr>
          <w:p w14:paraId="6BDEF653"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Noteikumi par biometānu, ko transportē ārpus dabasgāzes pārvades un sadales sistēmām</w:t>
            </w:r>
          </w:p>
        </w:tc>
        <w:tc>
          <w:tcPr>
            <w:tcW w:w="439" w:type="pct"/>
            <w:shd w:val="clear" w:color="auto" w:fill="C6EFCE"/>
          </w:tcPr>
          <w:p w14:paraId="639CBAA6"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 xml:space="preserve">Tiesību normas, kas nosaka minēto noteikumu stāšanos spēkā </w:t>
            </w:r>
          </w:p>
        </w:tc>
        <w:tc>
          <w:tcPr>
            <w:tcW w:w="353" w:type="pct"/>
            <w:shd w:val="clear" w:color="auto" w:fill="C6EFCE"/>
          </w:tcPr>
          <w:p w14:paraId="0EB14CBF"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Neattiecas</w:t>
            </w:r>
          </w:p>
        </w:tc>
        <w:tc>
          <w:tcPr>
            <w:tcW w:w="307" w:type="pct"/>
            <w:shd w:val="clear" w:color="auto" w:fill="C6EFCE"/>
          </w:tcPr>
          <w:p w14:paraId="42D9F814"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Neattiecas</w:t>
            </w:r>
          </w:p>
        </w:tc>
        <w:tc>
          <w:tcPr>
            <w:tcW w:w="307" w:type="pct"/>
            <w:shd w:val="clear" w:color="auto" w:fill="C6EFCE"/>
          </w:tcPr>
          <w:p w14:paraId="3F0EF60D"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Neattiecas</w:t>
            </w:r>
          </w:p>
        </w:tc>
        <w:tc>
          <w:tcPr>
            <w:tcW w:w="337" w:type="pct"/>
            <w:shd w:val="clear" w:color="auto" w:fill="C6EFCE"/>
          </w:tcPr>
          <w:p w14:paraId="3C0221F2"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 xml:space="preserve">4. cet. </w:t>
            </w:r>
          </w:p>
        </w:tc>
        <w:tc>
          <w:tcPr>
            <w:tcW w:w="191" w:type="pct"/>
            <w:shd w:val="clear" w:color="auto" w:fill="C6EFCE"/>
          </w:tcPr>
          <w:p w14:paraId="38DD16DC"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2025</w:t>
            </w:r>
          </w:p>
        </w:tc>
        <w:tc>
          <w:tcPr>
            <w:tcW w:w="330" w:type="pct"/>
            <w:shd w:val="clear" w:color="auto" w:fill="C6EFCE"/>
          </w:tcPr>
          <w:p w14:paraId="14C2B683" w14:textId="77777777" w:rsidR="001A3E6F" w:rsidRPr="00A116F8" w:rsidRDefault="001A3E6F" w:rsidP="00A116F8">
            <w:pPr>
              <w:widowControl w:val="0"/>
              <w:spacing w:after="0" w:line="240" w:lineRule="auto"/>
              <w:ind w:left="57" w:right="57"/>
              <w:rPr>
                <w:rFonts w:ascii="Times New Roman" w:eastAsia="Arial Narrow" w:hAnsi="Times New Roman" w:cs="Arial Narrow"/>
                <w:noProof/>
                <w:sz w:val="18"/>
                <w:szCs w:val="20"/>
              </w:rPr>
            </w:pPr>
            <w:r w:rsidRPr="00A116F8">
              <w:rPr>
                <w:rFonts w:ascii="Times New Roman" w:hAnsi="Times New Roman"/>
                <w:sz w:val="18"/>
                <w:szCs w:val="20"/>
              </w:rPr>
              <w:t>Klimata un enerģētikas ministrija</w:t>
            </w:r>
          </w:p>
        </w:tc>
        <w:tc>
          <w:tcPr>
            <w:tcW w:w="323" w:type="pct"/>
            <w:shd w:val="clear" w:color="auto" w:fill="C6EFCE"/>
          </w:tcPr>
          <w:p w14:paraId="0CE08919"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lang w:eastAsia="en-GB"/>
              </w:rPr>
            </w:pPr>
          </w:p>
        </w:tc>
        <w:tc>
          <w:tcPr>
            <w:tcW w:w="539" w:type="pct"/>
            <w:shd w:val="clear" w:color="auto" w:fill="C6EFCE"/>
          </w:tcPr>
          <w:p w14:paraId="1CF83ED4"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r w:rsidRPr="00A116F8">
              <w:rPr>
                <w:rFonts w:ascii="Times New Roman" w:hAnsi="Times New Roman"/>
                <w:sz w:val="18"/>
                <w:szCs w:val="20"/>
              </w:rPr>
              <w:t xml:space="preserve">Kopija publikācijai oficiālajā izdevumā, kopā ar kopsavilkuma dokumentu, kurā pienācīgi pamatots, kā tika apmierinoši sasniegts atskaites punkts. Šajā kopsavilkuma dokumentā iekļauj atsauci uz attiecīgajiem noteikumiem, kuros norādīta stāšanās spēkā, un noteikumiem par to atskaites punkta būtisko elementu izpildi, kuri uzskaitīti Padomes Īstenošanas lēmuma </w:t>
            </w:r>
            <w:r w:rsidRPr="00A116F8">
              <w:rPr>
                <w:rFonts w:ascii="Times New Roman" w:hAnsi="Times New Roman"/>
                <w:sz w:val="18"/>
                <w:szCs w:val="20"/>
              </w:rPr>
              <w:lastRenderedPageBreak/>
              <w:t xml:space="preserve">pielikumā sniegtajā atskaites punkta un attiecīgā pasākuma aprakstā. </w:t>
            </w:r>
          </w:p>
        </w:tc>
        <w:tc>
          <w:tcPr>
            <w:tcW w:w="512" w:type="pct"/>
            <w:shd w:val="clear" w:color="auto" w:fill="C6EFCE"/>
          </w:tcPr>
          <w:p w14:paraId="7A8F0E13"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lastRenderedPageBreak/>
              <w:t>Stājas spēkā Ministru kabineta noteikumi, kas:</w:t>
            </w:r>
          </w:p>
          <w:p w14:paraId="5D1BDE8B"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 paredz nosacījumus ilgtspējīga biometāna, kas transportēts ārpus dabasgāzes pārvades un sadales sistēmas, ievadei kopējā dabasgāzes piegādes sistēmā;</w:t>
            </w:r>
          </w:p>
          <w:p w14:paraId="11356D37"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 paredz iespēju mazajiem biometāna ražotājiem ievadīt saražoto ilgtspējīgo biometānu kopējā dabasgāzes piegādes sistēmā.</w:t>
            </w:r>
          </w:p>
        </w:tc>
      </w:tr>
      <w:tr w:rsidR="00A116F8" w:rsidRPr="00A116F8" w14:paraId="442B5768" w14:textId="77777777" w:rsidTr="00A116F8">
        <w:trPr>
          <w:trHeight w:val="1200"/>
          <w:jc w:val="center"/>
        </w:trPr>
        <w:tc>
          <w:tcPr>
            <w:tcW w:w="148" w:type="pct"/>
            <w:shd w:val="clear" w:color="auto" w:fill="C6EFCE"/>
          </w:tcPr>
          <w:p w14:paraId="55729619"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219</w:t>
            </w:r>
          </w:p>
        </w:tc>
        <w:tc>
          <w:tcPr>
            <w:tcW w:w="482" w:type="pct"/>
            <w:shd w:val="clear" w:color="auto" w:fill="C6EFCE"/>
          </w:tcPr>
          <w:p w14:paraId="27F5149A" w14:textId="77777777" w:rsidR="001A3E6F" w:rsidRPr="00A116F8" w:rsidRDefault="001A3E6F" w:rsidP="00A116F8">
            <w:pPr>
              <w:widowControl w:val="0"/>
              <w:spacing w:after="0" w:line="240" w:lineRule="auto"/>
              <w:ind w:left="57" w:right="57"/>
              <w:rPr>
                <w:rFonts w:ascii="Times New Roman" w:eastAsia="Times New Roman" w:hAnsi="Times New Roman" w:cs="Times New Roman"/>
                <w:b/>
                <w:bCs/>
                <w:noProof/>
                <w:sz w:val="18"/>
                <w:szCs w:val="20"/>
              </w:rPr>
            </w:pPr>
            <w:r w:rsidRPr="00A116F8">
              <w:rPr>
                <w:rFonts w:ascii="Times New Roman" w:hAnsi="Times New Roman"/>
                <w:b/>
                <w:sz w:val="18"/>
                <w:szCs w:val="20"/>
              </w:rPr>
              <w:t>7.2.i. Energoapgādes drošība un stabilitāte un sinhronizācija ar Savienības tīklu</w:t>
            </w:r>
          </w:p>
        </w:tc>
        <w:tc>
          <w:tcPr>
            <w:tcW w:w="293" w:type="pct"/>
            <w:shd w:val="clear" w:color="auto" w:fill="C6EFCE"/>
          </w:tcPr>
          <w:p w14:paraId="0024116B"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Atskaites punkts</w:t>
            </w:r>
          </w:p>
        </w:tc>
        <w:tc>
          <w:tcPr>
            <w:tcW w:w="439" w:type="pct"/>
            <w:shd w:val="clear" w:color="auto" w:fill="C6EFCE"/>
          </w:tcPr>
          <w:p w14:paraId="02BCF590"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Noteikumi, kas reglamentē elektroenerģiju uzkrājošo bateriju sistēmu uzstādīšanu</w:t>
            </w:r>
          </w:p>
        </w:tc>
        <w:tc>
          <w:tcPr>
            <w:tcW w:w="439" w:type="pct"/>
            <w:shd w:val="clear" w:color="auto" w:fill="C6EFCE"/>
          </w:tcPr>
          <w:p w14:paraId="262557ED"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 xml:space="preserve">Tiesību normas, kas nosaka minēto noteikumu stāšanos spēkā </w:t>
            </w:r>
          </w:p>
        </w:tc>
        <w:tc>
          <w:tcPr>
            <w:tcW w:w="353" w:type="pct"/>
            <w:shd w:val="clear" w:color="auto" w:fill="C6EFCE"/>
          </w:tcPr>
          <w:p w14:paraId="01AAF34F"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Neattiecas</w:t>
            </w:r>
          </w:p>
        </w:tc>
        <w:tc>
          <w:tcPr>
            <w:tcW w:w="307" w:type="pct"/>
            <w:shd w:val="clear" w:color="auto" w:fill="C6EFCE"/>
          </w:tcPr>
          <w:p w14:paraId="1644D796"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Neattiecas</w:t>
            </w:r>
          </w:p>
        </w:tc>
        <w:tc>
          <w:tcPr>
            <w:tcW w:w="307" w:type="pct"/>
            <w:shd w:val="clear" w:color="auto" w:fill="C6EFCE"/>
          </w:tcPr>
          <w:p w14:paraId="6A0F41F6"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Neattiecas</w:t>
            </w:r>
          </w:p>
        </w:tc>
        <w:tc>
          <w:tcPr>
            <w:tcW w:w="337" w:type="pct"/>
            <w:shd w:val="clear" w:color="auto" w:fill="C6EFCE"/>
          </w:tcPr>
          <w:p w14:paraId="666276DC"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4. cet.</w:t>
            </w:r>
          </w:p>
        </w:tc>
        <w:tc>
          <w:tcPr>
            <w:tcW w:w="191" w:type="pct"/>
            <w:shd w:val="clear" w:color="auto" w:fill="C6EFCE"/>
          </w:tcPr>
          <w:p w14:paraId="6A76BB13"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2024</w:t>
            </w:r>
          </w:p>
        </w:tc>
        <w:tc>
          <w:tcPr>
            <w:tcW w:w="330" w:type="pct"/>
            <w:shd w:val="clear" w:color="auto" w:fill="C6EFCE"/>
          </w:tcPr>
          <w:p w14:paraId="67F3A9FB" w14:textId="77777777" w:rsidR="001A3E6F" w:rsidRPr="00A116F8" w:rsidRDefault="001A3E6F" w:rsidP="00A116F8">
            <w:pPr>
              <w:widowControl w:val="0"/>
              <w:spacing w:after="0" w:line="240" w:lineRule="auto"/>
              <w:ind w:left="57" w:right="57"/>
              <w:rPr>
                <w:rFonts w:ascii="Times New Roman" w:eastAsia="Arial Narrow" w:hAnsi="Times New Roman" w:cs="Arial Narrow"/>
                <w:noProof/>
                <w:sz w:val="18"/>
                <w:szCs w:val="20"/>
              </w:rPr>
            </w:pPr>
            <w:r w:rsidRPr="00A116F8">
              <w:rPr>
                <w:rFonts w:ascii="Times New Roman" w:hAnsi="Times New Roman"/>
                <w:sz w:val="18"/>
                <w:szCs w:val="20"/>
              </w:rPr>
              <w:t>Klimata un enerģētikas ministrija</w:t>
            </w:r>
          </w:p>
        </w:tc>
        <w:tc>
          <w:tcPr>
            <w:tcW w:w="323" w:type="pct"/>
            <w:shd w:val="clear" w:color="auto" w:fill="C6EFCE"/>
          </w:tcPr>
          <w:p w14:paraId="09CCF979"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lang w:eastAsia="en-GB"/>
              </w:rPr>
            </w:pPr>
          </w:p>
        </w:tc>
        <w:tc>
          <w:tcPr>
            <w:tcW w:w="539" w:type="pct"/>
            <w:shd w:val="clear" w:color="auto" w:fill="C6EFCE"/>
          </w:tcPr>
          <w:p w14:paraId="178B5107"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r w:rsidRPr="00A116F8">
              <w:rPr>
                <w:rFonts w:ascii="Times New Roman" w:hAnsi="Times New Roman"/>
                <w:sz w:val="18"/>
                <w:szCs w:val="20"/>
              </w:rPr>
              <w:t xml:space="preserve">Kopija publikācijai oficiālajā izdevumā, kopā ar kopsavilkuma dokumentu, kurā pienācīgi pamatots, kā tika apmierinoši sasniegts atskaites punkts. Šajā kopsavilkuma dokumentā iekļauj atsauci uz attiecīgajiem noteikumiem, kuros norādīta stāšanās spēkā, un noteikumiem par to atskaites punkta būtisko elementu izpildi, kuri uzskaitīti Padomes Īstenošanas lēmuma pielikumā sniegtajā atskaites punkta un attiecīgā pasākuma </w:t>
            </w:r>
            <w:r w:rsidRPr="00A116F8">
              <w:rPr>
                <w:rFonts w:ascii="Times New Roman" w:hAnsi="Times New Roman"/>
                <w:sz w:val="18"/>
                <w:szCs w:val="20"/>
              </w:rPr>
              <w:lastRenderedPageBreak/>
              <w:t xml:space="preserve">aprakstā. </w:t>
            </w:r>
          </w:p>
        </w:tc>
        <w:tc>
          <w:tcPr>
            <w:tcW w:w="512" w:type="pct"/>
            <w:shd w:val="clear" w:color="auto" w:fill="C6EFCE"/>
          </w:tcPr>
          <w:p w14:paraId="56B04A9D"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lastRenderedPageBreak/>
              <w:t>Stājas spēkā Ministru kabineta noteikumi par tiesisko regulējumu attiecībā uz investīcijām elektroenerģiju uzkrājošo bateriju sistēmas uzstādīšanai Rēzeknē.</w:t>
            </w:r>
          </w:p>
        </w:tc>
      </w:tr>
      <w:tr w:rsidR="00A116F8" w:rsidRPr="00A116F8" w14:paraId="444930BC" w14:textId="77777777" w:rsidTr="00A116F8">
        <w:trPr>
          <w:trHeight w:val="1200"/>
          <w:jc w:val="center"/>
        </w:trPr>
        <w:tc>
          <w:tcPr>
            <w:tcW w:w="148" w:type="pct"/>
            <w:shd w:val="clear" w:color="auto" w:fill="C6EFCE"/>
          </w:tcPr>
          <w:p w14:paraId="4DC4F99C"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220</w:t>
            </w:r>
          </w:p>
        </w:tc>
        <w:tc>
          <w:tcPr>
            <w:tcW w:w="482" w:type="pct"/>
            <w:shd w:val="clear" w:color="auto" w:fill="C6EFCE"/>
          </w:tcPr>
          <w:p w14:paraId="18A8C4CB" w14:textId="77777777" w:rsidR="001A3E6F" w:rsidRPr="00A116F8" w:rsidRDefault="001A3E6F" w:rsidP="00A116F8">
            <w:pPr>
              <w:widowControl w:val="0"/>
              <w:spacing w:after="0" w:line="240" w:lineRule="auto"/>
              <w:ind w:left="57" w:right="57"/>
              <w:rPr>
                <w:rFonts w:ascii="Times New Roman" w:eastAsia="Times New Roman" w:hAnsi="Times New Roman" w:cs="Times New Roman"/>
                <w:b/>
                <w:bCs/>
                <w:noProof/>
                <w:sz w:val="18"/>
                <w:szCs w:val="20"/>
              </w:rPr>
            </w:pPr>
            <w:r w:rsidRPr="00A116F8">
              <w:rPr>
                <w:rFonts w:ascii="Times New Roman" w:hAnsi="Times New Roman"/>
                <w:b/>
                <w:sz w:val="18"/>
                <w:szCs w:val="20"/>
              </w:rPr>
              <w:t>7.2.i. Energoapgādes drošība un stabilitāte un sinhronizācija ar Savienības tīklu</w:t>
            </w:r>
          </w:p>
        </w:tc>
        <w:tc>
          <w:tcPr>
            <w:tcW w:w="293" w:type="pct"/>
            <w:shd w:val="clear" w:color="auto" w:fill="C6EFCE"/>
          </w:tcPr>
          <w:p w14:paraId="1D926189"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Atskaites punkts</w:t>
            </w:r>
          </w:p>
        </w:tc>
        <w:tc>
          <w:tcPr>
            <w:tcW w:w="439" w:type="pct"/>
            <w:shd w:val="clear" w:color="auto" w:fill="C6EFCE"/>
          </w:tcPr>
          <w:p w14:paraId="13B48AAE"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Līgumi par 60 MW elektroenerģiju uzkrājošo bateriju sistēmas uzstādīšanu un IT risinājumu pārvades tīkla pārvaldībai</w:t>
            </w:r>
          </w:p>
        </w:tc>
        <w:tc>
          <w:tcPr>
            <w:tcW w:w="439" w:type="pct"/>
            <w:shd w:val="clear" w:color="auto" w:fill="C6EFCE"/>
          </w:tcPr>
          <w:p w14:paraId="1038FABF"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Piešķirtas tiesības slēgt līgumus</w:t>
            </w:r>
          </w:p>
        </w:tc>
        <w:tc>
          <w:tcPr>
            <w:tcW w:w="353" w:type="pct"/>
            <w:shd w:val="clear" w:color="auto" w:fill="C6EFCE"/>
          </w:tcPr>
          <w:p w14:paraId="74F83A70"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Neattiecas</w:t>
            </w:r>
          </w:p>
        </w:tc>
        <w:tc>
          <w:tcPr>
            <w:tcW w:w="307" w:type="pct"/>
            <w:shd w:val="clear" w:color="auto" w:fill="C6EFCE"/>
          </w:tcPr>
          <w:p w14:paraId="71E6DEB5"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Neattiecas</w:t>
            </w:r>
          </w:p>
        </w:tc>
        <w:tc>
          <w:tcPr>
            <w:tcW w:w="307" w:type="pct"/>
            <w:shd w:val="clear" w:color="auto" w:fill="C6EFCE"/>
          </w:tcPr>
          <w:p w14:paraId="40FAC80E"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Neattiecas</w:t>
            </w:r>
          </w:p>
        </w:tc>
        <w:tc>
          <w:tcPr>
            <w:tcW w:w="337" w:type="pct"/>
            <w:shd w:val="clear" w:color="auto" w:fill="C6EFCE"/>
          </w:tcPr>
          <w:p w14:paraId="6FD99621"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2. cet.</w:t>
            </w:r>
          </w:p>
        </w:tc>
        <w:tc>
          <w:tcPr>
            <w:tcW w:w="191" w:type="pct"/>
            <w:shd w:val="clear" w:color="auto" w:fill="C6EFCE"/>
          </w:tcPr>
          <w:p w14:paraId="0961500D"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2025</w:t>
            </w:r>
          </w:p>
        </w:tc>
        <w:tc>
          <w:tcPr>
            <w:tcW w:w="330" w:type="pct"/>
            <w:shd w:val="clear" w:color="auto" w:fill="C6EFCE"/>
          </w:tcPr>
          <w:p w14:paraId="7548B11A" w14:textId="77777777" w:rsidR="001A3E6F" w:rsidRPr="00A116F8" w:rsidRDefault="001A3E6F" w:rsidP="00A116F8">
            <w:pPr>
              <w:widowControl w:val="0"/>
              <w:spacing w:after="0" w:line="240" w:lineRule="auto"/>
              <w:ind w:left="57" w:right="57"/>
              <w:rPr>
                <w:rFonts w:ascii="Times New Roman" w:eastAsia="Arial Narrow" w:hAnsi="Times New Roman" w:cs="Arial Narrow"/>
                <w:noProof/>
                <w:sz w:val="18"/>
                <w:szCs w:val="20"/>
              </w:rPr>
            </w:pPr>
            <w:r w:rsidRPr="00A116F8">
              <w:rPr>
                <w:rFonts w:ascii="Times New Roman" w:hAnsi="Times New Roman"/>
                <w:sz w:val="18"/>
                <w:szCs w:val="20"/>
              </w:rPr>
              <w:t>Klimata un enerģētikas ministrija</w:t>
            </w:r>
          </w:p>
        </w:tc>
        <w:tc>
          <w:tcPr>
            <w:tcW w:w="323" w:type="pct"/>
            <w:shd w:val="clear" w:color="auto" w:fill="C6EFCE"/>
          </w:tcPr>
          <w:p w14:paraId="00BF1CFF"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lang w:eastAsia="en-GB"/>
              </w:rPr>
            </w:pPr>
          </w:p>
        </w:tc>
        <w:tc>
          <w:tcPr>
            <w:tcW w:w="539" w:type="pct"/>
            <w:shd w:val="clear" w:color="auto" w:fill="C6EFCE"/>
          </w:tcPr>
          <w:p w14:paraId="3EC82181"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r w:rsidRPr="00A116F8">
              <w:rPr>
                <w:rFonts w:ascii="Times New Roman" w:hAnsi="Times New Roman"/>
                <w:sz w:val="18"/>
                <w:szCs w:val="20"/>
              </w:rPr>
              <w:t>Kopsavilkuma dokuments, kurā pienācīgi pamatots, kā tika apmierinoši sasniegts atskaites punkts (tostarp visi būtiskie elementi, kas uzskaitīti Padomes Īstenošanas lēmuma pielikumā sniegtajā atskaites punkta un attiecīgā pasākuma aprakstā), kopā ar atbilstošām saitēm uz pamatojošajiem pierādījumiem.</w:t>
            </w:r>
          </w:p>
          <w:p w14:paraId="1EBA148E"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p>
          <w:p w14:paraId="63B33D7D"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r w:rsidRPr="00A116F8">
              <w:rPr>
                <w:rFonts w:ascii="Times New Roman" w:hAnsi="Times New Roman"/>
                <w:sz w:val="18"/>
                <w:szCs w:val="20"/>
              </w:rPr>
              <w:t>Šā dokumenta pielikumā iekļauj piešķirto līgumu kopijas.</w:t>
            </w:r>
          </w:p>
        </w:tc>
        <w:tc>
          <w:tcPr>
            <w:tcW w:w="512" w:type="pct"/>
            <w:shd w:val="clear" w:color="auto" w:fill="C6EFCE"/>
          </w:tcPr>
          <w:p w14:paraId="6E4ABD33"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Piešķirtas tiesības slēgt līgumus par 60 MW elektroenerģiju uzkrājošo bateriju sistēmas uzstādīšanu Rēzeknē un IT risinājumu pārvades tīkla pārvaldībai.</w:t>
            </w:r>
          </w:p>
        </w:tc>
      </w:tr>
      <w:tr w:rsidR="00A116F8" w:rsidRPr="00A116F8" w14:paraId="21ACEB1C" w14:textId="77777777" w:rsidTr="00A116F8">
        <w:trPr>
          <w:trHeight w:val="1200"/>
          <w:jc w:val="center"/>
        </w:trPr>
        <w:tc>
          <w:tcPr>
            <w:tcW w:w="148" w:type="pct"/>
            <w:shd w:val="clear" w:color="auto" w:fill="C6EFCE"/>
          </w:tcPr>
          <w:p w14:paraId="46DF62A8"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lastRenderedPageBreak/>
              <w:t>221</w:t>
            </w:r>
          </w:p>
        </w:tc>
        <w:tc>
          <w:tcPr>
            <w:tcW w:w="482" w:type="pct"/>
            <w:shd w:val="clear" w:color="auto" w:fill="C6EFCE"/>
          </w:tcPr>
          <w:p w14:paraId="02D89004" w14:textId="77777777" w:rsidR="001A3E6F" w:rsidRPr="00A116F8" w:rsidRDefault="001A3E6F" w:rsidP="00A116F8">
            <w:pPr>
              <w:widowControl w:val="0"/>
              <w:spacing w:after="0" w:line="240" w:lineRule="auto"/>
              <w:ind w:left="57" w:right="57"/>
              <w:rPr>
                <w:rFonts w:ascii="Times New Roman" w:eastAsia="Times New Roman" w:hAnsi="Times New Roman" w:cs="Times New Roman"/>
                <w:b/>
                <w:bCs/>
                <w:noProof/>
                <w:sz w:val="18"/>
                <w:szCs w:val="20"/>
              </w:rPr>
            </w:pPr>
            <w:r w:rsidRPr="00A116F8">
              <w:rPr>
                <w:rFonts w:ascii="Times New Roman" w:hAnsi="Times New Roman"/>
                <w:b/>
                <w:sz w:val="18"/>
                <w:szCs w:val="20"/>
              </w:rPr>
              <w:t>7.2.i. Energoapgādes drošība un stabilitāte un sinhronizācija ar Savienības tīklu</w:t>
            </w:r>
          </w:p>
        </w:tc>
        <w:tc>
          <w:tcPr>
            <w:tcW w:w="293" w:type="pct"/>
            <w:shd w:val="clear" w:color="auto" w:fill="C6EFCE"/>
          </w:tcPr>
          <w:p w14:paraId="491999C8"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Mērķis</w:t>
            </w:r>
          </w:p>
        </w:tc>
        <w:tc>
          <w:tcPr>
            <w:tcW w:w="439" w:type="pct"/>
            <w:shd w:val="clear" w:color="auto" w:fill="C6EFCE"/>
          </w:tcPr>
          <w:p w14:paraId="762D6D90"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Elektroenerģiju uzkrājošo bateriju sistēma (</w:t>
            </w:r>
            <w:r w:rsidRPr="00A116F8">
              <w:rPr>
                <w:rFonts w:ascii="Times New Roman" w:hAnsi="Times New Roman"/>
                <w:i/>
                <w:iCs/>
                <w:sz w:val="18"/>
                <w:szCs w:val="20"/>
              </w:rPr>
              <w:t>BESS</w:t>
            </w:r>
            <w:r w:rsidRPr="00A116F8">
              <w:rPr>
                <w:rFonts w:ascii="Times New Roman" w:hAnsi="Times New Roman"/>
                <w:sz w:val="18"/>
                <w:szCs w:val="20"/>
              </w:rPr>
              <w:t>)</w:t>
            </w:r>
          </w:p>
        </w:tc>
        <w:tc>
          <w:tcPr>
            <w:tcW w:w="439" w:type="pct"/>
            <w:shd w:val="clear" w:color="auto" w:fill="C6EFCE"/>
          </w:tcPr>
          <w:p w14:paraId="47D13156"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Neattiecas</w:t>
            </w:r>
          </w:p>
        </w:tc>
        <w:tc>
          <w:tcPr>
            <w:tcW w:w="353" w:type="pct"/>
            <w:shd w:val="clear" w:color="auto" w:fill="C6EFCE"/>
          </w:tcPr>
          <w:p w14:paraId="3F5E8C2E"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MW</w:t>
            </w:r>
          </w:p>
        </w:tc>
        <w:tc>
          <w:tcPr>
            <w:tcW w:w="307" w:type="pct"/>
            <w:shd w:val="clear" w:color="auto" w:fill="C6EFCE"/>
          </w:tcPr>
          <w:p w14:paraId="293495AE"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0</w:t>
            </w:r>
          </w:p>
        </w:tc>
        <w:tc>
          <w:tcPr>
            <w:tcW w:w="307" w:type="pct"/>
            <w:shd w:val="clear" w:color="auto" w:fill="C6EFCE"/>
          </w:tcPr>
          <w:p w14:paraId="615F0D4D"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60</w:t>
            </w:r>
          </w:p>
        </w:tc>
        <w:tc>
          <w:tcPr>
            <w:tcW w:w="337" w:type="pct"/>
            <w:shd w:val="clear" w:color="auto" w:fill="C6EFCE"/>
          </w:tcPr>
          <w:p w14:paraId="168E1BB1"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4. cet.</w:t>
            </w:r>
          </w:p>
        </w:tc>
        <w:tc>
          <w:tcPr>
            <w:tcW w:w="191" w:type="pct"/>
            <w:shd w:val="clear" w:color="auto" w:fill="C6EFCE"/>
          </w:tcPr>
          <w:p w14:paraId="64C90B2C"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2025</w:t>
            </w:r>
          </w:p>
        </w:tc>
        <w:tc>
          <w:tcPr>
            <w:tcW w:w="330" w:type="pct"/>
            <w:shd w:val="clear" w:color="auto" w:fill="C6EFCE"/>
          </w:tcPr>
          <w:p w14:paraId="0FBE87D4" w14:textId="77777777" w:rsidR="001A3E6F" w:rsidRPr="00A116F8" w:rsidRDefault="001A3E6F" w:rsidP="00A116F8">
            <w:pPr>
              <w:widowControl w:val="0"/>
              <w:spacing w:after="0" w:line="240" w:lineRule="auto"/>
              <w:ind w:left="57" w:right="57"/>
              <w:rPr>
                <w:rFonts w:ascii="Times New Roman" w:eastAsia="Arial Narrow" w:hAnsi="Times New Roman" w:cs="Arial Narrow"/>
                <w:noProof/>
                <w:sz w:val="18"/>
                <w:szCs w:val="20"/>
              </w:rPr>
            </w:pPr>
            <w:r w:rsidRPr="00A116F8">
              <w:rPr>
                <w:rFonts w:ascii="Times New Roman" w:hAnsi="Times New Roman"/>
                <w:sz w:val="18"/>
                <w:szCs w:val="20"/>
              </w:rPr>
              <w:t>Klimata un enerģētikas ministrija</w:t>
            </w:r>
          </w:p>
        </w:tc>
        <w:tc>
          <w:tcPr>
            <w:tcW w:w="323" w:type="pct"/>
            <w:shd w:val="clear" w:color="auto" w:fill="C6EFCE"/>
          </w:tcPr>
          <w:p w14:paraId="1B6D98A0"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lang w:eastAsia="en-GB"/>
              </w:rPr>
            </w:pPr>
          </w:p>
        </w:tc>
        <w:tc>
          <w:tcPr>
            <w:tcW w:w="539" w:type="pct"/>
            <w:shd w:val="clear" w:color="auto" w:fill="C6EFCE"/>
          </w:tcPr>
          <w:p w14:paraId="5684E5F9"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r w:rsidRPr="00A116F8">
              <w:rPr>
                <w:rFonts w:ascii="Times New Roman" w:hAnsi="Times New Roman"/>
                <w:sz w:val="18"/>
                <w:szCs w:val="20"/>
              </w:rPr>
              <w:t>Kopsavilkuma dokuments, kurā pienācīgi pamatots, kā tika apmierinoši sasniegts mērķis (tostarp visi būtiskie elementi, kas uzskaitīti Padomes Īstenošanas lēmuma pielikumā sniegtajā mērķa un attiecīgā pasākuma aprakstā), kopā ar atbilstošām saitēm uz pamatojošajiem pierādījumiem.</w:t>
            </w:r>
          </w:p>
          <w:p w14:paraId="437775F8"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p>
          <w:p w14:paraId="58F5963D"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r w:rsidRPr="00A116F8">
              <w:rPr>
                <w:rFonts w:ascii="Times New Roman" w:hAnsi="Times New Roman"/>
                <w:sz w:val="18"/>
                <w:szCs w:val="20"/>
              </w:rPr>
              <w:t>Šā dokumenta pielikumā iekļauj šādus dokumentārus pierādījumus:</w:t>
            </w:r>
          </w:p>
          <w:p w14:paraId="6091989F"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r w:rsidRPr="00A116F8">
              <w:rPr>
                <w:rFonts w:ascii="Times New Roman" w:hAnsi="Times New Roman"/>
                <w:sz w:val="18"/>
                <w:szCs w:val="20"/>
              </w:rPr>
              <w:t>- darbuzņēmēja(-u) un līgumslēdzējas(-u) iestādes(-žu) parakstītu(-us) apliecinājumu(-us) par elektroenerģiju uzkrājošo bateriju sistēmas (</w:t>
            </w:r>
            <w:r w:rsidRPr="00A116F8">
              <w:rPr>
                <w:rFonts w:ascii="Times New Roman" w:hAnsi="Times New Roman"/>
                <w:i/>
                <w:iCs/>
                <w:sz w:val="18"/>
                <w:szCs w:val="20"/>
              </w:rPr>
              <w:t>BESS</w:t>
            </w:r>
            <w:r w:rsidRPr="00A116F8">
              <w:rPr>
                <w:rFonts w:ascii="Times New Roman" w:hAnsi="Times New Roman"/>
                <w:sz w:val="18"/>
                <w:szCs w:val="20"/>
              </w:rPr>
              <w:t xml:space="preserve">) </w:t>
            </w:r>
            <w:r w:rsidRPr="00A116F8">
              <w:rPr>
                <w:rFonts w:ascii="Times New Roman" w:hAnsi="Times New Roman"/>
                <w:sz w:val="18"/>
                <w:szCs w:val="20"/>
              </w:rPr>
              <w:lastRenderedPageBreak/>
              <w:t>uzstādīšanas darbu pabeigšanu un to, ka elektroenerģijas uzkrāšanas jauda ir 60 MW.</w:t>
            </w:r>
          </w:p>
        </w:tc>
        <w:tc>
          <w:tcPr>
            <w:tcW w:w="512" w:type="pct"/>
            <w:shd w:val="clear" w:color="auto" w:fill="C6EFCE"/>
          </w:tcPr>
          <w:p w14:paraId="4C98EC45"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lastRenderedPageBreak/>
              <w:t>Rēzeknē ir uzstādīta 60 MW elektroenerģiju uzkrājošo bateriju sistēma (</w:t>
            </w:r>
            <w:r w:rsidRPr="00A116F8">
              <w:rPr>
                <w:rFonts w:ascii="Times New Roman" w:hAnsi="Times New Roman"/>
                <w:i/>
                <w:iCs/>
                <w:sz w:val="18"/>
                <w:szCs w:val="20"/>
              </w:rPr>
              <w:t>BESS</w:t>
            </w:r>
            <w:r w:rsidRPr="00A116F8">
              <w:rPr>
                <w:rFonts w:ascii="Times New Roman" w:hAnsi="Times New Roman"/>
                <w:sz w:val="18"/>
                <w:szCs w:val="20"/>
              </w:rPr>
              <w:t>).</w:t>
            </w:r>
          </w:p>
        </w:tc>
      </w:tr>
      <w:tr w:rsidR="00A116F8" w:rsidRPr="00A116F8" w14:paraId="7933C9D3" w14:textId="77777777" w:rsidTr="00A116F8">
        <w:trPr>
          <w:trHeight w:val="1200"/>
          <w:jc w:val="center"/>
        </w:trPr>
        <w:tc>
          <w:tcPr>
            <w:tcW w:w="148" w:type="pct"/>
            <w:shd w:val="clear" w:color="auto" w:fill="C6EFCE"/>
          </w:tcPr>
          <w:p w14:paraId="01C45510"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222</w:t>
            </w:r>
          </w:p>
        </w:tc>
        <w:tc>
          <w:tcPr>
            <w:tcW w:w="482" w:type="pct"/>
            <w:shd w:val="clear" w:color="auto" w:fill="C6EFCE"/>
          </w:tcPr>
          <w:p w14:paraId="63FFE9A7" w14:textId="77777777" w:rsidR="001A3E6F" w:rsidRPr="00A116F8" w:rsidRDefault="001A3E6F" w:rsidP="00A116F8">
            <w:pPr>
              <w:widowControl w:val="0"/>
              <w:spacing w:after="0" w:line="240" w:lineRule="auto"/>
              <w:ind w:left="57" w:right="57"/>
              <w:rPr>
                <w:rFonts w:ascii="Times New Roman" w:eastAsia="Times New Roman" w:hAnsi="Times New Roman" w:cs="Times New Roman"/>
                <w:b/>
                <w:bCs/>
                <w:noProof/>
                <w:sz w:val="18"/>
                <w:szCs w:val="20"/>
              </w:rPr>
            </w:pPr>
            <w:r w:rsidRPr="00A116F8">
              <w:rPr>
                <w:rFonts w:ascii="Times New Roman" w:hAnsi="Times New Roman"/>
                <w:b/>
                <w:sz w:val="18"/>
                <w:szCs w:val="20"/>
              </w:rPr>
              <w:t>7.2.i. Energoapgādes drošība un stabilitāte un sinhronizācija ar Savienības tīklu</w:t>
            </w:r>
          </w:p>
        </w:tc>
        <w:tc>
          <w:tcPr>
            <w:tcW w:w="293" w:type="pct"/>
            <w:shd w:val="clear" w:color="auto" w:fill="C6EFCE"/>
          </w:tcPr>
          <w:p w14:paraId="6BB39744"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Atskaites punkts</w:t>
            </w:r>
          </w:p>
        </w:tc>
        <w:tc>
          <w:tcPr>
            <w:tcW w:w="439" w:type="pct"/>
            <w:shd w:val="clear" w:color="auto" w:fill="C6EFCE"/>
          </w:tcPr>
          <w:p w14:paraId="63BEF640"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IT risinājums elektroenerģijas pārvades tīkla pārvaldībai</w:t>
            </w:r>
          </w:p>
        </w:tc>
        <w:tc>
          <w:tcPr>
            <w:tcW w:w="439" w:type="pct"/>
            <w:shd w:val="clear" w:color="auto" w:fill="C6EFCE"/>
          </w:tcPr>
          <w:p w14:paraId="2FF9DA7B"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Ir ieviests IT risinājums elektroenerģijas pārvades tīkla pārvaldībai</w:t>
            </w:r>
          </w:p>
        </w:tc>
        <w:tc>
          <w:tcPr>
            <w:tcW w:w="353" w:type="pct"/>
            <w:shd w:val="clear" w:color="auto" w:fill="C6EFCE"/>
          </w:tcPr>
          <w:p w14:paraId="1F3F635F"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Neattiecas</w:t>
            </w:r>
          </w:p>
        </w:tc>
        <w:tc>
          <w:tcPr>
            <w:tcW w:w="307" w:type="pct"/>
            <w:shd w:val="clear" w:color="auto" w:fill="C6EFCE"/>
          </w:tcPr>
          <w:p w14:paraId="5DD40050"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Neattiecas</w:t>
            </w:r>
          </w:p>
        </w:tc>
        <w:tc>
          <w:tcPr>
            <w:tcW w:w="307" w:type="pct"/>
            <w:shd w:val="clear" w:color="auto" w:fill="C6EFCE"/>
          </w:tcPr>
          <w:p w14:paraId="291CDDDF"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Neattiecas</w:t>
            </w:r>
          </w:p>
        </w:tc>
        <w:tc>
          <w:tcPr>
            <w:tcW w:w="337" w:type="pct"/>
            <w:shd w:val="clear" w:color="auto" w:fill="C6EFCE"/>
          </w:tcPr>
          <w:p w14:paraId="53788190"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4. cet.</w:t>
            </w:r>
          </w:p>
        </w:tc>
        <w:tc>
          <w:tcPr>
            <w:tcW w:w="191" w:type="pct"/>
            <w:shd w:val="clear" w:color="auto" w:fill="C6EFCE"/>
          </w:tcPr>
          <w:p w14:paraId="510F4B13"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2025</w:t>
            </w:r>
          </w:p>
        </w:tc>
        <w:tc>
          <w:tcPr>
            <w:tcW w:w="330" w:type="pct"/>
            <w:shd w:val="clear" w:color="auto" w:fill="C6EFCE"/>
          </w:tcPr>
          <w:p w14:paraId="52C008F8" w14:textId="77777777" w:rsidR="001A3E6F" w:rsidRPr="00A116F8" w:rsidRDefault="001A3E6F" w:rsidP="00A116F8">
            <w:pPr>
              <w:widowControl w:val="0"/>
              <w:spacing w:after="0" w:line="240" w:lineRule="auto"/>
              <w:ind w:left="57" w:right="57"/>
              <w:rPr>
                <w:rFonts w:ascii="Times New Roman" w:eastAsia="Arial Narrow" w:hAnsi="Times New Roman" w:cs="Arial Narrow"/>
                <w:noProof/>
                <w:sz w:val="18"/>
                <w:szCs w:val="20"/>
              </w:rPr>
            </w:pPr>
            <w:r w:rsidRPr="00A116F8">
              <w:rPr>
                <w:rFonts w:ascii="Times New Roman" w:hAnsi="Times New Roman"/>
                <w:sz w:val="18"/>
                <w:szCs w:val="20"/>
              </w:rPr>
              <w:t>Klimata un enerģētikas ministrija</w:t>
            </w:r>
          </w:p>
        </w:tc>
        <w:tc>
          <w:tcPr>
            <w:tcW w:w="323" w:type="pct"/>
            <w:shd w:val="clear" w:color="auto" w:fill="C6EFCE"/>
          </w:tcPr>
          <w:p w14:paraId="2C24EF9B"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lang w:eastAsia="en-GB"/>
              </w:rPr>
            </w:pPr>
          </w:p>
        </w:tc>
        <w:tc>
          <w:tcPr>
            <w:tcW w:w="539" w:type="pct"/>
            <w:shd w:val="clear" w:color="auto" w:fill="C6EFCE"/>
          </w:tcPr>
          <w:p w14:paraId="2008DB29"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r w:rsidRPr="00A116F8">
              <w:rPr>
                <w:rFonts w:ascii="Times New Roman" w:hAnsi="Times New Roman"/>
                <w:sz w:val="18"/>
                <w:szCs w:val="20"/>
              </w:rPr>
              <w:t>Kopsavilkuma dokuments, kurā pienācīgi pamatots, kā tika apmierinoši sasniegts atskaites punkts (tostarp visi būtiskie elementi, kas uzskaitīti Padomes Īstenošanas lēmuma pielikumā sniegtajā atskaites punkta un attiecīgā pasākuma aprakstā), kopā ar atbilstošām saitēm uz pamatojošajiem pierādījumiem.</w:t>
            </w:r>
          </w:p>
          <w:p w14:paraId="0ECC832C"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p>
          <w:p w14:paraId="56D0E934"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r w:rsidRPr="00A116F8">
              <w:rPr>
                <w:rFonts w:ascii="Times New Roman" w:hAnsi="Times New Roman"/>
                <w:sz w:val="18"/>
                <w:szCs w:val="20"/>
              </w:rPr>
              <w:t>Šā dokumenta pielikumā iekļauj šādus dokumentārus pierādījumus:</w:t>
            </w:r>
          </w:p>
          <w:p w14:paraId="278F4EE7"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r w:rsidRPr="00A116F8">
              <w:rPr>
                <w:rFonts w:ascii="Times New Roman" w:hAnsi="Times New Roman"/>
                <w:sz w:val="18"/>
                <w:szCs w:val="20"/>
              </w:rPr>
              <w:t xml:space="preserve">- darbuzņēmēja(-u) un </w:t>
            </w:r>
            <w:r w:rsidRPr="00A116F8">
              <w:rPr>
                <w:rFonts w:ascii="Times New Roman" w:hAnsi="Times New Roman"/>
                <w:sz w:val="18"/>
                <w:szCs w:val="20"/>
              </w:rPr>
              <w:lastRenderedPageBreak/>
              <w:t>līgumslēdzējas(-u) iestādes(-žu) parakstītu(-us) apliecinājumu(-us) par IT risinājuma pabeigšanu un ieviešanu, tostarp visu atskaites punkta aprakstā noteikto prasību izpildi.</w:t>
            </w:r>
          </w:p>
        </w:tc>
        <w:tc>
          <w:tcPr>
            <w:tcW w:w="512" w:type="pct"/>
            <w:shd w:val="clear" w:color="auto" w:fill="C6EFCE"/>
          </w:tcPr>
          <w:p w14:paraId="3FD2B3AF"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lastRenderedPageBreak/>
              <w:t>Ir ieviests IT risinājums elektroenerģijas pārvades tīkla pārvaldībai. Tas ietver:</w:t>
            </w:r>
          </w:p>
          <w:p w14:paraId="11440A28"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 kiberdrošības risinājuma ieviešanu attiecībā uz kritiski svarīgu elektroenerģijas pārvades infrastruktūru;</w:t>
            </w:r>
          </w:p>
          <w:p w14:paraId="7A46623D" w14:textId="77777777" w:rsidR="001A3E6F" w:rsidRPr="00A116F8" w:rsidRDefault="001A3E6F" w:rsidP="00A116F8">
            <w:pPr>
              <w:widowControl w:val="0"/>
              <w:spacing w:after="0" w:line="240" w:lineRule="auto"/>
              <w:ind w:left="57" w:right="57"/>
              <w:rPr>
                <w:rFonts w:ascii="Times New Roman" w:hAnsi="Times New Roman"/>
                <w:noProof/>
                <w:sz w:val="18"/>
                <w:szCs w:val="20"/>
              </w:rPr>
            </w:pPr>
            <w:r w:rsidRPr="00A116F8">
              <w:rPr>
                <w:rFonts w:ascii="Times New Roman" w:hAnsi="Times New Roman"/>
                <w:sz w:val="18"/>
                <w:szCs w:val="20"/>
              </w:rPr>
              <w:t>- koncepcijas izstrādi un programmatūras risinājumu iegādi un uzstādīšanu, lai viedi pārvaldītu atjaunojamās elektroenerģijas savienojumus ar valsts elektroenerģijas pārvades tīklu.</w:t>
            </w:r>
          </w:p>
        </w:tc>
      </w:tr>
      <w:tr w:rsidR="00A116F8" w:rsidRPr="00A116F8" w14:paraId="4D0E0F98" w14:textId="77777777" w:rsidTr="00A116F8">
        <w:trPr>
          <w:trHeight w:val="1200"/>
          <w:jc w:val="center"/>
        </w:trPr>
        <w:tc>
          <w:tcPr>
            <w:tcW w:w="148" w:type="pct"/>
            <w:shd w:val="clear" w:color="auto" w:fill="C6EFCE"/>
          </w:tcPr>
          <w:p w14:paraId="52D293AB"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223</w:t>
            </w:r>
          </w:p>
        </w:tc>
        <w:tc>
          <w:tcPr>
            <w:tcW w:w="482" w:type="pct"/>
            <w:shd w:val="clear" w:color="auto" w:fill="C6EFCE"/>
          </w:tcPr>
          <w:p w14:paraId="7377F63D" w14:textId="77777777" w:rsidR="001A3E6F" w:rsidRPr="00A116F8" w:rsidRDefault="001A3E6F" w:rsidP="00A116F8">
            <w:pPr>
              <w:widowControl w:val="0"/>
              <w:spacing w:after="0" w:line="240" w:lineRule="auto"/>
              <w:ind w:left="57" w:right="57"/>
              <w:rPr>
                <w:rFonts w:ascii="Times New Roman" w:eastAsia="Times New Roman" w:hAnsi="Times New Roman" w:cs="Times New Roman"/>
                <w:b/>
                <w:bCs/>
                <w:noProof/>
                <w:sz w:val="18"/>
                <w:szCs w:val="20"/>
              </w:rPr>
            </w:pPr>
            <w:r w:rsidRPr="00A116F8">
              <w:rPr>
                <w:rFonts w:ascii="Times New Roman" w:hAnsi="Times New Roman"/>
                <w:b/>
                <w:sz w:val="18"/>
                <w:szCs w:val="20"/>
              </w:rPr>
              <w:t>7.3.i. Elektroenerģijas pārvades un sadales tīklu modernizācija, digitalizācija un drošība</w:t>
            </w:r>
          </w:p>
        </w:tc>
        <w:tc>
          <w:tcPr>
            <w:tcW w:w="293" w:type="pct"/>
            <w:shd w:val="clear" w:color="auto" w:fill="C6EFCE"/>
          </w:tcPr>
          <w:p w14:paraId="5C2E6A4F"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Atskaites punkts</w:t>
            </w:r>
          </w:p>
        </w:tc>
        <w:tc>
          <w:tcPr>
            <w:tcW w:w="439" w:type="pct"/>
            <w:shd w:val="clear" w:color="auto" w:fill="C6EFCE"/>
          </w:tcPr>
          <w:p w14:paraId="7BB1451E"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Noteikumi, kas reglamentē investīcijas valsts elektroenerģijas pārvades un sadales tīklos</w:t>
            </w:r>
          </w:p>
        </w:tc>
        <w:tc>
          <w:tcPr>
            <w:tcW w:w="439" w:type="pct"/>
            <w:shd w:val="clear" w:color="auto" w:fill="C6EFCE"/>
          </w:tcPr>
          <w:p w14:paraId="5AB589BB"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 xml:space="preserve">Tiesību normas, kas nosaka to noteikumu stāšanos spēkā, kuri reglamentē investīcijas valsts elektroenerģijas pārvades un sadales tīklos </w:t>
            </w:r>
          </w:p>
        </w:tc>
        <w:tc>
          <w:tcPr>
            <w:tcW w:w="353" w:type="pct"/>
            <w:shd w:val="clear" w:color="auto" w:fill="C6EFCE"/>
          </w:tcPr>
          <w:p w14:paraId="0171B244"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Neattiecas</w:t>
            </w:r>
          </w:p>
        </w:tc>
        <w:tc>
          <w:tcPr>
            <w:tcW w:w="307" w:type="pct"/>
            <w:shd w:val="clear" w:color="auto" w:fill="C6EFCE"/>
          </w:tcPr>
          <w:p w14:paraId="01D07A54"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Neattiecas</w:t>
            </w:r>
          </w:p>
        </w:tc>
        <w:tc>
          <w:tcPr>
            <w:tcW w:w="307" w:type="pct"/>
            <w:shd w:val="clear" w:color="auto" w:fill="C6EFCE"/>
          </w:tcPr>
          <w:p w14:paraId="35F18EA8"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Neattiecas</w:t>
            </w:r>
          </w:p>
        </w:tc>
        <w:tc>
          <w:tcPr>
            <w:tcW w:w="337" w:type="pct"/>
            <w:shd w:val="clear" w:color="auto" w:fill="C6EFCE"/>
          </w:tcPr>
          <w:p w14:paraId="0EFA9378"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4. cet.</w:t>
            </w:r>
          </w:p>
        </w:tc>
        <w:tc>
          <w:tcPr>
            <w:tcW w:w="191" w:type="pct"/>
            <w:shd w:val="clear" w:color="auto" w:fill="C6EFCE"/>
          </w:tcPr>
          <w:p w14:paraId="3DF811F3"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2024</w:t>
            </w:r>
          </w:p>
        </w:tc>
        <w:tc>
          <w:tcPr>
            <w:tcW w:w="330" w:type="pct"/>
            <w:shd w:val="clear" w:color="auto" w:fill="C6EFCE"/>
          </w:tcPr>
          <w:p w14:paraId="70D56952" w14:textId="77777777" w:rsidR="001A3E6F" w:rsidRPr="00A116F8" w:rsidRDefault="001A3E6F" w:rsidP="00A116F8">
            <w:pPr>
              <w:widowControl w:val="0"/>
              <w:spacing w:after="0" w:line="240" w:lineRule="auto"/>
              <w:ind w:left="57" w:right="57"/>
              <w:rPr>
                <w:rFonts w:ascii="Times New Roman" w:eastAsia="Arial Narrow" w:hAnsi="Times New Roman" w:cs="Arial Narrow"/>
                <w:noProof/>
                <w:sz w:val="18"/>
                <w:szCs w:val="20"/>
              </w:rPr>
            </w:pPr>
            <w:r w:rsidRPr="00A116F8">
              <w:rPr>
                <w:rFonts w:ascii="Times New Roman" w:hAnsi="Times New Roman"/>
                <w:sz w:val="18"/>
                <w:szCs w:val="20"/>
              </w:rPr>
              <w:t>Klimata un enerģētikas ministrija</w:t>
            </w:r>
          </w:p>
        </w:tc>
        <w:tc>
          <w:tcPr>
            <w:tcW w:w="323" w:type="pct"/>
            <w:shd w:val="clear" w:color="auto" w:fill="C6EFCE"/>
          </w:tcPr>
          <w:p w14:paraId="46366B05"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lang w:eastAsia="en-GB"/>
              </w:rPr>
            </w:pPr>
          </w:p>
        </w:tc>
        <w:tc>
          <w:tcPr>
            <w:tcW w:w="539" w:type="pct"/>
            <w:shd w:val="clear" w:color="auto" w:fill="C6EFCE"/>
          </w:tcPr>
          <w:p w14:paraId="30B47EF3"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r w:rsidRPr="00A116F8">
              <w:rPr>
                <w:rFonts w:ascii="Times New Roman" w:hAnsi="Times New Roman"/>
                <w:sz w:val="18"/>
                <w:szCs w:val="20"/>
              </w:rPr>
              <w:t xml:space="preserve">Kopija publikācijai oficiālajā izdevumā, kopā ar kopsavilkuma dokumentu, kurā pienācīgi pamatots, kā tika apmierinoši sasniegts atskaites punkts. Šajā kopsavilkuma dokumentā iekļauj atsauci uz attiecīgajiem noteikumiem, kuros norādīta stāšanās spēkā, un noteikumiem par to atskaites punkta būtisko elementu izpildi, kas uzskaitīti Padomes Īstenošanas </w:t>
            </w:r>
            <w:r w:rsidRPr="00A116F8">
              <w:rPr>
                <w:rFonts w:ascii="Times New Roman" w:hAnsi="Times New Roman"/>
                <w:sz w:val="18"/>
                <w:szCs w:val="20"/>
              </w:rPr>
              <w:lastRenderedPageBreak/>
              <w:t>lēmuma pielikumā sniegtajā atskaites punkta un attiecīgā pasākuma aprakstā, kā arī sarakstu ar investīcijām, kuras reglamentē noteikumi, kopā ar investīciju tvēruma un mērķu aprakstu.</w:t>
            </w:r>
          </w:p>
        </w:tc>
        <w:tc>
          <w:tcPr>
            <w:tcW w:w="512" w:type="pct"/>
            <w:shd w:val="clear" w:color="auto" w:fill="C6EFCE"/>
          </w:tcPr>
          <w:p w14:paraId="17770BD8" w14:textId="77777777" w:rsidR="001A3E6F" w:rsidRPr="00A116F8" w:rsidRDefault="001A3E6F" w:rsidP="00A116F8">
            <w:pPr>
              <w:widowControl w:val="0"/>
              <w:spacing w:after="0" w:line="240" w:lineRule="auto"/>
              <w:ind w:left="57" w:right="57"/>
              <w:rPr>
                <w:rFonts w:ascii="Times New Roman" w:hAnsi="Times New Roman"/>
                <w:noProof/>
                <w:sz w:val="18"/>
                <w:szCs w:val="20"/>
              </w:rPr>
            </w:pPr>
            <w:r w:rsidRPr="00A116F8">
              <w:rPr>
                <w:rFonts w:ascii="Times New Roman" w:hAnsi="Times New Roman"/>
                <w:sz w:val="18"/>
                <w:szCs w:val="20"/>
              </w:rPr>
              <w:lastRenderedPageBreak/>
              <w:t>Stājas spēkā Ministru kabineta noteikumi, kas reglamentē investīcijas saistībā ar jaunu elektrotīkla jaudu, apakšstacijām, pārvades līnijām un viedu enerģijas sadales pārvaldību.</w:t>
            </w:r>
          </w:p>
        </w:tc>
      </w:tr>
      <w:tr w:rsidR="00A116F8" w:rsidRPr="00A116F8" w14:paraId="17D28D8F" w14:textId="77777777" w:rsidTr="00A116F8">
        <w:trPr>
          <w:trHeight w:val="671"/>
          <w:jc w:val="center"/>
        </w:trPr>
        <w:tc>
          <w:tcPr>
            <w:tcW w:w="148" w:type="pct"/>
            <w:shd w:val="clear" w:color="auto" w:fill="C6EFCE"/>
          </w:tcPr>
          <w:p w14:paraId="2F7927EA"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224</w:t>
            </w:r>
          </w:p>
        </w:tc>
        <w:tc>
          <w:tcPr>
            <w:tcW w:w="482" w:type="pct"/>
            <w:shd w:val="clear" w:color="auto" w:fill="C6EFCE"/>
          </w:tcPr>
          <w:p w14:paraId="55FD12D9" w14:textId="77777777" w:rsidR="001A3E6F" w:rsidRPr="00A116F8" w:rsidRDefault="001A3E6F" w:rsidP="00A116F8">
            <w:pPr>
              <w:widowControl w:val="0"/>
              <w:spacing w:after="0" w:line="240" w:lineRule="auto"/>
              <w:ind w:left="57" w:right="57"/>
              <w:rPr>
                <w:rFonts w:ascii="Times New Roman" w:eastAsia="Times New Roman" w:hAnsi="Times New Roman" w:cs="Times New Roman"/>
                <w:b/>
                <w:bCs/>
                <w:noProof/>
                <w:sz w:val="18"/>
                <w:szCs w:val="20"/>
              </w:rPr>
            </w:pPr>
            <w:r w:rsidRPr="00A116F8">
              <w:rPr>
                <w:rFonts w:ascii="Times New Roman" w:hAnsi="Times New Roman"/>
                <w:b/>
                <w:sz w:val="18"/>
                <w:szCs w:val="20"/>
              </w:rPr>
              <w:t>7.3.i. Elektroenerģijas pārvades un sadales tīklu modernizācija, digitalizācija un drošība</w:t>
            </w:r>
          </w:p>
        </w:tc>
        <w:tc>
          <w:tcPr>
            <w:tcW w:w="293" w:type="pct"/>
            <w:shd w:val="clear" w:color="auto" w:fill="C6EFCE"/>
          </w:tcPr>
          <w:p w14:paraId="68C8FCAD"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Mērķis</w:t>
            </w:r>
          </w:p>
        </w:tc>
        <w:tc>
          <w:tcPr>
            <w:tcW w:w="439" w:type="pct"/>
            <w:shd w:val="clear" w:color="auto" w:fill="C6EFCE"/>
          </w:tcPr>
          <w:p w14:paraId="01925DA1"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Elektrotīkla papildu jauda</w:t>
            </w:r>
          </w:p>
        </w:tc>
        <w:tc>
          <w:tcPr>
            <w:tcW w:w="439" w:type="pct"/>
            <w:shd w:val="clear" w:color="auto" w:fill="C6EFCE"/>
          </w:tcPr>
          <w:p w14:paraId="671EA8BA"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Neattiecas</w:t>
            </w:r>
          </w:p>
        </w:tc>
        <w:tc>
          <w:tcPr>
            <w:tcW w:w="353" w:type="pct"/>
            <w:shd w:val="clear" w:color="auto" w:fill="C6EFCE"/>
          </w:tcPr>
          <w:p w14:paraId="1E3BCD1A"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MW</w:t>
            </w:r>
          </w:p>
        </w:tc>
        <w:tc>
          <w:tcPr>
            <w:tcW w:w="307" w:type="pct"/>
            <w:shd w:val="clear" w:color="auto" w:fill="C6EFCE"/>
          </w:tcPr>
          <w:p w14:paraId="7738221A"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0</w:t>
            </w:r>
          </w:p>
        </w:tc>
        <w:tc>
          <w:tcPr>
            <w:tcW w:w="307" w:type="pct"/>
            <w:shd w:val="clear" w:color="auto" w:fill="C6EFCE"/>
          </w:tcPr>
          <w:p w14:paraId="3F814079"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70</w:t>
            </w:r>
          </w:p>
        </w:tc>
        <w:tc>
          <w:tcPr>
            <w:tcW w:w="337" w:type="pct"/>
            <w:shd w:val="clear" w:color="auto" w:fill="C6EFCE"/>
          </w:tcPr>
          <w:p w14:paraId="5C9333B4"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2. cet.</w:t>
            </w:r>
          </w:p>
        </w:tc>
        <w:tc>
          <w:tcPr>
            <w:tcW w:w="191" w:type="pct"/>
            <w:shd w:val="clear" w:color="auto" w:fill="C6EFCE"/>
          </w:tcPr>
          <w:p w14:paraId="163360C0"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2026</w:t>
            </w:r>
          </w:p>
        </w:tc>
        <w:tc>
          <w:tcPr>
            <w:tcW w:w="330" w:type="pct"/>
            <w:shd w:val="clear" w:color="auto" w:fill="C6EFCE"/>
          </w:tcPr>
          <w:p w14:paraId="4C136FDB" w14:textId="77777777" w:rsidR="001A3E6F" w:rsidRPr="00A116F8" w:rsidRDefault="001A3E6F" w:rsidP="00A116F8">
            <w:pPr>
              <w:widowControl w:val="0"/>
              <w:spacing w:after="0" w:line="240" w:lineRule="auto"/>
              <w:ind w:left="57" w:right="57"/>
              <w:rPr>
                <w:rFonts w:ascii="Times New Roman" w:eastAsia="Arial Narrow" w:hAnsi="Times New Roman" w:cs="Arial Narrow"/>
                <w:noProof/>
                <w:sz w:val="18"/>
                <w:szCs w:val="20"/>
              </w:rPr>
            </w:pPr>
            <w:r w:rsidRPr="00A116F8">
              <w:rPr>
                <w:rFonts w:ascii="Times New Roman" w:hAnsi="Times New Roman"/>
                <w:sz w:val="18"/>
                <w:szCs w:val="20"/>
              </w:rPr>
              <w:t>Klimata un enerģētikas ministrija</w:t>
            </w:r>
          </w:p>
        </w:tc>
        <w:tc>
          <w:tcPr>
            <w:tcW w:w="323" w:type="pct"/>
            <w:shd w:val="clear" w:color="auto" w:fill="C6EFCE"/>
          </w:tcPr>
          <w:p w14:paraId="20B6F0B0"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lang w:eastAsia="en-GB"/>
              </w:rPr>
            </w:pPr>
          </w:p>
        </w:tc>
        <w:tc>
          <w:tcPr>
            <w:tcW w:w="539" w:type="pct"/>
            <w:shd w:val="clear" w:color="auto" w:fill="C6EFCE"/>
          </w:tcPr>
          <w:p w14:paraId="253C5865"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r w:rsidRPr="00A116F8">
              <w:rPr>
                <w:rFonts w:ascii="Times New Roman" w:hAnsi="Times New Roman"/>
                <w:sz w:val="18"/>
                <w:szCs w:val="20"/>
              </w:rPr>
              <w:t>Kopsavilkuma dokuments, kurā pienācīgi pamatots, kā tika apmierinoši sasniegts mērķis (tostarp visi būtiskie elementi, kas uzskaitīti Padomes Īstenošanas lēmuma pielikumā sniegtajā mērķa un attiecīgā pasākuma aprakstā), kopā ar atbilstošām saitēm uz pamatojošajiem pierādījumiem.</w:t>
            </w:r>
          </w:p>
          <w:p w14:paraId="1717E6F9"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p>
          <w:p w14:paraId="0B048E7D"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r w:rsidRPr="00A116F8">
              <w:rPr>
                <w:rFonts w:ascii="Times New Roman" w:hAnsi="Times New Roman"/>
                <w:sz w:val="18"/>
                <w:szCs w:val="20"/>
              </w:rPr>
              <w:t xml:space="preserve">Šā dokumenta </w:t>
            </w:r>
            <w:r w:rsidRPr="00A116F8">
              <w:rPr>
                <w:rFonts w:ascii="Times New Roman" w:hAnsi="Times New Roman"/>
                <w:sz w:val="18"/>
                <w:szCs w:val="20"/>
              </w:rPr>
              <w:lastRenderedPageBreak/>
              <w:t>pielikumā iekļauj darbuzņēmēja(-u) un līgumslēdzējas(-u) iestādes(-žu) parakstītu(-us) apliecinājumu(-us) par to, ka ir pabeigta jaunu apakšstaciju būvniecība un/vai esošo apakšstaciju atjaunošana, un norāda izveidoto papildu jaudu, izteiktu MW mērvienībās.</w:t>
            </w:r>
          </w:p>
        </w:tc>
        <w:tc>
          <w:tcPr>
            <w:tcW w:w="512" w:type="pct"/>
            <w:shd w:val="clear" w:color="auto" w:fill="C6EFCE"/>
          </w:tcPr>
          <w:p w14:paraId="48DB1572"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lastRenderedPageBreak/>
              <w:t xml:space="preserve">Attīstīta jauna elektrotīkla jauda, kopumā 70 MW. </w:t>
            </w:r>
          </w:p>
        </w:tc>
      </w:tr>
      <w:tr w:rsidR="00A116F8" w:rsidRPr="00A116F8" w14:paraId="5B85284B" w14:textId="77777777" w:rsidTr="00A116F8">
        <w:trPr>
          <w:trHeight w:val="1200"/>
          <w:jc w:val="center"/>
        </w:trPr>
        <w:tc>
          <w:tcPr>
            <w:tcW w:w="148" w:type="pct"/>
            <w:shd w:val="clear" w:color="auto" w:fill="C6EFCE"/>
          </w:tcPr>
          <w:p w14:paraId="038D63F2"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225</w:t>
            </w:r>
          </w:p>
        </w:tc>
        <w:tc>
          <w:tcPr>
            <w:tcW w:w="482" w:type="pct"/>
            <w:shd w:val="clear" w:color="auto" w:fill="C6EFCE"/>
          </w:tcPr>
          <w:p w14:paraId="623FE8D8" w14:textId="77777777" w:rsidR="001A3E6F" w:rsidRPr="00A116F8" w:rsidRDefault="001A3E6F" w:rsidP="00A116F8">
            <w:pPr>
              <w:widowControl w:val="0"/>
              <w:spacing w:after="0" w:line="240" w:lineRule="auto"/>
              <w:ind w:left="57" w:right="57"/>
              <w:rPr>
                <w:rFonts w:ascii="Times New Roman" w:eastAsia="Times New Roman" w:hAnsi="Times New Roman" w:cs="Times New Roman"/>
                <w:b/>
                <w:bCs/>
                <w:noProof/>
                <w:sz w:val="18"/>
                <w:szCs w:val="20"/>
              </w:rPr>
            </w:pPr>
            <w:r w:rsidRPr="00A116F8">
              <w:rPr>
                <w:rFonts w:ascii="Times New Roman" w:hAnsi="Times New Roman"/>
                <w:b/>
                <w:sz w:val="18"/>
                <w:szCs w:val="20"/>
              </w:rPr>
              <w:t>7.3.i. Elektroenerģijas pārvades un sadales tīklu modernizācija, digitalizācija un drošība</w:t>
            </w:r>
          </w:p>
        </w:tc>
        <w:tc>
          <w:tcPr>
            <w:tcW w:w="293" w:type="pct"/>
            <w:shd w:val="clear" w:color="auto" w:fill="C6EFCE"/>
          </w:tcPr>
          <w:p w14:paraId="48D48D92"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Atskaites punkts</w:t>
            </w:r>
          </w:p>
        </w:tc>
        <w:tc>
          <w:tcPr>
            <w:tcW w:w="439" w:type="pct"/>
            <w:shd w:val="clear" w:color="auto" w:fill="C6EFCE"/>
          </w:tcPr>
          <w:p w14:paraId="1D47F17C"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Darbu pie apakšstacijām pabeigšana</w:t>
            </w:r>
          </w:p>
        </w:tc>
        <w:tc>
          <w:tcPr>
            <w:tcW w:w="439" w:type="pct"/>
            <w:shd w:val="clear" w:color="auto" w:fill="C6EFCE"/>
          </w:tcPr>
          <w:p w14:paraId="6C07D48C"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Pabeigta jaunas apakšstacijas būvniecība un esošas apakšstacijas atjaunošana</w:t>
            </w:r>
          </w:p>
        </w:tc>
        <w:tc>
          <w:tcPr>
            <w:tcW w:w="353" w:type="pct"/>
            <w:shd w:val="clear" w:color="auto" w:fill="C6EFCE"/>
          </w:tcPr>
          <w:p w14:paraId="0371E909"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Neattiecas</w:t>
            </w:r>
          </w:p>
        </w:tc>
        <w:tc>
          <w:tcPr>
            <w:tcW w:w="307" w:type="pct"/>
            <w:shd w:val="clear" w:color="auto" w:fill="C6EFCE"/>
          </w:tcPr>
          <w:p w14:paraId="4405C095"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Neattiecas</w:t>
            </w:r>
          </w:p>
        </w:tc>
        <w:tc>
          <w:tcPr>
            <w:tcW w:w="307" w:type="pct"/>
            <w:shd w:val="clear" w:color="auto" w:fill="C6EFCE"/>
          </w:tcPr>
          <w:p w14:paraId="2BB9E474"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Neattiecas</w:t>
            </w:r>
          </w:p>
        </w:tc>
        <w:tc>
          <w:tcPr>
            <w:tcW w:w="337" w:type="pct"/>
            <w:shd w:val="clear" w:color="auto" w:fill="C6EFCE"/>
          </w:tcPr>
          <w:p w14:paraId="157E0531"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2. cet.</w:t>
            </w:r>
          </w:p>
        </w:tc>
        <w:tc>
          <w:tcPr>
            <w:tcW w:w="191" w:type="pct"/>
            <w:shd w:val="clear" w:color="auto" w:fill="C6EFCE"/>
          </w:tcPr>
          <w:p w14:paraId="1E99F47B"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2026</w:t>
            </w:r>
          </w:p>
        </w:tc>
        <w:tc>
          <w:tcPr>
            <w:tcW w:w="330" w:type="pct"/>
            <w:shd w:val="clear" w:color="auto" w:fill="C6EFCE"/>
          </w:tcPr>
          <w:p w14:paraId="1344D7B2" w14:textId="77777777" w:rsidR="001A3E6F" w:rsidRPr="00A116F8" w:rsidRDefault="001A3E6F" w:rsidP="00A116F8">
            <w:pPr>
              <w:widowControl w:val="0"/>
              <w:spacing w:after="0" w:line="240" w:lineRule="auto"/>
              <w:ind w:left="57" w:right="57"/>
              <w:rPr>
                <w:rFonts w:ascii="Times New Roman" w:eastAsia="Arial Narrow" w:hAnsi="Times New Roman" w:cs="Arial Narrow"/>
                <w:noProof/>
                <w:sz w:val="18"/>
                <w:szCs w:val="20"/>
              </w:rPr>
            </w:pPr>
            <w:r w:rsidRPr="00A116F8">
              <w:rPr>
                <w:rFonts w:ascii="Times New Roman" w:hAnsi="Times New Roman"/>
                <w:sz w:val="18"/>
                <w:szCs w:val="20"/>
              </w:rPr>
              <w:t>Klimata un enerģētikas ministrija</w:t>
            </w:r>
          </w:p>
        </w:tc>
        <w:tc>
          <w:tcPr>
            <w:tcW w:w="323" w:type="pct"/>
            <w:shd w:val="clear" w:color="auto" w:fill="C6EFCE"/>
          </w:tcPr>
          <w:p w14:paraId="5313864E"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lang w:eastAsia="en-GB"/>
              </w:rPr>
            </w:pPr>
          </w:p>
        </w:tc>
        <w:tc>
          <w:tcPr>
            <w:tcW w:w="539" w:type="pct"/>
            <w:shd w:val="clear" w:color="auto" w:fill="C6EFCE"/>
          </w:tcPr>
          <w:p w14:paraId="2F14327B"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r w:rsidRPr="00A116F8">
              <w:rPr>
                <w:rFonts w:ascii="Times New Roman" w:hAnsi="Times New Roman"/>
                <w:sz w:val="18"/>
                <w:szCs w:val="20"/>
              </w:rPr>
              <w:t xml:space="preserve">Kopsavilkuma dokuments, kurā pienācīgi pamatots, kā tika apmierinoši sasniegts mērķis (tostarp visi būtiskie elementi, kas uzskaitīti Padomes Īstenošanas lēmuma pielikumā sniegtajā atskaites punkta un attiecīgā pasākuma aprakstā), kopā ar atbilstošām saitēm uz </w:t>
            </w:r>
            <w:r w:rsidRPr="00A116F8">
              <w:rPr>
                <w:rFonts w:ascii="Times New Roman" w:hAnsi="Times New Roman"/>
                <w:sz w:val="18"/>
                <w:szCs w:val="20"/>
              </w:rPr>
              <w:lastRenderedPageBreak/>
              <w:t>pamatojošajiem pierādījumiem.</w:t>
            </w:r>
          </w:p>
          <w:p w14:paraId="34E171D9"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p>
          <w:p w14:paraId="47D97184"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r w:rsidRPr="00A116F8">
              <w:rPr>
                <w:rFonts w:ascii="Times New Roman" w:hAnsi="Times New Roman"/>
                <w:sz w:val="18"/>
                <w:szCs w:val="20"/>
              </w:rPr>
              <w:t>Šā dokumenta pielikumā iekļauj:</w:t>
            </w:r>
          </w:p>
          <w:p w14:paraId="7BE4AD11"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r w:rsidRPr="00A116F8">
              <w:rPr>
                <w:rFonts w:ascii="Times New Roman" w:hAnsi="Times New Roman"/>
                <w:sz w:val="18"/>
                <w:szCs w:val="20"/>
              </w:rPr>
              <w:t>- darbuzņēmēja(-u) un līgumslēdzējas(-u) iestādes(-žu) parakstītu(-us) apliecinājumu(-us) par to, ka ir pabeigta jaunas digitālās apakšstacijas Kuldīgā būvniecība;</w:t>
            </w:r>
          </w:p>
          <w:p w14:paraId="0ED05665"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r w:rsidRPr="00A116F8">
              <w:rPr>
                <w:rFonts w:ascii="Times New Roman" w:hAnsi="Times New Roman"/>
                <w:sz w:val="18"/>
                <w:szCs w:val="20"/>
              </w:rPr>
              <w:t>darbuzņēmēja(-u) un līgumslēdzējas(-u) iestādes(-žu) parakstītu(-us) apliecinājumu(-us) par to, ka ir pabeigta digitālās apakšstacijas Carnikavā atjaunošana.</w:t>
            </w:r>
          </w:p>
        </w:tc>
        <w:tc>
          <w:tcPr>
            <w:tcW w:w="512" w:type="pct"/>
            <w:shd w:val="clear" w:color="auto" w:fill="C6EFCE"/>
          </w:tcPr>
          <w:p w14:paraId="698F25D9"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lastRenderedPageBreak/>
              <w:t>1) Digitālās apakšstacijas būvniecības Kuldīgā pabeigšana.</w:t>
            </w:r>
          </w:p>
          <w:p w14:paraId="33ABE8C6"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lang w:eastAsia="en-GB"/>
              </w:rPr>
            </w:pPr>
          </w:p>
          <w:p w14:paraId="650DBFD5"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2) Apakšstacijas atjaunošanas Carnikavā pabeigšana.</w:t>
            </w:r>
          </w:p>
        </w:tc>
      </w:tr>
      <w:tr w:rsidR="00A116F8" w:rsidRPr="00A116F8" w14:paraId="473FEA6B" w14:textId="77777777" w:rsidTr="00A116F8">
        <w:trPr>
          <w:trHeight w:val="1200"/>
          <w:jc w:val="center"/>
        </w:trPr>
        <w:tc>
          <w:tcPr>
            <w:tcW w:w="148" w:type="pct"/>
            <w:shd w:val="clear" w:color="auto" w:fill="C6EFCE"/>
          </w:tcPr>
          <w:p w14:paraId="1E679DE3"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226</w:t>
            </w:r>
          </w:p>
        </w:tc>
        <w:tc>
          <w:tcPr>
            <w:tcW w:w="482" w:type="pct"/>
            <w:shd w:val="clear" w:color="auto" w:fill="C6EFCE"/>
          </w:tcPr>
          <w:p w14:paraId="0820E2BD" w14:textId="77777777" w:rsidR="001A3E6F" w:rsidRPr="00A116F8" w:rsidRDefault="001A3E6F" w:rsidP="00A116F8">
            <w:pPr>
              <w:widowControl w:val="0"/>
              <w:spacing w:after="0" w:line="240" w:lineRule="auto"/>
              <w:ind w:left="57" w:right="57"/>
              <w:rPr>
                <w:rFonts w:ascii="Times New Roman" w:eastAsia="Times New Roman" w:hAnsi="Times New Roman" w:cs="Times New Roman"/>
                <w:b/>
                <w:bCs/>
                <w:noProof/>
                <w:sz w:val="18"/>
                <w:szCs w:val="20"/>
              </w:rPr>
            </w:pPr>
            <w:r w:rsidRPr="00A116F8">
              <w:rPr>
                <w:rFonts w:ascii="Times New Roman" w:hAnsi="Times New Roman"/>
                <w:b/>
                <w:sz w:val="18"/>
                <w:szCs w:val="20"/>
              </w:rPr>
              <w:t>7.3.i. Elektroenerģijas pārvades un sadales tīklu modernizācija, digitalizācija un drošība</w:t>
            </w:r>
          </w:p>
        </w:tc>
        <w:tc>
          <w:tcPr>
            <w:tcW w:w="293" w:type="pct"/>
            <w:shd w:val="clear" w:color="auto" w:fill="C6EFCE"/>
          </w:tcPr>
          <w:p w14:paraId="70A714E5"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Mērķis</w:t>
            </w:r>
          </w:p>
        </w:tc>
        <w:tc>
          <w:tcPr>
            <w:tcW w:w="439" w:type="pct"/>
            <w:shd w:val="clear" w:color="auto" w:fill="C6EFCE"/>
          </w:tcPr>
          <w:p w14:paraId="54D983C9"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Gaisvadu elektroenerģijas tīkls, kas pārveidots par kabeļtīklu</w:t>
            </w:r>
          </w:p>
        </w:tc>
        <w:tc>
          <w:tcPr>
            <w:tcW w:w="439" w:type="pct"/>
            <w:shd w:val="clear" w:color="auto" w:fill="C6EFCE"/>
          </w:tcPr>
          <w:p w14:paraId="37A193C1"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Neattiecas</w:t>
            </w:r>
          </w:p>
        </w:tc>
        <w:tc>
          <w:tcPr>
            <w:tcW w:w="353" w:type="pct"/>
            <w:shd w:val="clear" w:color="auto" w:fill="C6EFCE"/>
          </w:tcPr>
          <w:p w14:paraId="4CAE35DE"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km</w:t>
            </w:r>
          </w:p>
        </w:tc>
        <w:tc>
          <w:tcPr>
            <w:tcW w:w="307" w:type="pct"/>
            <w:shd w:val="clear" w:color="auto" w:fill="C6EFCE"/>
          </w:tcPr>
          <w:p w14:paraId="52556EEC"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0</w:t>
            </w:r>
          </w:p>
        </w:tc>
        <w:tc>
          <w:tcPr>
            <w:tcW w:w="307" w:type="pct"/>
            <w:shd w:val="clear" w:color="auto" w:fill="C6EFCE"/>
          </w:tcPr>
          <w:p w14:paraId="328D3571"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150</w:t>
            </w:r>
          </w:p>
        </w:tc>
        <w:tc>
          <w:tcPr>
            <w:tcW w:w="337" w:type="pct"/>
            <w:shd w:val="clear" w:color="auto" w:fill="C6EFCE"/>
          </w:tcPr>
          <w:p w14:paraId="6E48047E"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2. cet.</w:t>
            </w:r>
          </w:p>
        </w:tc>
        <w:tc>
          <w:tcPr>
            <w:tcW w:w="191" w:type="pct"/>
            <w:shd w:val="clear" w:color="auto" w:fill="C6EFCE"/>
          </w:tcPr>
          <w:p w14:paraId="5BE14ACF"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2026</w:t>
            </w:r>
          </w:p>
        </w:tc>
        <w:tc>
          <w:tcPr>
            <w:tcW w:w="330" w:type="pct"/>
            <w:shd w:val="clear" w:color="auto" w:fill="C6EFCE"/>
          </w:tcPr>
          <w:p w14:paraId="6CFFDCE9" w14:textId="77777777" w:rsidR="001A3E6F" w:rsidRPr="00A116F8" w:rsidRDefault="001A3E6F" w:rsidP="00A116F8">
            <w:pPr>
              <w:widowControl w:val="0"/>
              <w:spacing w:after="0" w:line="240" w:lineRule="auto"/>
              <w:ind w:left="57" w:right="57"/>
              <w:rPr>
                <w:rFonts w:ascii="Times New Roman" w:eastAsia="Arial Narrow" w:hAnsi="Times New Roman" w:cs="Arial Narrow"/>
                <w:noProof/>
                <w:sz w:val="18"/>
                <w:szCs w:val="20"/>
              </w:rPr>
            </w:pPr>
            <w:r w:rsidRPr="00A116F8">
              <w:rPr>
                <w:rFonts w:ascii="Times New Roman" w:hAnsi="Times New Roman"/>
                <w:sz w:val="18"/>
                <w:szCs w:val="20"/>
              </w:rPr>
              <w:t>Klimata un enerģētikas ministrija</w:t>
            </w:r>
          </w:p>
        </w:tc>
        <w:tc>
          <w:tcPr>
            <w:tcW w:w="323" w:type="pct"/>
            <w:shd w:val="clear" w:color="auto" w:fill="C6EFCE"/>
          </w:tcPr>
          <w:p w14:paraId="2ECABE32"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lang w:eastAsia="en-GB"/>
              </w:rPr>
            </w:pPr>
          </w:p>
        </w:tc>
        <w:tc>
          <w:tcPr>
            <w:tcW w:w="539" w:type="pct"/>
            <w:shd w:val="clear" w:color="auto" w:fill="C6EFCE"/>
          </w:tcPr>
          <w:p w14:paraId="32EF5F34"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r w:rsidRPr="00A116F8">
              <w:rPr>
                <w:rFonts w:ascii="Times New Roman" w:hAnsi="Times New Roman"/>
                <w:sz w:val="18"/>
                <w:szCs w:val="20"/>
              </w:rPr>
              <w:t xml:space="preserve">Kopsavilkuma dokuments, kurā pienācīgi pamatots, kā tika apmierinoši sasniegts mērķis (tostarp visi būtiskie elementi, kas uzskaitīti </w:t>
            </w:r>
            <w:r w:rsidRPr="00A116F8">
              <w:rPr>
                <w:rFonts w:ascii="Times New Roman" w:hAnsi="Times New Roman"/>
                <w:sz w:val="18"/>
                <w:szCs w:val="20"/>
              </w:rPr>
              <w:lastRenderedPageBreak/>
              <w:t>Padomes Īstenošanas lēmuma pielikumā sniegtajā mērķa un attiecīgā pasākuma aprakstā), kopā ar atbilstošām saitēm uz pamatojošajiem pierādījumiem.</w:t>
            </w:r>
          </w:p>
          <w:p w14:paraId="24241BF8"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p>
          <w:p w14:paraId="1851B6EA"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r w:rsidRPr="00A116F8">
              <w:rPr>
                <w:rFonts w:ascii="Times New Roman" w:hAnsi="Times New Roman"/>
                <w:sz w:val="18"/>
                <w:szCs w:val="20"/>
              </w:rPr>
              <w:t>Šā dokumenta pielikumā iekļauj darbuzņēmēja(-u) un līgumslēdzējas(-u) iestādes(-žu) parakstītu(-us) apliecinājumu(-us) par 150 km esošo vidēja sprieguma gaisvadu elektrolīniju aizstāšanu ar kabeļu līnijām.</w:t>
            </w:r>
          </w:p>
        </w:tc>
        <w:tc>
          <w:tcPr>
            <w:tcW w:w="512" w:type="pct"/>
            <w:shd w:val="clear" w:color="auto" w:fill="C6EFCE"/>
          </w:tcPr>
          <w:p w14:paraId="11E2DCDE"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lastRenderedPageBreak/>
              <w:t>150 km esošo vidēja sprieguma gaisvadu elektrolīniju ir aizstātas ar kabeļu līnijām.</w:t>
            </w:r>
          </w:p>
        </w:tc>
      </w:tr>
      <w:tr w:rsidR="00A116F8" w:rsidRPr="00A116F8" w14:paraId="30245980" w14:textId="77777777" w:rsidTr="00A116F8">
        <w:trPr>
          <w:trHeight w:val="1200"/>
          <w:jc w:val="center"/>
        </w:trPr>
        <w:tc>
          <w:tcPr>
            <w:tcW w:w="148" w:type="pct"/>
            <w:shd w:val="clear" w:color="auto" w:fill="C6EFCE"/>
          </w:tcPr>
          <w:p w14:paraId="7A10E66E"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227</w:t>
            </w:r>
          </w:p>
        </w:tc>
        <w:tc>
          <w:tcPr>
            <w:tcW w:w="482" w:type="pct"/>
            <w:shd w:val="clear" w:color="auto" w:fill="C6EFCE"/>
          </w:tcPr>
          <w:p w14:paraId="756508D0" w14:textId="77777777" w:rsidR="001A3E6F" w:rsidRPr="00A116F8" w:rsidRDefault="001A3E6F" w:rsidP="00A116F8">
            <w:pPr>
              <w:widowControl w:val="0"/>
              <w:spacing w:after="0" w:line="240" w:lineRule="auto"/>
              <w:ind w:left="57" w:right="57"/>
              <w:rPr>
                <w:rFonts w:ascii="Times New Roman" w:eastAsia="Times New Roman" w:hAnsi="Times New Roman" w:cs="Times New Roman"/>
                <w:b/>
                <w:bCs/>
                <w:noProof/>
                <w:sz w:val="18"/>
                <w:szCs w:val="20"/>
              </w:rPr>
            </w:pPr>
            <w:r w:rsidRPr="00A116F8">
              <w:rPr>
                <w:rFonts w:ascii="Times New Roman" w:hAnsi="Times New Roman"/>
                <w:b/>
                <w:sz w:val="18"/>
                <w:szCs w:val="20"/>
              </w:rPr>
              <w:t>7.3.i. Elektroenerģijas pārvades un sadales tīklu modernizācija, digitalizācija un drošība</w:t>
            </w:r>
          </w:p>
        </w:tc>
        <w:tc>
          <w:tcPr>
            <w:tcW w:w="293" w:type="pct"/>
            <w:shd w:val="clear" w:color="auto" w:fill="C6EFCE"/>
          </w:tcPr>
          <w:p w14:paraId="40100155"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Atskaites punkts</w:t>
            </w:r>
          </w:p>
        </w:tc>
        <w:tc>
          <w:tcPr>
            <w:tcW w:w="439" w:type="pct"/>
            <w:shd w:val="clear" w:color="auto" w:fill="C6EFCE"/>
          </w:tcPr>
          <w:p w14:paraId="410FF7C4"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Viedas sadales tīkla pārvaldības risinājums</w:t>
            </w:r>
          </w:p>
        </w:tc>
        <w:tc>
          <w:tcPr>
            <w:tcW w:w="439" w:type="pct"/>
            <w:shd w:val="clear" w:color="auto" w:fill="C6EFCE"/>
          </w:tcPr>
          <w:p w14:paraId="1CA0E489"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Ir ieviests viedas sadales tīkla pārvaldības risinājums</w:t>
            </w:r>
          </w:p>
        </w:tc>
        <w:tc>
          <w:tcPr>
            <w:tcW w:w="353" w:type="pct"/>
            <w:shd w:val="clear" w:color="auto" w:fill="C6EFCE"/>
          </w:tcPr>
          <w:p w14:paraId="636C1670"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Neattiecas</w:t>
            </w:r>
          </w:p>
        </w:tc>
        <w:tc>
          <w:tcPr>
            <w:tcW w:w="307" w:type="pct"/>
            <w:shd w:val="clear" w:color="auto" w:fill="C6EFCE"/>
          </w:tcPr>
          <w:p w14:paraId="44A5A925"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Neattiecas</w:t>
            </w:r>
          </w:p>
        </w:tc>
        <w:tc>
          <w:tcPr>
            <w:tcW w:w="307" w:type="pct"/>
            <w:shd w:val="clear" w:color="auto" w:fill="C6EFCE"/>
          </w:tcPr>
          <w:p w14:paraId="2256BDD8"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Neattiecas</w:t>
            </w:r>
          </w:p>
        </w:tc>
        <w:tc>
          <w:tcPr>
            <w:tcW w:w="337" w:type="pct"/>
            <w:shd w:val="clear" w:color="auto" w:fill="C6EFCE"/>
          </w:tcPr>
          <w:p w14:paraId="74BDD34B"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2. cet.</w:t>
            </w:r>
          </w:p>
        </w:tc>
        <w:tc>
          <w:tcPr>
            <w:tcW w:w="191" w:type="pct"/>
            <w:shd w:val="clear" w:color="auto" w:fill="C6EFCE"/>
          </w:tcPr>
          <w:p w14:paraId="315FDD8E"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2026</w:t>
            </w:r>
          </w:p>
        </w:tc>
        <w:tc>
          <w:tcPr>
            <w:tcW w:w="330" w:type="pct"/>
            <w:shd w:val="clear" w:color="auto" w:fill="C6EFCE"/>
          </w:tcPr>
          <w:p w14:paraId="45C36D6C" w14:textId="77777777" w:rsidR="001A3E6F" w:rsidRPr="00A116F8" w:rsidRDefault="001A3E6F" w:rsidP="00A116F8">
            <w:pPr>
              <w:widowControl w:val="0"/>
              <w:spacing w:after="0" w:line="240" w:lineRule="auto"/>
              <w:ind w:left="57" w:right="57"/>
              <w:rPr>
                <w:rFonts w:ascii="Times New Roman" w:eastAsia="Arial Narrow" w:hAnsi="Times New Roman" w:cs="Arial Narrow"/>
                <w:noProof/>
                <w:sz w:val="18"/>
                <w:szCs w:val="20"/>
              </w:rPr>
            </w:pPr>
            <w:r w:rsidRPr="00A116F8">
              <w:rPr>
                <w:rFonts w:ascii="Times New Roman" w:hAnsi="Times New Roman"/>
                <w:sz w:val="18"/>
                <w:szCs w:val="20"/>
              </w:rPr>
              <w:t>Klimata un enerģētikas ministrija</w:t>
            </w:r>
          </w:p>
        </w:tc>
        <w:tc>
          <w:tcPr>
            <w:tcW w:w="323" w:type="pct"/>
            <w:shd w:val="clear" w:color="auto" w:fill="C6EFCE"/>
          </w:tcPr>
          <w:p w14:paraId="7549A418"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lang w:eastAsia="en-GB"/>
              </w:rPr>
            </w:pPr>
          </w:p>
        </w:tc>
        <w:tc>
          <w:tcPr>
            <w:tcW w:w="539" w:type="pct"/>
            <w:shd w:val="clear" w:color="auto" w:fill="C6EFCE"/>
          </w:tcPr>
          <w:p w14:paraId="25292116"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r w:rsidRPr="00A116F8">
              <w:rPr>
                <w:rFonts w:ascii="Times New Roman" w:hAnsi="Times New Roman"/>
                <w:sz w:val="18"/>
                <w:szCs w:val="20"/>
              </w:rPr>
              <w:t xml:space="preserve">Kopsavilkuma dokuments, kurā pienācīgi pamatots, kā tika apmierinoši sasniegts atskaites punkts (tostarp visi būtiskie elementi, kas </w:t>
            </w:r>
            <w:r w:rsidRPr="00A116F8">
              <w:rPr>
                <w:rFonts w:ascii="Times New Roman" w:hAnsi="Times New Roman"/>
                <w:sz w:val="18"/>
                <w:szCs w:val="20"/>
              </w:rPr>
              <w:lastRenderedPageBreak/>
              <w:t>uzskaitīti Padomes Īstenošanas lēmuma pielikumā sniegtajā atskaites punkta un attiecīgā pasākuma aprakstā), kopā ar atbilstošām saitēm uz pamatojošajiem pierādījumiem.</w:t>
            </w:r>
          </w:p>
          <w:p w14:paraId="35E6FFEA"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p>
          <w:p w14:paraId="79F49350"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r w:rsidRPr="00A116F8">
              <w:rPr>
                <w:rFonts w:ascii="Times New Roman" w:hAnsi="Times New Roman"/>
                <w:sz w:val="18"/>
                <w:szCs w:val="20"/>
              </w:rPr>
              <w:t>Šā dokumenta pielikumā iekļauj:</w:t>
            </w:r>
          </w:p>
          <w:p w14:paraId="36C46610"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r w:rsidRPr="00A116F8">
              <w:rPr>
                <w:rFonts w:ascii="Times New Roman" w:hAnsi="Times New Roman"/>
                <w:sz w:val="18"/>
                <w:szCs w:val="20"/>
              </w:rPr>
              <w:t>- darbuzņēmēja(-u) un līgumslēdzējas(-u) iestādes(-žu) parakstītu(-us) apliecinājumu(-us) par viedās tīkla pārvaldības sistēmas (</w:t>
            </w:r>
            <w:r w:rsidRPr="00A116F8">
              <w:rPr>
                <w:rFonts w:ascii="Times New Roman" w:hAnsi="Times New Roman"/>
                <w:i/>
                <w:iCs/>
                <w:sz w:val="18"/>
                <w:szCs w:val="20"/>
              </w:rPr>
              <w:t>ADMS</w:t>
            </w:r>
            <w:r w:rsidRPr="00A116F8">
              <w:rPr>
                <w:rFonts w:ascii="Times New Roman" w:hAnsi="Times New Roman"/>
                <w:sz w:val="18"/>
                <w:szCs w:val="20"/>
              </w:rPr>
              <w:t>) risinājuma nodošanu lietošanā;</w:t>
            </w:r>
          </w:p>
          <w:p w14:paraId="278C5359"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r w:rsidRPr="00A116F8">
              <w:rPr>
                <w:rFonts w:ascii="Times New Roman" w:hAnsi="Times New Roman"/>
                <w:sz w:val="18"/>
                <w:szCs w:val="20"/>
              </w:rPr>
              <w:t>- kopiju parakstītam līgumam par tālvadības vidēja sprieguma jaudas slēdžu iegādi;</w:t>
            </w:r>
          </w:p>
          <w:p w14:paraId="4D664783"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r w:rsidRPr="00A116F8">
              <w:rPr>
                <w:rFonts w:ascii="Times New Roman" w:hAnsi="Times New Roman"/>
                <w:sz w:val="18"/>
                <w:szCs w:val="20"/>
              </w:rPr>
              <w:t xml:space="preserve">- apliecinājumu(-us) par vismaz </w:t>
            </w:r>
            <w:r w:rsidRPr="00A116F8">
              <w:rPr>
                <w:rFonts w:ascii="Times New Roman" w:hAnsi="Times New Roman"/>
                <w:sz w:val="18"/>
                <w:szCs w:val="20"/>
              </w:rPr>
              <w:lastRenderedPageBreak/>
              <w:t xml:space="preserve">285 iegādātu tālvadības vidēja sprieguma jaudas slēdžu uzstādīšanu. </w:t>
            </w:r>
          </w:p>
        </w:tc>
        <w:tc>
          <w:tcPr>
            <w:tcW w:w="512" w:type="pct"/>
            <w:shd w:val="clear" w:color="auto" w:fill="C6EFCE"/>
          </w:tcPr>
          <w:p w14:paraId="67D23FAF"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lastRenderedPageBreak/>
              <w:t>Ir ieviests viedas tīklu pārvaldības risinājums. Tas ietver:</w:t>
            </w:r>
          </w:p>
          <w:p w14:paraId="07E20747"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 viedās tīkla pārvaldības sistēmas (</w:t>
            </w:r>
            <w:r w:rsidRPr="00A116F8">
              <w:rPr>
                <w:rFonts w:ascii="Times New Roman" w:hAnsi="Times New Roman"/>
                <w:i/>
                <w:iCs/>
                <w:sz w:val="18"/>
                <w:szCs w:val="20"/>
              </w:rPr>
              <w:t>ADMS</w:t>
            </w:r>
            <w:r w:rsidRPr="00A116F8">
              <w:rPr>
                <w:rFonts w:ascii="Times New Roman" w:hAnsi="Times New Roman"/>
                <w:sz w:val="18"/>
                <w:szCs w:val="20"/>
              </w:rPr>
              <w:t>) risinājuma ieviešanu;</w:t>
            </w:r>
          </w:p>
          <w:p w14:paraId="053DD516"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lastRenderedPageBreak/>
              <w:t>- vismaz 285 tālvadības vidēja sprieguma jaudas slēdžu iegādi un uzstādīšanu.</w:t>
            </w:r>
          </w:p>
        </w:tc>
      </w:tr>
      <w:tr w:rsidR="00A116F8" w:rsidRPr="00A116F8" w14:paraId="4D2D9B47" w14:textId="77777777" w:rsidTr="00A116F8">
        <w:trPr>
          <w:trHeight w:val="1200"/>
          <w:jc w:val="center"/>
        </w:trPr>
        <w:tc>
          <w:tcPr>
            <w:tcW w:w="148" w:type="pct"/>
            <w:shd w:val="clear" w:color="auto" w:fill="C6EFCE"/>
          </w:tcPr>
          <w:p w14:paraId="7D8A594A"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lastRenderedPageBreak/>
              <w:t>228</w:t>
            </w:r>
          </w:p>
        </w:tc>
        <w:tc>
          <w:tcPr>
            <w:tcW w:w="482" w:type="pct"/>
            <w:shd w:val="clear" w:color="auto" w:fill="C6EFCE"/>
          </w:tcPr>
          <w:p w14:paraId="3F906B43" w14:textId="77777777" w:rsidR="001A3E6F" w:rsidRPr="00A116F8" w:rsidRDefault="001A3E6F" w:rsidP="00A116F8">
            <w:pPr>
              <w:widowControl w:val="0"/>
              <w:spacing w:after="0" w:line="240" w:lineRule="auto"/>
              <w:ind w:left="57" w:right="57"/>
              <w:rPr>
                <w:rFonts w:ascii="Times New Roman" w:eastAsia="Times New Roman" w:hAnsi="Times New Roman" w:cs="Times New Roman"/>
                <w:b/>
                <w:bCs/>
                <w:noProof/>
                <w:sz w:val="18"/>
                <w:szCs w:val="20"/>
              </w:rPr>
            </w:pPr>
            <w:r w:rsidRPr="00A116F8">
              <w:rPr>
                <w:rFonts w:ascii="Times New Roman" w:hAnsi="Times New Roman"/>
                <w:b/>
                <w:sz w:val="18"/>
                <w:szCs w:val="20"/>
              </w:rPr>
              <w:t>7.3.i. Elektroenerģijas pārvades un sadales tīklu modernizācija, digitalizācija un drošība</w:t>
            </w:r>
          </w:p>
        </w:tc>
        <w:tc>
          <w:tcPr>
            <w:tcW w:w="293" w:type="pct"/>
            <w:shd w:val="clear" w:color="auto" w:fill="C6EFCE"/>
          </w:tcPr>
          <w:p w14:paraId="226FBB17"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Atskaites punkts</w:t>
            </w:r>
          </w:p>
        </w:tc>
        <w:tc>
          <w:tcPr>
            <w:tcW w:w="439" w:type="pct"/>
            <w:shd w:val="clear" w:color="auto" w:fill="C6EFCE"/>
          </w:tcPr>
          <w:p w14:paraId="33691B5A"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Pētījumi un ietekmes uz vidi novērtējums</w:t>
            </w:r>
          </w:p>
        </w:tc>
        <w:tc>
          <w:tcPr>
            <w:tcW w:w="439" w:type="pct"/>
            <w:shd w:val="clear" w:color="auto" w:fill="C6EFCE"/>
          </w:tcPr>
          <w:p w14:paraId="624B15CC"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Pētījumi un ietekmes uz vidi novērtējums ir pabeigti</w:t>
            </w:r>
          </w:p>
        </w:tc>
        <w:tc>
          <w:tcPr>
            <w:tcW w:w="353" w:type="pct"/>
            <w:shd w:val="clear" w:color="auto" w:fill="C6EFCE"/>
          </w:tcPr>
          <w:p w14:paraId="75902599"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Neattiecas</w:t>
            </w:r>
          </w:p>
        </w:tc>
        <w:tc>
          <w:tcPr>
            <w:tcW w:w="307" w:type="pct"/>
            <w:shd w:val="clear" w:color="auto" w:fill="C6EFCE"/>
          </w:tcPr>
          <w:p w14:paraId="35FF4D67"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Neattiecas</w:t>
            </w:r>
          </w:p>
        </w:tc>
        <w:tc>
          <w:tcPr>
            <w:tcW w:w="307" w:type="pct"/>
            <w:shd w:val="clear" w:color="auto" w:fill="C6EFCE"/>
          </w:tcPr>
          <w:p w14:paraId="1E4934C6"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Neattiecas</w:t>
            </w:r>
          </w:p>
        </w:tc>
        <w:tc>
          <w:tcPr>
            <w:tcW w:w="337" w:type="pct"/>
            <w:shd w:val="clear" w:color="auto" w:fill="C6EFCE"/>
          </w:tcPr>
          <w:p w14:paraId="797A46ED"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2. cet.</w:t>
            </w:r>
          </w:p>
        </w:tc>
        <w:tc>
          <w:tcPr>
            <w:tcW w:w="191" w:type="pct"/>
            <w:shd w:val="clear" w:color="auto" w:fill="C6EFCE"/>
          </w:tcPr>
          <w:p w14:paraId="62FFD85F"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2026</w:t>
            </w:r>
          </w:p>
        </w:tc>
        <w:tc>
          <w:tcPr>
            <w:tcW w:w="330" w:type="pct"/>
            <w:shd w:val="clear" w:color="auto" w:fill="C6EFCE"/>
          </w:tcPr>
          <w:p w14:paraId="0C1CB278" w14:textId="77777777" w:rsidR="001A3E6F" w:rsidRPr="00A116F8" w:rsidRDefault="001A3E6F" w:rsidP="00A116F8">
            <w:pPr>
              <w:widowControl w:val="0"/>
              <w:spacing w:after="0" w:line="240" w:lineRule="auto"/>
              <w:ind w:left="57" w:right="57"/>
              <w:rPr>
                <w:rFonts w:ascii="Times New Roman" w:eastAsia="Arial Narrow" w:hAnsi="Times New Roman" w:cs="Arial Narrow"/>
                <w:noProof/>
                <w:sz w:val="18"/>
                <w:szCs w:val="20"/>
              </w:rPr>
            </w:pPr>
            <w:r w:rsidRPr="00A116F8">
              <w:rPr>
                <w:rFonts w:ascii="Times New Roman" w:hAnsi="Times New Roman"/>
                <w:sz w:val="18"/>
                <w:szCs w:val="20"/>
              </w:rPr>
              <w:t>Klimata un enerģētikas ministrija</w:t>
            </w:r>
          </w:p>
        </w:tc>
        <w:tc>
          <w:tcPr>
            <w:tcW w:w="323" w:type="pct"/>
            <w:shd w:val="clear" w:color="auto" w:fill="C6EFCE"/>
          </w:tcPr>
          <w:p w14:paraId="43F76608"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lang w:eastAsia="en-GB"/>
              </w:rPr>
            </w:pPr>
          </w:p>
        </w:tc>
        <w:tc>
          <w:tcPr>
            <w:tcW w:w="539" w:type="pct"/>
            <w:shd w:val="clear" w:color="auto" w:fill="C6EFCE"/>
          </w:tcPr>
          <w:p w14:paraId="051222D7"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r w:rsidRPr="00A116F8">
              <w:rPr>
                <w:rFonts w:ascii="Times New Roman" w:hAnsi="Times New Roman"/>
                <w:sz w:val="18"/>
                <w:szCs w:val="20"/>
              </w:rPr>
              <w:t>Kopsavilkuma dokuments, kurā pienācīgi pamatots, kā tika apmierinoši sasniegts atskaites punkts (tostarp visi būtiskie elementi, kas uzskaitīti Padomes Īstenošanas lēmuma pielikumā sniegtajā atskaites punkta un attiecīgā pasākuma aprakstā), kopā ar atbilstošām saitēm uz pamatojošajiem pierādījumiem.</w:t>
            </w:r>
          </w:p>
          <w:p w14:paraId="23CF5518"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p>
          <w:p w14:paraId="64003C07"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r w:rsidRPr="00A116F8">
              <w:rPr>
                <w:rFonts w:ascii="Times New Roman" w:hAnsi="Times New Roman"/>
                <w:sz w:val="18"/>
                <w:szCs w:val="20"/>
              </w:rPr>
              <w:t>Šā dokumenta pielikumā iekļauj:</w:t>
            </w:r>
          </w:p>
          <w:p w14:paraId="780BCF3A"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r w:rsidRPr="00A116F8">
              <w:rPr>
                <w:rFonts w:ascii="Times New Roman" w:hAnsi="Times New Roman"/>
                <w:sz w:val="18"/>
                <w:szCs w:val="20"/>
              </w:rPr>
              <w:t>- pirmā atskaites punkta aprakstā minētā pētījuma kopiju;</w:t>
            </w:r>
          </w:p>
          <w:p w14:paraId="7819D97B"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r w:rsidRPr="00A116F8">
              <w:rPr>
                <w:rFonts w:ascii="Times New Roman" w:hAnsi="Times New Roman"/>
                <w:sz w:val="18"/>
                <w:szCs w:val="20"/>
              </w:rPr>
              <w:t xml:space="preserve">- otrā atskaites </w:t>
            </w:r>
            <w:r w:rsidRPr="00A116F8">
              <w:rPr>
                <w:rFonts w:ascii="Times New Roman" w:hAnsi="Times New Roman"/>
                <w:sz w:val="18"/>
                <w:szCs w:val="20"/>
              </w:rPr>
              <w:lastRenderedPageBreak/>
              <w:t>punkta aprakstā minētā pētījuma kopiju;</w:t>
            </w:r>
          </w:p>
          <w:p w14:paraId="12B935CD"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r w:rsidRPr="00A116F8">
              <w:rPr>
                <w:rFonts w:ascii="Times New Roman" w:hAnsi="Times New Roman"/>
                <w:sz w:val="18"/>
                <w:szCs w:val="20"/>
              </w:rPr>
              <w:t>- atskaites punkta aprakstā minētā ietekmes uz vidi novērtējuma kopiju.</w:t>
            </w:r>
          </w:p>
        </w:tc>
        <w:tc>
          <w:tcPr>
            <w:tcW w:w="512" w:type="pct"/>
            <w:shd w:val="clear" w:color="auto" w:fill="C6EFCE"/>
          </w:tcPr>
          <w:p w14:paraId="6651C586"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lastRenderedPageBreak/>
              <w:t xml:space="preserve">Divu pētījumu un viena ietekmes uz vidi novērtējuma pabeigšana </w:t>
            </w:r>
          </w:p>
          <w:p w14:paraId="6A138D87"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lang w:eastAsia="en-GB"/>
              </w:rPr>
            </w:pPr>
          </w:p>
          <w:p w14:paraId="0B296ACF"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Pirmais pētījums ietver:</w:t>
            </w:r>
          </w:p>
          <w:p w14:paraId="4EF336DA"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 maksimālā daudzuma noteikšanu atjaunojamajiem energoresursiem, ko var pieslēgt elektroenerģijas pārvades tīklam dažādos scenārijos;</w:t>
            </w:r>
          </w:p>
          <w:p w14:paraId="638C371D"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 xml:space="preserve">- aprēķinus par noteiktā atjaunojamo energoresursu apjoma paredzamo ietekmi uz pārvades tīkla drošību un stabilitāti un ar to saistīto iespējamo risinājumu </w:t>
            </w:r>
            <w:r w:rsidRPr="00A116F8">
              <w:rPr>
                <w:rFonts w:ascii="Times New Roman" w:hAnsi="Times New Roman"/>
                <w:sz w:val="18"/>
                <w:szCs w:val="20"/>
              </w:rPr>
              <w:lastRenderedPageBreak/>
              <w:t>apzināšanu.</w:t>
            </w:r>
          </w:p>
          <w:p w14:paraId="152B3F49"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lang w:eastAsia="en-GB"/>
              </w:rPr>
            </w:pPr>
          </w:p>
          <w:p w14:paraId="37278EA4"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Otrais pētījums ietver:</w:t>
            </w:r>
          </w:p>
          <w:p w14:paraId="0397E91F"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 elektroenerģijas patēriņa pieauguma un elektrifikācijas potenciāla aplēses 10 gadu posmam;</w:t>
            </w:r>
          </w:p>
          <w:p w14:paraId="75D6FEEF"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 prognozēšanas metodiku jaudas pietiekamības un tīkla attīstības plānošanai.</w:t>
            </w:r>
          </w:p>
          <w:p w14:paraId="53FF0B43"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lang w:eastAsia="en-GB"/>
              </w:rPr>
            </w:pPr>
          </w:p>
          <w:p w14:paraId="7A5FEDAA"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 xml:space="preserve">Ietekmes uz vidi novērtējumā nosaka videi draudzīgākos un rentablākos variantus elektroenerģijas pārvades līnijas projekta būvniecībai starp </w:t>
            </w:r>
            <w:bookmarkStart w:id="35" w:name="_Hlk146571038"/>
            <w:r w:rsidRPr="00A116F8">
              <w:rPr>
                <w:rFonts w:ascii="Times New Roman" w:hAnsi="Times New Roman"/>
                <w:sz w:val="18"/>
                <w:szCs w:val="20"/>
              </w:rPr>
              <w:t>Ventspili, Brocēniem un Telšiem</w:t>
            </w:r>
            <w:bookmarkEnd w:id="35"/>
            <w:r w:rsidRPr="00A116F8">
              <w:rPr>
                <w:rFonts w:ascii="Times New Roman" w:hAnsi="Times New Roman"/>
                <w:sz w:val="18"/>
                <w:szCs w:val="20"/>
              </w:rPr>
              <w:t>.</w:t>
            </w:r>
          </w:p>
        </w:tc>
      </w:tr>
      <w:tr w:rsidR="00A116F8" w:rsidRPr="00A116F8" w14:paraId="019A3ECF" w14:textId="77777777" w:rsidTr="00A116F8">
        <w:trPr>
          <w:trHeight w:val="1200"/>
          <w:jc w:val="center"/>
        </w:trPr>
        <w:tc>
          <w:tcPr>
            <w:tcW w:w="148" w:type="pct"/>
            <w:shd w:val="clear" w:color="auto" w:fill="C6EFCE"/>
          </w:tcPr>
          <w:p w14:paraId="69AACAD5"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lastRenderedPageBreak/>
              <w:t>229</w:t>
            </w:r>
          </w:p>
        </w:tc>
        <w:tc>
          <w:tcPr>
            <w:tcW w:w="482" w:type="pct"/>
            <w:shd w:val="clear" w:color="auto" w:fill="C6EFCE"/>
          </w:tcPr>
          <w:p w14:paraId="583437A0" w14:textId="77777777" w:rsidR="001A3E6F" w:rsidRPr="00A116F8" w:rsidRDefault="001A3E6F" w:rsidP="00A116F8">
            <w:pPr>
              <w:widowControl w:val="0"/>
              <w:spacing w:after="0" w:line="240" w:lineRule="auto"/>
              <w:ind w:left="57" w:right="57"/>
              <w:rPr>
                <w:rFonts w:ascii="Times New Roman" w:eastAsia="Times New Roman" w:hAnsi="Times New Roman" w:cs="Times New Roman"/>
                <w:b/>
                <w:bCs/>
                <w:noProof/>
                <w:sz w:val="18"/>
                <w:szCs w:val="20"/>
              </w:rPr>
            </w:pPr>
            <w:r w:rsidRPr="00A116F8">
              <w:rPr>
                <w:rFonts w:ascii="Times New Roman" w:hAnsi="Times New Roman"/>
                <w:b/>
                <w:sz w:val="18"/>
                <w:szCs w:val="20"/>
              </w:rPr>
              <w:t>7.4.i. Ilgtspējīga biometāna izmantošanas palielināšana</w:t>
            </w:r>
          </w:p>
        </w:tc>
        <w:tc>
          <w:tcPr>
            <w:tcW w:w="293" w:type="pct"/>
            <w:shd w:val="clear" w:color="auto" w:fill="C6EFCE"/>
          </w:tcPr>
          <w:p w14:paraId="6646E4B1"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Atskaites punkts</w:t>
            </w:r>
          </w:p>
        </w:tc>
        <w:tc>
          <w:tcPr>
            <w:tcW w:w="439" w:type="pct"/>
            <w:shd w:val="clear" w:color="auto" w:fill="C6EFCE"/>
          </w:tcPr>
          <w:p w14:paraId="48C045E6"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Noteikumi, kas reglamentē investīcijas biometāna nozarē</w:t>
            </w:r>
          </w:p>
        </w:tc>
        <w:tc>
          <w:tcPr>
            <w:tcW w:w="439" w:type="pct"/>
            <w:shd w:val="clear" w:color="auto" w:fill="C6EFCE"/>
          </w:tcPr>
          <w:p w14:paraId="13465C1A"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 xml:space="preserve">Tiesību normas, kas nosaka to noteikumu stāšanos spēkā, kuri reglamentē </w:t>
            </w:r>
            <w:r w:rsidRPr="00A116F8">
              <w:rPr>
                <w:rFonts w:ascii="Times New Roman" w:hAnsi="Times New Roman"/>
                <w:sz w:val="18"/>
                <w:szCs w:val="20"/>
              </w:rPr>
              <w:lastRenderedPageBreak/>
              <w:t xml:space="preserve">investīcijas biometāna nozarē </w:t>
            </w:r>
          </w:p>
        </w:tc>
        <w:tc>
          <w:tcPr>
            <w:tcW w:w="353" w:type="pct"/>
            <w:shd w:val="clear" w:color="auto" w:fill="C6EFCE"/>
          </w:tcPr>
          <w:p w14:paraId="0D48193B"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lastRenderedPageBreak/>
              <w:t>Neattiecas</w:t>
            </w:r>
          </w:p>
        </w:tc>
        <w:tc>
          <w:tcPr>
            <w:tcW w:w="307" w:type="pct"/>
            <w:shd w:val="clear" w:color="auto" w:fill="C6EFCE"/>
          </w:tcPr>
          <w:p w14:paraId="21FCA05C"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Neattiecas</w:t>
            </w:r>
          </w:p>
        </w:tc>
        <w:tc>
          <w:tcPr>
            <w:tcW w:w="307" w:type="pct"/>
            <w:shd w:val="clear" w:color="auto" w:fill="C6EFCE"/>
          </w:tcPr>
          <w:p w14:paraId="73A0BE8A"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Neattiecas</w:t>
            </w:r>
          </w:p>
        </w:tc>
        <w:tc>
          <w:tcPr>
            <w:tcW w:w="337" w:type="pct"/>
            <w:shd w:val="clear" w:color="auto" w:fill="C6EFCE"/>
          </w:tcPr>
          <w:p w14:paraId="78BA9B28"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4. cet.</w:t>
            </w:r>
          </w:p>
        </w:tc>
        <w:tc>
          <w:tcPr>
            <w:tcW w:w="191" w:type="pct"/>
            <w:shd w:val="clear" w:color="auto" w:fill="C6EFCE"/>
          </w:tcPr>
          <w:p w14:paraId="29DF4472"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2024</w:t>
            </w:r>
          </w:p>
        </w:tc>
        <w:tc>
          <w:tcPr>
            <w:tcW w:w="330" w:type="pct"/>
            <w:shd w:val="clear" w:color="auto" w:fill="C6EFCE"/>
          </w:tcPr>
          <w:p w14:paraId="75518714" w14:textId="77777777" w:rsidR="001A3E6F" w:rsidRPr="00A116F8" w:rsidRDefault="001A3E6F" w:rsidP="00A116F8">
            <w:pPr>
              <w:widowControl w:val="0"/>
              <w:spacing w:after="0" w:line="240" w:lineRule="auto"/>
              <w:ind w:left="57" w:right="57"/>
              <w:rPr>
                <w:rFonts w:ascii="Times New Roman" w:eastAsia="Arial Narrow" w:hAnsi="Times New Roman" w:cs="Arial Narrow"/>
                <w:noProof/>
                <w:sz w:val="18"/>
                <w:szCs w:val="20"/>
              </w:rPr>
            </w:pPr>
            <w:r w:rsidRPr="00A116F8">
              <w:rPr>
                <w:rFonts w:ascii="Times New Roman" w:hAnsi="Times New Roman"/>
                <w:sz w:val="18"/>
                <w:szCs w:val="20"/>
              </w:rPr>
              <w:t>Klimata un enerģētikas ministrija</w:t>
            </w:r>
          </w:p>
        </w:tc>
        <w:tc>
          <w:tcPr>
            <w:tcW w:w="323" w:type="pct"/>
            <w:shd w:val="clear" w:color="auto" w:fill="C6EFCE"/>
          </w:tcPr>
          <w:p w14:paraId="53B7F6E9"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lang w:eastAsia="en-GB"/>
              </w:rPr>
            </w:pPr>
          </w:p>
        </w:tc>
        <w:tc>
          <w:tcPr>
            <w:tcW w:w="539" w:type="pct"/>
            <w:shd w:val="clear" w:color="auto" w:fill="C6EFCE"/>
          </w:tcPr>
          <w:p w14:paraId="5388312B"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r w:rsidRPr="00A116F8">
              <w:rPr>
                <w:rFonts w:ascii="Times New Roman" w:hAnsi="Times New Roman"/>
                <w:sz w:val="18"/>
                <w:szCs w:val="20"/>
              </w:rPr>
              <w:t xml:space="preserve">Kopija publikācijai oficiālajā izdevumā, kopā ar kopsavilkuma dokumentu, kurā pienācīgi </w:t>
            </w:r>
            <w:r w:rsidRPr="00A116F8">
              <w:rPr>
                <w:rFonts w:ascii="Times New Roman" w:hAnsi="Times New Roman"/>
                <w:sz w:val="18"/>
                <w:szCs w:val="20"/>
              </w:rPr>
              <w:lastRenderedPageBreak/>
              <w:t>pamatots, kā tika apmierinoši sasniegts atskaites punkts. Šajā kopsavilkuma dokumentā iekļauj atsauci uz attiecīgajiem noteikumiem, kuros norādīta stāšanās spēkā, un noteikumiem par to atskaites punkta būtisko elementu izpildi, kas uzskaitīti Padomes Īstenošanas lēmuma pielikumā sniegtajā atskaites punkta un attiecīgā pasākuma aprakstā, kā arī sarakstu ar investīcijām, kuras reglamentē noteikumi, kopā ar investīciju tvēruma un mērķu aprakstu.</w:t>
            </w:r>
          </w:p>
        </w:tc>
        <w:tc>
          <w:tcPr>
            <w:tcW w:w="512" w:type="pct"/>
            <w:shd w:val="clear" w:color="auto" w:fill="C6EFCE"/>
          </w:tcPr>
          <w:p w14:paraId="2AD3275F"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lastRenderedPageBreak/>
              <w:t xml:space="preserve">Stājas spēkā Ministru kabineta noteikumi par tiesisko regulējumu attiecībā uz </w:t>
            </w:r>
            <w:r w:rsidRPr="00A116F8">
              <w:rPr>
                <w:rFonts w:ascii="Times New Roman" w:hAnsi="Times New Roman"/>
                <w:sz w:val="18"/>
                <w:szCs w:val="20"/>
              </w:rPr>
              <w:lastRenderedPageBreak/>
              <w:t>investīcijām reģionāla biometāna ievades punkta būvniecībā un IT risinājuma iegādē ievades punkta pārvaldībai.</w:t>
            </w:r>
          </w:p>
        </w:tc>
      </w:tr>
      <w:tr w:rsidR="00A116F8" w:rsidRPr="00A116F8" w14:paraId="52789DF6" w14:textId="77777777" w:rsidTr="00A116F8">
        <w:trPr>
          <w:trHeight w:val="1200"/>
          <w:jc w:val="center"/>
        </w:trPr>
        <w:tc>
          <w:tcPr>
            <w:tcW w:w="148" w:type="pct"/>
            <w:shd w:val="clear" w:color="auto" w:fill="C6EFCE"/>
          </w:tcPr>
          <w:p w14:paraId="15682FC4"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lastRenderedPageBreak/>
              <w:t>230</w:t>
            </w:r>
          </w:p>
        </w:tc>
        <w:tc>
          <w:tcPr>
            <w:tcW w:w="482" w:type="pct"/>
            <w:shd w:val="clear" w:color="auto" w:fill="C6EFCE"/>
          </w:tcPr>
          <w:p w14:paraId="58FD3E41" w14:textId="77777777" w:rsidR="001A3E6F" w:rsidRPr="00A116F8" w:rsidRDefault="001A3E6F" w:rsidP="00A116F8">
            <w:pPr>
              <w:widowControl w:val="0"/>
              <w:spacing w:after="0" w:line="240" w:lineRule="auto"/>
              <w:ind w:left="57" w:right="57"/>
              <w:rPr>
                <w:rFonts w:ascii="Times New Roman" w:eastAsia="Times New Roman" w:hAnsi="Times New Roman" w:cs="Times New Roman"/>
                <w:b/>
                <w:bCs/>
                <w:noProof/>
                <w:sz w:val="18"/>
                <w:szCs w:val="20"/>
              </w:rPr>
            </w:pPr>
            <w:r w:rsidRPr="00A116F8">
              <w:rPr>
                <w:rFonts w:ascii="Times New Roman" w:hAnsi="Times New Roman"/>
                <w:b/>
                <w:sz w:val="18"/>
                <w:szCs w:val="20"/>
              </w:rPr>
              <w:t>7.4.i. Ilgtspējīga biometāna izmantošanas palielināšana</w:t>
            </w:r>
          </w:p>
        </w:tc>
        <w:tc>
          <w:tcPr>
            <w:tcW w:w="293" w:type="pct"/>
            <w:shd w:val="clear" w:color="auto" w:fill="C6EFCE"/>
          </w:tcPr>
          <w:p w14:paraId="064A36F8"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Atskaites punkts</w:t>
            </w:r>
          </w:p>
        </w:tc>
        <w:tc>
          <w:tcPr>
            <w:tcW w:w="439" w:type="pct"/>
            <w:shd w:val="clear" w:color="auto" w:fill="C6EFCE"/>
          </w:tcPr>
          <w:p w14:paraId="682B80BD"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Piešķirtas tiesības slēgt līgumus par reģionāla biometāna ievades punkta būvniecību un par IT risinājumu tā viedai pārvaldībai</w:t>
            </w:r>
          </w:p>
        </w:tc>
        <w:tc>
          <w:tcPr>
            <w:tcW w:w="439" w:type="pct"/>
            <w:shd w:val="clear" w:color="auto" w:fill="C6EFCE"/>
          </w:tcPr>
          <w:p w14:paraId="67F6B8C9"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Paziņojums par līgumu slēgšanas tiesību piešķiršanu</w:t>
            </w:r>
          </w:p>
        </w:tc>
        <w:tc>
          <w:tcPr>
            <w:tcW w:w="353" w:type="pct"/>
            <w:shd w:val="clear" w:color="auto" w:fill="C6EFCE"/>
          </w:tcPr>
          <w:p w14:paraId="7F1BE6F5"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Neattiecas</w:t>
            </w:r>
          </w:p>
        </w:tc>
        <w:tc>
          <w:tcPr>
            <w:tcW w:w="307" w:type="pct"/>
            <w:shd w:val="clear" w:color="auto" w:fill="C6EFCE"/>
          </w:tcPr>
          <w:p w14:paraId="6C785371"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Neattiecas</w:t>
            </w:r>
          </w:p>
        </w:tc>
        <w:tc>
          <w:tcPr>
            <w:tcW w:w="307" w:type="pct"/>
            <w:shd w:val="clear" w:color="auto" w:fill="C6EFCE"/>
          </w:tcPr>
          <w:p w14:paraId="5F25FB6D"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Neattiecas</w:t>
            </w:r>
          </w:p>
        </w:tc>
        <w:tc>
          <w:tcPr>
            <w:tcW w:w="337" w:type="pct"/>
            <w:shd w:val="clear" w:color="auto" w:fill="C6EFCE"/>
          </w:tcPr>
          <w:p w14:paraId="4F2B7BA8"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2. cet.</w:t>
            </w:r>
          </w:p>
        </w:tc>
        <w:tc>
          <w:tcPr>
            <w:tcW w:w="191" w:type="pct"/>
            <w:shd w:val="clear" w:color="auto" w:fill="C6EFCE"/>
          </w:tcPr>
          <w:p w14:paraId="5233CDEC"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2025</w:t>
            </w:r>
          </w:p>
        </w:tc>
        <w:tc>
          <w:tcPr>
            <w:tcW w:w="330" w:type="pct"/>
            <w:shd w:val="clear" w:color="auto" w:fill="C6EFCE"/>
          </w:tcPr>
          <w:p w14:paraId="286FB42C" w14:textId="77777777" w:rsidR="001A3E6F" w:rsidRPr="00A116F8" w:rsidRDefault="001A3E6F" w:rsidP="00A116F8">
            <w:pPr>
              <w:widowControl w:val="0"/>
              <w:spacing w:after="0" w:line="240" w:lineRule="auto"/>
              <w:ind w:left="57" w:right="57"/>
              <w:rPr>
                <w:rFonts w:ascii="Times New Roman" w:eastAsia="Arial Narrow" w:hAnsi="Times New Roman" w:cs="Arial Narrow"/>
                <w:noProof/>
                <w:sz w:val="18"/>
                <w:szCs w:val="20"/>
              </w:rPr>
            </w:pPr>
            <w:r w:rsidRPr="00A116F8">
              <w:rPr>
                <w:rFonts w:ascii="Times New Roman" w:hAnsi="Times New Roman"/>
                <w:sz w:val="18"/>
                <w:szCs w:val="20"/>
              </w:rPr>
              <w:t>Klimata un enerģētikas ministrija</w:t>
            </w:r>
          </w:p>
        </w:tc>
        <w:tc>
          <w:tcPr>
            <w:tcW w:w="323" w:type="pct"/>
            <w:shd w:val="clear" w:color="auto" w:fill="C6EFCE"/>
          </w:tcPr>
          <w:p w14:paraId="605FC2DD"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lang w:eastAsia="en-GB"/>
              </w:rPr>
            </w:pPr>
          </w:p>
        </w:tc>
        <w:tc>
          <w:tcPr>
            <w:tcW w:w="539" w:type="pct"/>
            <w:shd w:val="clear" w:color="auto" w:fill="C6EFCE"/>
          </w:tcPr>
          <w:p w14:paraId="54C3920B"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r w:rsidRPr="00A116F8">
              <w:rPr>
                <w:rFonts w:ascii="Times New Roman" w:hAnsi="Times New Roman"/>
                <w:sz w:val="18"/>
                <w:szCs w:val="20"/>
              </w:rPr>
              <w:t>Kopsavilkuma dokuments, kurā pienācīgi pamatots, kā tika apmierinoši sasniegts atskaites punkts (tostarp visi būtiskie elementi), kopā ar atbilstošām saitēm uz pamatojošajiem pierādījumiem.</w:t>
            </w:r>
          </w:p>
          <w:p w14:paraId="6DC69034"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p>
          <w:p w14:paraId="7596FD6B"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r w:rsidRPr="00A116F8">
              <w:rPr>
                <w:rFonts w:ascii="Times New Roman" w:hAnsi="Times New Roman"/>
                <w:sz w:val="18"/>
                <w:szCs w:val="20"/>
              </w:rPr>
              <w:t>Šā dokumenta pielikumā iekļauj piešķirto līgumu kopijas.</w:t>
            </w:r>
          </w:p>
        </w:tc>
        <w:tc>
          <w:tcPr>
            <w:tcW w:w="512" w:type="pct"/>
            <w:shd w:val="clear" w:color="auto" w:fill="C6EFCE"/>
          </w:tcPr>
          <w:p w14:paraId="3C84ECAE"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Piešķirtas tiesības slēgt līgumus par reģionāla biometāna ievades punkta izbūvi un IT risinājumu attiecībā uz ievades punkta viedu pārvaldību.</w:t>
            </w:r>
          </w:p>
        </w:tc>
      </w:tr>
      <w:tr w:rsidR="00A116F8" w:rsidRPr="00A116F8" w14:paraId="2E28F25A" w14:textId="77777777" w:rsidTr="00A116F8">
        <w:trPr>
          <w:trHeight w:val="400"/>
          <w:jc w:val="center"/>
        </w:trPr>
        <w:tc>
          <w:tcPr>
            <w:tcW w:w="148" w:type="pct"/>
            <w:shd w:val="clear" w:color="auto" w:fill="C6EFCE"/>
          </w:tcPr>
          <w:p w14:paraId="7850BC88"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231</w:t>
            </w:r>
          </w:p>
        </w:tc>
        <w:tc>
          <w:tcPr>
            <w:tcW w:w="482" w:type="pct"/>
            <w:shd w:val="clear" w:color="auto" w:fill="C6EFCE"/>
          </w:tcPr>
          <w:p w14:paraId="4C5DA943" w14:textId="77777777" w:rsidR="001A3E6F" w:rsidRPr="00A116F8" w:rsidRDefault="001A3E6F" w:rsidP="00A116F8">
            <w:pPr>
              <w:widowControl w:val="0"/>
              <w:spacing w:after="0" w:line="240" w:lineRule="auto"/>
              <w:ind w:left="57" w:right="57"/>
              <w:rPr>
                <w:rFonts w:ascii="Times New Roman" w:eastAsia="Times New Roman" w:hAnsi="Times New Roman" w:cs="Times New Roman"/>
                <w:b/>
                <w:bCs/>
                <w:noProof/>
                <w:sz w:val="18"/>
                <w:szCs w:val="20"/>
              </w:rPr>
            </w:pPr>
            <w:r w:rsidRPr="00A116F8">
              <w:rPr>
                <w:rFonts w:ascii="Times New Roman" w:hAnsi="Times New Roman"/>
                <w:b/>
                <w:sz w:val="18"/>
                <w:szCs w:val="20"/>
              </w:rPr>
              <w:t>7.4.i. Ilgtspējīga biometāna izmantošanas palielināšana</w:t>
            </w:r>
          </w:p>
        </w:tc>
        <w:tc>
          <w:tcPr>
            <w:tcW w:w="293" w:type="pct"/>
            <w:shd w:val="clear" w:color="auto" w:fill="C6EFCE"/>
          </w:tcPr>
          <w:p w14:paraId="403352EB"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 xml:space="preserve">Atskaites punkts </w:t>
            </w:r>
          </w:p>
        </w:tc>
        <w:tc>
          <w:tcPr>
            <w:tcW w:w="439" w:type="pct"/>
            <w:shd w:val="clear" w:color="auto" w:fill="C6EFCE"/>
          </w:tcPr>
          <w:p w14:paraId="0C00EA93"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Pabeigts reģionālais biometāna ievades punkts</w:t>
            </w:r>
          </w:p>
        </w:tc>
        <w:tc>
          <w:tcPr>
            <w:tcW w:w="439" w:type="pct"/>
            <w:shd w:val="clear" w:color="auto" w:fill="C6EFCE"/>
          </w:tcPr>
          <w:p w14:paraId="1A33BDC8"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Būvniecības pabeigšana</w:t>
            </w:r>
          </w:p>
        </w:tc>
        <w:tc>
          <w:tcPr>
            <w:tcW w:w="353" w:type="pct"/>
            <w:shd w:val="clear" w:color="auto" w:fill="C6EFCE"/>
          </w:tcPr>
          <w:p w14:paraId="4E0453DC"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lang w:eastAsia="en-GB"/>
              </w:rPr>
            </w:pPr>
          </w:p>
        </w:tc>
        <w:tc>
          <w:tcPr>
            <w:tcW w:w="307" w:type="pct"/>
            <w:shd w:val="clear" w:color="auto" w:fill="C6EFCE"/>
          </w:tcPr>
          <w:p w14:paraId="1711ED3A"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lang w:eastAsia="en-GB"/>
              </w:rPr>
            </w:pPr>
          </w:p>
        </w:tc>
        <w:tc>
          <w:tcPr>
            <w:tcW w:w="307" w:type="pct"/>
            <w:shd w:val="clear" w:color="auto" w:fill="C6EFCE"/>
          </w:tcPr>
          <w:p w14:paraId="25C6766E"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lang w:eastAsia="en-GB"/>
              </w:rPr>
            </w:pPr>
          </w:p>
        </w:tc>
        <w:tc>
          <w:tcPr>
            <w:tcW w:w="337" w:type="pct"/>
            <w:shd w:val="clear" w:color="auto" w:fill="C6EFCE"/>
          </w:tcPr>
          <w:p w14:paraId="49BA21D1"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4. cet.</w:t>
            </w:r>
          </w:p>
        </w:tc>
        <w:tc>
          <w:tcPr>
            <w:tcW w:w="191" w:type="pct"/>
            <w:shd w:val="clear" w:color="auto" w:fill="C6EFCE"/>
          </w:tcPr>
          <w:p w14:paraId="04B03030"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2025</w:t>
            </w:r>
          </w:p>
        </w:tc>
        <w:tc>
          <w:tcPr>
            <w:tcW w:w="330" w:type="pct"/>
            <w:shd w:val="clear" w:color="auto" w:fill="C6EFCE"/>
          </w:tcPr>
          <w:p w14:paraId="76354C12" w14:textId="77777777" w:rsidR="001A3E6F" w:rsidRPr="00A116F8" w:rsidRDefault="001A3E6F" w:rsidP="00A116F8">
            <w:pPr>
              <w:widowControl w:val="0"/>
              <w:spacing w:after="0" w:line="240" w:lineRule="auto"/>
              <w:ind w:left="57" w:right="57"/>
              <w:rPr>
                <w:rFonts w:ascii="Times New Roman" w:eastAsia="Arial Narrow" w:hAnsi="Times New Roman" w:cs="Arial Narrow"/>
                <w:noProof/>
                <w:sz w:val="18"/>
                <w:szCs w:val="20"/>
              </w:rPr>
            </w:pPr>
            <w:r w:rsidRPr="00A116F8">
              <w:rPr>
                <w:rFonts w:ascii="Times New Roman" w:hAnsi="Times New Roman"/>
                <w:sz w:val="18"/>
                <w:szCs w:val="20"/>
              </w:rPr>
              <w:t>Klimata un enerģētikas ministrija</w:t>
            </w:r>
          </w:p>
        </w:tc>
        <w:tc>
          <w:tcPr>
            <w:tcW w:w="323" w:type="pct"/>
            <w:shd w:val="clear" w:color="auto" w:fill="C6EFCE"/>
          </w:tcPr>
          <w:p w14:paraId="75B435F0"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lang w:eastAsia="en-GB"/>
              </w:rPr>
            </w:pPr>
          </w:p>
        </w:tc>
        <w:tc>
          <w:tcPr>
            <w:tcW w:w="539" w:type="pct"/>
            <w:shd w:val="clear" w:color="auto" w:fill="C6EFCE"/>
          </w:tcPr>
          <w:p w14:paraId="1D862B81"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r w:rsidRPr="00A116F8">
              <w:rPr>
                <w:rFonts w:ascii="Times New Roman" w:hAnsi="Times New Roman"/>
                <w:sz w:val="18"/>
                <w:szCs w:val="20"/>
              </w:rPr>
              <w:t>Kopsavilkuma dokuments, kurā pienācīgi pamatots, kā tika apmierinoši sasniegts atskaites punkts (tostarp visi būtiskie elementi), kopā ar atbilstošām saitēm uz pamatojošajiem pierādījumiem.</w:t>
            </w:r>
          </w:p>
          <w:p w14:paraId="3F3FBC52"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p>
          <w:p w14:paraId="0B286212"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r w:rsidRPr="00A116F8">
              <w:rPr>
                <w:rFonts w:ascii="Times New Roman" w:hAnsi="Times New Roman"/>
                <w:sz w:val="18"/>
                <w:szCs w:val="20"/>
              </w:rPr>
              <w:t>Šā dokumenta pielikumā iekļauj:</w:t>
            </w:r>
          </w:p>
          <w:p w14:paraId="2746FC92"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r w:rsidRPr="00A116F8">
              <w:rPr>
                <w:rFonts w:ascii="Times New Roman" w:hAnsi="Times New Roman"/>
                <w:sz w:val="18"/>
                <w:szCs w:val="20"/>
              </w:rPr>
              <w:t>- darbuzņēmēja(-u) un līgumslēdzējas(-</w:t>
            </w:r>
            <w:r w:rsidRPr="00A116F8">
              <w:rPr>
                <w:rFonts w:ascii="Times New Roman" w:hAnsi="Times New Roman"/>
                <w:sz w:val="18"/>
                <w:szCs w:val="20"/>
              </w:rPr>
              <w:lastRenderedPageBreak/>
              <w:t>u) iestādes(-žu) parakstītu(-us) apliecinājumu(-us) par reģionālā biometāna ievades punkta būvniecības pabeigšanu;</w:t>
            </w:r>
          </w:p>
          <w:p w14:paraId="69543112" w14:textId="77777777" w:rsidR="001A3E6F" w:rsidRPr="00A116F8" w:rsidRDefault="001A3E6F" w:rsidP="00A116F8">
            <w:pPr>
              <w:widowControl w:val="0"/>
              <w:spacing w:after="0" w:line="240" w:lineRule="auto"/>
              <w:ind w:left="57" w:right="57"/>
              <w:rPr>
                <w:rFonts w:ascii="Times New Roman" w:hAnsi="Times New Roman" w:cs="Calibri"/>
                <w:noProof/>
                <w:sz w:val="18"/>
                <w:szCs w:val="20"/>
                <w:highlight w:val="yellow"/>
              </w:rPr>
            </w:pPr>
            <w:r w:rsidRPr="00A116F8">
              <w:rPr>
                <w:rFonts w:ascii="Times New Roman" w:hAnsi="Times New Roman"/>
                <w:sz w:val="18"/>
                <w:szCs w:val="20"/>
              </w:rPr>
              <w:t xml:space="preserve">- normatīvo aktu, kas apliecina, ka caur jauno punktu var ievadīt tikai tādu biometānu, kas ir i) sertificēts kā ilgtspējīgs saskaņā ar pārskatītās Atjaunojamo energoresursu direktīvas (ES) 2018/2001 29. pantā noteiktajiem ilgtspējības kritērijiem, izmantojot brīvprātīgas sertifikācijas shēmas, kuras atzinusi Eiropas Komisija saskaņā ar tās pašas pārskatītās direktīvas 30. pantu, un ii) reģistrēts Savienības </w:t>
            </w:r>
            <w:r w:rsidRPr="00A116F8">
              <w:rPr>
                <w:rFonts w:ascii="Times New Roman" w:hAnsi="Times New Roman"/>
                <w:sz w:val="18"/>
                <w:szCs w:val="20"/>
              </w:rPr>
              <w:lastRenderedPageBreak/>
              <w:t>Biodegvielu datubāzē (</w:t>
            </w:r>
            <w:r w:rsidRPr="00A116F8">
              <w:rPr>
                <w:rFonts w:ascii="Times New Roman" w:hAnsi="Times New Roman"/>
                <w:i/>
                <w:iCs/>
                <w:sz w:val="18"/>
                <w:szCs w:val="20"/>
              </w:rPr>
              <w:t>UDB</w:t>
            </w:r>
            <w:r w:rsidRPr="00A116F8">
              <w:rPr>
                <w:rFonts w:ascii="Times New Roman" w:hAnsi="Times New Roman"/>
                <w:sz w:val="18"/>
                <w:szCs w:val="20"/>
              </w:rPr>
              <w:t>) saskaņā ar tās pašas pārskatītās direktīvas 31.a pantu.</w:t>
            </w:r>
          </w:p>
        </w:tc>
        <w:tc>
          <w:tcPr>
            <w:tcW w:w="512" w:type="pct"/>
            <w:shd w:val="clear" w:color="auto" w:fill="C6EFCE"/>
          </w:tcPr>
          <w:p w14:paraId="5DEB7D0B"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lastRenderedPageBreak/>
              <w:t xml:space="preserve">Reģionālā biometāna ievades punkta būvniecības pabeigšana. Biometāns, ko caur jauno punktu ievada esošajos cauruļvados, atbilst ilgtspējas un siltumnīcefekta gāzu emisiju ietaupījuma kritērijiem, kas noteikti pārskatītās Atjaunojamo </w:t>
            </w:r>
            <w:r w:rsidRPr="00A116F8">
              <w:rPr>
                <w:rFonts w:ascii="Times New Roman" w:hAnsi="Times New Roman"/>
                <w:sz w:val="18"/>
                <w:szCs w:val="20"/>
              </w:rPr>
              <w:lastRenderedPageBreak/>
              <w:t>energoresursu direktīvas (ES) 2018/2001 29.–31. pantā, un noteikumiem par biodegvielām, ko ražo no pārtikas un lopbarības kultūrām, kuri izklāstīti tās pašas pārskatītās direktīvas 26. pantā un saistītajos īstenošanas un deleģētajos aktos.</w:t>
            </w:r>
          </w:p>
        </w:tc>
      </w:tr>
      <w:tr w:rsidR="00A116F8" w:rsidRPr="00A116F8" w14:paraId="3CB8DD99" w14:textId="77777777" w:rsidTr="00A116F8">
        <w:trPr>
          <w:trHeight w:val="1200"/>
          <w:jc w:val="center"/>
        </w:trPr>
        <w:tc>
          <w:tcPr>
            <w:tcW w:w="148" w:type="pct"/>
            <w:shd w:val="clear" w:color="auto" w:fill="C6EFCE"/>
          </w:tcPr>
          <w:p w14:paraId="73E63AFD"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lastRenderedPageBreak/>
              <w:t>232</w:t>
            </w:r>
          </w:p>
        </w:tc>
        <w:tc>
          <w:tcPr>
            <w:tcW w:w="482" w:type="pct"/>
            <w:shd w:val="clear" w:color="auto" w:fill="C6EFCE"/>
          </w:tcPr>
          <w:p w14:paraId="6271E302" w14:textId="77777777" w:rsidR="001A3E6F" w:rsidRPr="00A116F8" w:rsidRDefault="001A3E6F" w:rsidP="00A116F8">
            <w:pPr>
              <w:widowControl w:val="0"/>
              <w:spacing w:after="0" w:line="240" w:lineRule="auto"/>
              <w:ind w:left="57" w:right="57"/>
              <w:rPr>
                <w:rFonts w:ascii="Times New Roman" w:eastAsia="Times New Roman" w:hAnsi="Times New Roman" w:cs="Times New Roman"/>
                <w:b/>
                <w:bCs/>
                <w:noProof/>
                <w:sz w:val="18"/>
                <w:szCs w:val="20"/>
              </w:rPr>
            </w:pPr>
            <w:r w:rsidRPr="00A116F8">
              <w:rPr>
                <w:rFonts w:ascii="Times New Roman" w:hAnsi="Times New Roman"/>
                <w:b/>
                <w:sz w:val="18"/>
                <w:szCs w:val="20"/>
              </w:rPr>
              <w:t>7.4.i. Ilgtspējīga biometāna izmantošanas palielināšana</w:t>
            </w:r>
          </w:p>
        </w:tc>
        <w:tc>
          <w:tcPr>
            <w:tcW w:w="293" w:type="pct"/>
            <w:shd w:val="clear" w:color="auto" w:fill="C6EFCE"/>
          </w:tcPr>
          <w:p w14:paraId="461EC188"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Atskaites punkts</w:t>
            </w:r>
          </w:p>
        </w:tc>
        <w:tc>
          <w:tcPr>
            <w:tcW w:w="439" w:type="pct"/>
            <w:shd w:val="clear" w:color="auto" w:fill="C6EFCE"/>
          </w:tcPr>
          <w:p w14:paraId="24F35746"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IT risinājums jaunā reģionālā ilgtspējīga biometāna ievades punkta (BIP) pārvaldībai</w:t>
            </w:r>
          </w:p>
        </w:tc>
        <w:tc>
          <w:tcPr>
            <w:tcW w:w="439" w:type="pct"/>
            <w:shd w:val="clear" w:color="auto" w:fill="C6EFCE"/>
          </w:tcPr>
          <w:p w14:paraId="2667DC3E"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IT risinājums iegādāts un ieviests</w:t>
            </w:r>
          </w:p>
        </w:tc>
        <w:tc>
          <w:tcPr>
            <w:tcW w:w="353" w:type="pct"/>
            <w:shd w:val="clear" w:color="auto" w:fill="C6EFCE"/>
          </w:tcPr>
          <w:p w14:paraId="7978F8C2"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Neattiecas</w:t>
            </w:r>
          </w:p>
        </w:tc>
        <w:tc>
          <w:tcPr>
            <w:tcW w:w="307" w:type="pct"/>
            <w:shd w:val="clear" w:color="auto" w:fill="C6EFCE"/>
          </w:tcPr>
          <w:p w14:paraId="30EC1A32"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Neattiecas</w:t>
            </w:r>
          </w:p>
        </w:tc>
        <w:tc>
          <w:tcPr>
            <w:tcW w:w="307" w:type="pct"/>
            <w:shd w:val="clear" w:color="auto" w:fill="C6EFCE"/>
          </w:tcPr>
          <w:p w14:paraId="6CB5C368"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Neattiecas</w:t>
            </w:r>
          </w:p>
        </w:tc>
        <w:tc>
          <w:tcPr>
            <w:tcW w:w="337" w:type="pct"/>
            <w:shd w:val="clear" w:color="auto" w:fill="C6EFCE"/>
          </w:tcPr>
          <w:p w14:paraId="1416656B"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2. cet.</w:t>
            </w:r>
          </w:p>
        </w:tc>
        <w:tc>
          <w:tcPr>
            <w:tcW w:w="191" w:type="pct"/>
            <w:shd w:val="clear" w:color="auto" w:fill="C6EFCE"/>
          </w:tcPr>
          <w:p w14:paraId="3A3D7E6E"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2026</w:t>
            </w:r>
          </w:p>
        </w:tc>
        <w:tc>
          <w:tcPr>
            <w:tcW w:w="330" w:type="pct"/>
            <w:shd w:val="clear" w:color="auto" w:fill="C6EFCE"/>
          </w:tcPr>
          <w:p w14:paraId="64282384" w14:textId="77777777" w:rsidR="001A3E6F" w:rsidRPr="00A116F8" w:rsidRDefault="001A3E6F" w:rsidP="00A116F8">
            <w:pPr>
              <w:widowControl w:val="0"/>
              <w:spacing w:after="0" w:line="240" w:lineRule="auto"/>
              <w:ind w:left="57" w:right="57"/>
              <w:rPr>
                <w:rFonts w:ascii="Times New Roman" w:eastAsia="Arial Narrow" w:hAnsi="Times New Roman" w:cs="Arial Narrow"/>
                <w:noProof/>
                <w:sz w:val="18"/>
                <w:szCs w:val="20"/>
              </w:rPr>
            </w:pPr>
            <w:r w:rsidRPr="00A116F8">
              <w:rPr>
                <w:rFonts w:ascii="Times New Roman" w:hAnsi="Times New Roman"/>
                <w:sz w:val="18"/>
                <w:szCs w:val="20"/>
              </w:rPr>
              <w:t>Klimata un enerģētikas ministrija</w:t>
            </w:r>
          </w:p>
        </w:tc>
        <w:tc>
          <w:tcPr>
            <w:tcW w:w="323" w:type="pct"/>
            <w:shd w:val="clear" w:color="auto" w:fill="C6EFCE"/>
          </w:tcPr>
          <w:p w14:paraId="72E76BD2"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lang w:eastAsia="en-GB"/>
              </w:rPr>
            </w:pPr>
          </w:p>
        </w:tc>
        <w:tc>
          <w:tcPr>
            <w:tcW w:w="539" w:type="pct"/>
            <w:shd w:val="clear" w:color="auto" w:fill="C6EFCE"/>
          </w:tcPr>
          <w:p w14:paraId="33205492"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r w:rsidRPr="00A116F8">
              <w:rPr>
                <w:rFonts w:ascii="Times New Roman" w:hAnsi="Times New Roman"/>
                <w:sz w:val="18"/>
                <w:szCs w:val="20"/>
              </w:rPr>
              <w:t>Kopsavilkuma dokuments, kurā pienācīgi pamatots, kā tika apmierinoši sasniegts atskaites punkts (tostarp visi būtiskie elementi), kopā ar atbilstošām saitēm uz pamatojošajiem pierādījumiem.</w:t>
            </w:r>
          </w:p>
          <w:p w14:paraId="7A59337C"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p>
          <w:p w14:paraId="4B192311"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r w:rsidRPr="00A116F8">
              <w:rPr>
                <w:rFonts w:ascii="Times New Roman" w:hAnsi="Times New Roman"/>
                <w:sz w:val="18"/>
                <w:szCs w:val="20"/>
              </w:rPr>
              <w:t>Šā dokumenta pielikumā iekļauj:</w:t>
            </w:r>
          </w:p>
          <w:p w14:paraId="1E63294E" w14:textId="77777777" w:rsidR="001A3E6F" w:rsidRPr="00A116F8" w:rsidRDefault="001A3E6F" w:rsidP="00A116F8">
            <w:pPr>
              <w:widowControl w:val="0"/>
              <w:spacing w:after="0" w:line="240" w:lineRule="auto"/>
              <w:ind w:left="57" w:right="57"/>
              <w:rPr>
                <w:rFonts w:ascii="Times New Roman" w:hAnsi="Times New Roman" w:cs="Calibri"/>
                <w:noProof/>
                <w:sz w:val="18"/>
                <w:szCs w:val="20"/>
              </w:rPr>
            </w:pPr>
            <w:r w:rsidRPr="00A116F8">
              <w:rPr>
                <w:rFonts w:ascii="Times New Roman" w:hAnsi="Times New Roman"/>
                <w:sz w:val="18"/>
                <w:szCs w:val="20"/>
              </w:rPr>
              <w:t xml:space="preserve">- darbuzņēmēja(-u) un līgumslēdzējas(-u) iestādes(-žu) parakstītu(-us) apliecinājumu(-us) par to, ka IT risinājums ir iegādāts un uzstādīts un ka uzstādītais IT risinājums nodrošina atskaites punktā aprakstīto </w:t>
            </w:r>
            <w:r w:rsidRPr="00A116F8">
              <w:rPr>
                <w:rFonts w:ascii="Times New Roman" w:hAnsi="Times New Roman"/>
                <w:sz w:val="18"/>
                <w:szCs w:val="20"/>
              </w:rPr>
              <w:lastRenderedPageBreak/>
              <w:t>funkcionalitāti un pakalpojumus.</w:t>
            </w:r>
          </w:p>
        </w:tc>
        <w:tc>
          <w:tcPr>
            <w:tcW w:w="512" w:type="pct"/>
            <w:shd w:val="clear" w:color="auto" w:fill="C6EFCE"/>
          </w:tcPr>
          <w:p w14:paraId="5D345EEA"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lastRenderedPageBreak/>
              <w:t>Jāiegādājas un jāuzstāda IT risinājums jaunā reģionālā ilgtspējīga biometāna ievades punkta (BIP) pārvaldībai. Minētais risinājums nodrošina šādus pakalpojumus:</w:t>
            </w:r>
          </w:p>
          <w:p w14:paraId="3D2A1F15"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 biometāna ievades punkta jaudas piekļuves pārvaldība;</w:t>
            </w:r>
          </w:p>
          <w:p w14:paraId="13F74DEF"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 biometāna ievades punkta uzskaitīto datu attēlojums kopējā gāzes lietotāju platformā;</w:t>
            </w:r>
          </w:p>
          <w:p w14:paraId="1175937B"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 xml:space="preserve">- biometāna ražotāja un pārvades tīkla lietotāju attiecību uzturēšana attiecībā uz piešķīrumiem </w:t>
            </w:r>
            <w:r w:rsidRPr="00A116F8">
              <w:rPr>
                <w:rFonts w:ascii="Times New Roman" w:hAnsi="Times New Roman"/>
                <w:sz w:val="18"/>
                <w:szCs w:val="20"/>
              </w:rPr>
              <w:lastRenderedPageBreak/>
              <w:t>gāzes ieejas punktos;</w:t>
            </w:r>
          </w:p>
          <w:p w14:paraId="66A79E5D"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 gāzes ieejas punktu jaudu, nomināciju un piešķīrumu pārvaldība;</w:t>
            </w:r>
          </w:p>
          <w:p w14:paraId="477336F8" w14:textId="7A5AFF68"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rPr>
            </w:pPr>
            <w:r w:rsidRPr="00A116F8">
              <w:rPr>
                <w:rFonts w:ascii="Times New Roman" w:hAnsi="Times New Roman"/>
                <w:sz w:val="18"/>
                <w:szCs w:val="20"/>
              </w:rPr>
              <w:t>- automātiska datu integrācija starp uzskaites punktiem un izcelsmes apliecinājumu izdošanas sistēmu.</w:t>
            </w:r>
          </w:p>
          <w:p w14:paraId="2A109220" w14:textId="77777777" w:rsidR="001A3E6F" w:rsidRPr="00A116F8" w:rsidRDefault="001A3E6F" w:rsidP="00A116F8">
            <w:pPr>
              <w:widowControl w:val="0"/>
              <w:spacing w:after="0" w:line="240" w:lineRule="auto"/>
              <w:ind w:left="57" w:right="57"/>
              <w:rPr>
                <w:rFonts w:ascii="Times New Roman" w:eastAsia="Times New Roman" w:hAnsi="Times New Roman" w:cs="Times New Roman"/>
                <w:noProof/>
                <w:sz w:val="18"/>
                <w:szCs w:val="20"/>
                <w:lang w:eastAsia="en-GB"/>
              </w:rPr>
            </w:pPr>
          </w:p>
          <w:p w14:paraId="58C29AC8" w14:textId="77777777" w:rsidR="001A3E6F" w:rsidRPr="00A116F8" w:rsidRDefault="001A3E6F" w:rsidP="00A116F8">
            <w:pPr>
              <w:widowControl w:val="0"/>
              <w:spacing w:after="0" w:line="240" w:lineRule="auto"/>
              <w:ind w:left="57" w:right="57"/>
              <w:rPr>
                <w:rFonts w:ascii="Times New Roman" w:hAnsi="Times New Roman"/>
                <w:noProof/>
                <w:sz w:val="18"/>
                <w:szCs w:val="20"/>
              </w:rPr>
            </w:pPr>
            <w:r w:rsidRPr="00A116F8">
              <w:rPr>
                <w:rFonts w:ascii="Times New Roman" w:hAnsi="Times New Roman"/>
                <w:sz w:val="18"/>
                <w:szCs w:val="20"/>
              </w:rPr>
              <w:t>Metāna un biometāna noplūžu atklāšanas un novēršanas standartus ievieš kā drošības prasību neatņemamu daļu.</w:t>
            </w:r>
          </w:p>
        </w:tc>
      </w:tr>
    </w:tbl>
    <w:p w14:paraId="1B1A027D" w14:textId="77777777" w:rsidR="001A3E6F" w:rsidRPr="00481482" w:rsidRDefault="001A3E6F" w:rsidP="00A116F8">
      <w:pPr>
        <w:widowControl w:val="0"/>
        <w:spacing w:after="0" w:line="240" w:lineRule="auto"/>
        <w:rPr>
          <w:rFonts w:ascii="Times New Roman" w:hAnsi="Times New Roman" w:cs="Times New Roman"/>
          <w:noProof/>
          <w:sz w:val="24"/>
          <w:szCs w:val="24"/>
        </w:rPr>
      </w:pPr>
    </w:p>
    <w:p w14:paraId="01413650" w14:textId="77777777" w:rsidR="00067A32" w:rsidRPr="00481482" w:rsidRDefault="00067A32" w:rsidP="00A116F8">
      <w:pPr>
        <w:widowControl w:val="0"/>
        <w:spacing w:after="0" w:line="240" w:lineRule="auto"/>
        <w:rPr>
          <w:rFonts w:ascii="Times New Roman" w:hAnsi="Times New Roman" w:cs="Times New Roman"/>
          <w:noProof/>
          <w:sz w:val="24"/>
          <w:szCs w:val="24"/>
        </w:rPr>
      </w:pPr>
    </w:p>
    <w:sectPr w:rsidR="00067A32" w:rsidRPr="00481482" w:rsidSect="004431F6">
      <w:headerReference w:type="default" r:id="rId16"/>
      <w:footerReference w:type="default" r:id="rId17"/>
      <w:headerReference w:type="first" r:id="rId18"/>
      <w:footerReference w:type="first" r:id="rId19"/>
      <w:pgSz w:w="16838" w:h="11906" w:orient="landscape" w:code="9"/>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1BB839" w14:textId="77777777" w:rsidR="00647442" w:rsidRPr="00067A32" w:rsidRDefault="00647442" w:rsidP="006D1D68">
      <w:pPr>
        <w:spacing w:after="0" w:line="240" w:lineRule="auto"/>
        <w:rPr>
          <w:noProof/>
          <w:lang w:val="en-US"/>
        </w:rPr>
      </w:pPr>
      <w:r w:rsidRPr="00067A32">
        <w:rPr>
          <w:noProof/>
          <w:lang w:val="en-US"/>
        </w:rPr>
        <w:separator/>
      </w:r>
    </w:p>
  </w:endnote>
  <w:endnote w:type="continuationSeparator" w:id="0">
    <w:p w14:paraId="340ACA32" w14:textId="77777777" w:rsidR="00647442" w:rsidRPr="00067A32" w:rsidRDefault="00647442" w:rsidP="006D1D68">
      <w:pPr>
        <w:spacing w:after="0" w:line="240" w:lineRule="auto"/>
        <w:rPr>
          <w:noProof/>
          <w:lang w:val="en-US"/>
        </w:rPr>
      </w:pPr>
      <w:r w:rsidRPr="00067A32">
        <w:rPr>
          <w:noProof/>
          <w:lang w:val="en-US"/>
        </w:rPr>
        <w:continuationSeparator/>
      </w:r>
    </w:p>
  </w:endnote>
  <w:endnote w:type="continuationNotice" w:id="1">
    <w:p w14:paraId="7BBA7C78" w14:textId="77777777" w:rsidR="00647442" w:rsidRDefault="006474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Arial Narrow&quot;,sans-serif">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AE395" w14:textId="77777777" w:rsidR="0025061E" w:rsidRPr="00864FDC" w:rsidRDefault="0025061E" w:rsidP="0025061E">
    <w:pPr>
      <w:pStyle w:val="Header"/>
      <w:tabs>
        <w:tab w:val="left" w:pos="9072"/>
      </w:tabs>
      <w:rPr>
        <w:rStyle w:val="PageNumber"/>
        <w:rFonts w:ascii="Times New Roman" w:hAnsi="Times New Roman" w:cs="Times New Roman"/>
        <w:sz w:val="20"/>
        <w:szCs w:val="18"/>
      </w:rPr>
    </w:pPr>
  </w:p>
  <w:p w14:paraId="39A9B5D4" w14:textId="77777777" w:rsidR="0025061E" w:rsidRPr="00864FDC" w:rsidRDefault="0025061E" w:rsidP="0025061E">
    <w:pPr>
      <w:pStyle w:val="Header"/>
      <w:tabs>
        <w:tab w:val="clear" w:pos="4513"/>
        <w:tab w:val="clear" w:pos="9026"/>
        <w:tab w:val="right" w:leader="underscore" w:pos="9072"/>
      </w:tabs>
      <w:rPr>
        <w:rStyle w:val="PageNumber"/>
        <w:rFonts w:ascii="Times New Roman" w:hAnsi="Times New Roman" w:cs="Times New Roman"/>
        <w:sz w:val="20"/>
        <w:szCs w:val="18"/>
      </w:rPr>
    </w:pPr>
    <w:r w:rsidRPr="00864FDC">
      <w:rPr>
        <w:rStyle w:val="PageNumber"/>
        <w:rFonts w:ascii="Times New Roman" w:hAnsi="Times New Roman" w:cs="Times New Roman"/>
        <w:sz w:val="20"/>
        <w:szCs w:val="18"/>
      </w:rPr>
      <w:tab/>
    </w:r>
  </w:p>
  <w:p w14:paraId="3EB152AB" w14:textId="77777777" w:rsidR="0025061E" w:rsidRPr="00864FDC" w:rsidRDefault="0025061E" w:rsidP="0025061E">
    <w:pPr>
      <w:pStyle w:val="Header"/>
      <w:tabs>
        <w:tab w:val="right" w:pos="9072"/>
      </w:tabs>
      <w:rPr>
        <w:rStyle w:val="PageNumber"/>
        <w:rFonts w:ascii="Times New Roman" w:hAnsi="Times New Roman" w:cs="Times New Roman"/>
        <w:sz w:val="20"/>
        <w:szCs w:val="18"/>
      </w:rPr>
    </w:pPr>
  </w:p>
  <w:p w14:paraId="2E11882B" w14:textId="21883AFF" w:rsidR="00184938" w:rsidRPr="0025061E" w:rsidRDefault="0025061E" w:rsidP="004431F6">
    <w:pPr>
      <w:pStyle w:val="Footer"/>
      <w:tabs>
        <w:tab w:val="clear" w:pos="4513"/>
        <w:tab w:val="clear" w:pos="9026"/>
        <w:tab w:val="left" w:pos="4005"/>
        <w:tab w:val="right" w:pos="9072"/>
      </w:tabs>
      <w:rPr>
        <w:rFonts w:ascii="Times New Roman" w:hAnsi="Times New Roman" w:cs="Times New Roman"/>
        <w:sz w:val="20"/>
        <w:szCs w:val="18"/>
      </w:rPr>
    </w:pPr>
    <w:r w:rsidRPr="00864FDC">
      <w:rPr>
        <w:rFonts w:ascii="Times New Roman" w:hAnsi="Times New Roman" w:cs="Times New Roman"/>
        <w:noProof/>
        <w:sz w:val="20"/>
        <w:szCs w:val="18"/>
      </w:rPr>
      <w:t xml:space="preserve">Tulkojums </w:t>
    </w:r>
    <w:r w:rsidRPr="00864FDC">
      <w:rPr>
        <w:rFonts w:ascii="Times New Roman" w:hAnsi="Times New Roman" w:cs="Times New Roman"/>
        <w:noProof/>
        <w:sz w:val="20"/>
        <w:szCs w:val="18"/>
      </w:rPr>
      <w:fldChar w:fldCharType="begin"/>
    </w:r>
    <w:r w:rsidRPr="00864FDC">
      <w:rPr>
        <w:rFonts w:ascii="Times New Roman" w:hAnsi="Times New Roman" w:cs="Times New Roman"/>
        <w:noProof/>
        <w:sz w:val="20"/>
        <w:szCs w:val="18"/>
      </w:rPr>
      <w:instrText>symbol 211 \f "Symbol" \s 9</w:instrText>
    </w:r>
    <w:r w:rsidRPr="00864FDC">
      <w:rPr>
        <w:rFonts w:ascii="Times New Roman" w:hAnsi="Times New Roman" w:cs="Times New Roman"/>
        <w:noProof/>
        <w:sz w:val="20"/>
        <w:szCs w:val="18"/>
      </w:rPr>
      <w:fldChar w:fldCharType="separate"/>
    </w:r>
    <w:r w:rsidRPr="00864FDC">
      <w:rPr>
        <w:rFonts w:ascii="Times New Roman" w:hAnsi="Times New Roman" w:cs="Times New Roman"/>
        <w:noProof/>
        <w:sz w:val="20"/>
        <w:szCs w:val="18"/>
      </w:rPr>
      <w:t>Ó</w:t>
    </w:r>
    <w:r w:rsidRPr="00864FDC">
      <w:rPr>
        <w:rFonts w:ascii="Times New Roman" w:hAnsi="Times New Roman" w:cs="Times New Roman"/>
        <w:noProof/>
        <w:sz w:val="20"/>
        <w:szCs w:val="18"/>
      </w:rPr>
      <w:fldChar w:fldCharType="end"/>
    </w:r>
    <w:r w:rsidRPr="00864FDC">
      <w:rPr>
        <w:rFonts w:ascii="Times New Roman" w:hAnsi="Times New Roman" w:cs="Times New Roman"/>
        <w:noProof/>
        <w:sz w:val="20"/>
        <w:szCs w:val="18"/>
      </w:rPr>
      <w:t xml:space="preserve"> Valsts valodas centrs, 202</w:t>
    </w:r>
    <w:r>
      <w:rPr>
        <w:rFonts w:ascii="Times New Roman" w:hAnsi="Times New Roman" w:cs="Times New Roman"/>
        <w:noProof/>
        <w:sz w:val="20"/>
        <w:szCs w:val="18"/>
      </w:rPr>
      <w:t>5</w:t>
    </w:r>
    <w:r w:rsidRPr="00864FDC">
      <w:rPr>
        <w:rFonts w:ascii="Times New Roman" w:hAnsi="Times New Roman" w:cs="Times New Roman"/>
        <w:sz w:val="20"/>
        <w:szCs w:val="18"/>
      </w:rPr>
      <w:tab/>
    </w:r>
    <w:r w:rsidR="004431F6">
      <w:rPr>
        <w:rFonts w:ascii="Times New Roman" w:hAnsi="Times New Roman" w:cs="Times New Roman"/>
        <w:sz w:val="20"/>
        <w:szCs w:val="18"/>
      </w:rPr>
      <w:tab/>
    </w:r>
    <w:r w:rsidRPr="00864FDC">
      <w:rPr>
        <w:rStyle w:val="PageNumber"/>
        <w:rFonts w:ascii="Times New Roman" w:hAnsi="Times New Roman" w:cs="Times New Roman"/>
        <w:sz w:val="20"/>
        <w:szCs w:val="18"/>
      </w:rPr>
      <w:fldChar w:fldCharType="begin"/>
    </w:r>
    <w:r w:rsidRPr="00864FDC">
      <w:rPr>
        <w:rStyle w:val="PageNumber"/>
        <w:rFonts w:ascii="Times New Roman" w:hAnsi="Times New Roman" w:cs="Times New Roman"/>
        <w:sz w:val="20"/>
        <w:szCs w:val="18"/>
      </w:rPr>
      <w:instrText xml:space="preserve">page </w:instrText>
    </w:r>
    <w:r w:rsidRPr="00864FDC">
      <w:rPr>
        <w:rStyle w:val="PageNumber"/>
        <w:rFonts w:ascii="Times New Roman" w:hAnsi="Times New Roman" w:cs="Times New Roman"/>
        <w:sz w:val="20"/>
        <w:szCs w:val="18"/>
      </w:rPr>
      <w:fldChar w:fldCharType="separate"/>
    </w:r>
    <w:r>
      <w:rPr>
        <w:rStyle w:val="PageNumber"/>
        <w:rFonts w:ascii="Times New Roman" w:hAnsi="Times New Roman" w:cs="Times New Roman"/>
        <w:sz w:val="20"/>
        <w:szCs w:val="18"/>
      </w:rPr>
      <w:t>2</w:t>
    </w:r>
    <w:r w:rsidRPr="00864FDC">
      <w:rPr>
        <w:rStyle w:val="PageNumber"/>
        <w:rFonts w:ascii="Times New Roman" w:hAnsi="Times New Roman" w:cs="Times New Roman"/>
        <w:sz w:val="20"/>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D61FF" w14:textId="77777777" w:rsidR="00F6168E" w:rsidRPr="00864FDC" w:rsidRDefault="00F6168E" w:rsidP="00F6168E">
    <w:pPr>
      <w:pStyle w:val="Header"/>
      <w:tabs>
        <w:tab w:val="left" w:pos="9072"/>
      </w:tabs>
      <w:rPr>
        <w:rStyle w:val="PageNumber"/>
        <w:rFonts w:ascii="Times New Roman" w:hAnsi="Times New Roman" w:cs="Times New Roman"/>
        <w:sz w:val="20"/>
        <w:szCs w:val="18"/>
      </w:rPr>
    </w:pPr>
    <w:bookmarkStart w:id="17" w:name="_Hlk496261764"/>
    <w:bookmarkStart w:id="18" w:name="_Hlk496261765"/>
    <w:bookmarkStart w:id="19" w:name="_Hlk496261766"/>
    <w:bookmarkStart w:id="20" w:name="_Hlk30491075"/>
    <w:bookmarkStart w:id="21" w:name="_Hlk30491076"/>
  </w:p>
  <w:p w14:paraId="2CB54E3A" w14:textId="77777777" w:rsidR="00F6168E" w:rsidRPr="00864FDC" w:rsidRDefault="00F6168E" w:rsidP="00F6168E">
    <w:pPr>
      <w:pStyle w:val="Header"/>
      <w:tabs>
        <w:tab w:val="clear" w:pos="4513"/>
        <w:tab w:val="clear" w:pos="9026"/>
        <w:tab w:val="left" w:leader="underscore" w:pos="9072"/>
      </w:tabs>
      <w:rPr>
        <w:rStyle w:val="PageNumber"/>
        <w:rFonts w:ascii="Times New Roman" w:hAnsi="Times New Roman" w:cs="Times New Roman"/>
        <w:sz w:val="20"/>
        <w:szCs w:val="18"/>
      </w:rPr>
    </w:pPr>
    <w:r w:rsidRPr="00864FDC">
      <w:rPr>
        <w:rStyle w:val="PageNumber"/>
        <w:rFonts w:ascii="Times New Roman" w:hAnsi="Times New Roman" w:cs="Times New Roman"/>
        <w:sz w:val="20"/>
        <w:szCs w:val="18"/>
      </w:rPr>
      <w:tab/>
    </w:r>
  </w:p>
  <w:p w14:paraId="4286D1B3" w14:textId="77777777" w:rsidR="00F6168E" w:rsidRPr="00864FDC" w:rsidRDefault="00F6168E" w:rsidP="00F6168E">
    <w:pPr>
      <w:pStyle w:val="Header"/>
      <w:tabs>
        <w:tab w:val="left" w:pos="9072"/>
      </w:tabs>
      <w:rPr>
        <w:rStyle w:val="PageNumber"/>
        <w:rFonts w:ascii="Times New Roman" w:hAnsi="Times New Roman" w:cs="Times New Roman"/>
        <w:sz w:val="20"/>
        <w:szCs w:val="18"/>
      </w:rPr>
    </w:pPr>
  </w:p>
  <w:p w14:paraId="468B34AF" w14:textId="5DF0A0AD" w:rsidR="00184938" w:rsidRPr="00F6168E" w:rsidRDefault="00F6168E">
    <w:pPr>
      <w:pStyle w:val="Footer"/>
      <w:rPr>
        <w:rFonts w:ascii="Times New Roman" w:hAnsi="Times New Roman" w:cs="Times New Roman"/>
        <w:sz w:val="20"/>
        <w:szCs w:val="18"/>
      </w:rPr>
    </w:pPr>
    <w:r w:rsidRPr="00864FDC">
      <w:rPr>
        <w:rFonts w:ascii="Times New Roman" w:hAnsi="Times New Roman" w:cs="Times New Roman"/>
        <w:noProof/>
        <w:sz w:val="20"/>
        <w:szCs w:val="18"/>
      </w:rPr>
      <w:t xml:space="preserve">Tulkojums </w:t>
    </w:r>
    <w:r w:rsidRPr="00864FDC">
      <w:rPr>
        <w:rFonts w:ascii="Times New Roman" w:hAnsi="Times New Roman" w:cs="Times New Roman"/>
        <w:noProof/>
        <w:sz w:val="20"/>
        <w:szCs w:val="18"/>
      </w:rPr>
      <w:fldChar w:fldCharType="begin"/>
    </w:r>
    <w:r w:rsidRPr="00864FDC">
      <w:rPr>
        <w:rFonts w:ascii="Times New Roman" w:hAnsi="Times New Roman" w:cs="Times New Roman"/>
        <w:noProof/>
        <w:sz w:val="20"/>
        <w:szCs w:val="18"/>
      </w:rPr>
      <w:instrText>symbol 211 \f "Symbol" \s 9</w:instrText>
    </w:r>
    <w:r w:rsidRPr="00864FDC">
      <w:rPr>
        <w:rFonts w:ascii="Times New Roman" w:hAnsi="Times New Roman" w:cs="Times New Roman"/>
        <w:noProof/>
        <w:sz w:val="20"/>
        <w:szCs w:val="18"/>
      </w:rPr>
      <w:fldChar w:fldCharType="separate"/>
    </w:r>
    <w:r w:rsidRPr="00864FDC">
      <w:rPr>
        <w:rFonts w:ascii="Times New Roman" w:hAnsi="Times New Roman" w:cs="Times New Roman"/>
        <w:noProof/>
        <w:sz w:val="20"/>
        <w:szCs w:val="18"/>
      </w:rPr>
      <w:t>Ó</w:t>
    </w:r>
    <w:r w:rsidRPr="00864FDC">
      <w:rPr>
        <w:rFonts w:ascii="Times New Roman" w:hAnsi="Times New Roman" w:cs="Times New Roman"/>
        <w:noProof/>
        <w:sz w:val="20"/>
        <w:szCs w:val="18"/>
      </w:rPr>
      <w:fldChar w:fldCharType="end"/>
    </w:r>
    <w:r w:rsidRPr="00864FDC">
      <w:rPr>
        <w:rFonts w:ascii="Times New Roman" w:hAnsi="Times New Roman" w:cs="Times New Roman"/>
        <w:noProof/>
        <w:sz w:val="20"/>
        <w:szCs w:val="18"/>
      </w:rPr>
      <w:t xml:space="preserve"> Valsts valodas centrs, 20</w:t>
    </w:r>
    <w:bookmarkEnd w:id="17"/>
    <w:bookmarkEnd w:id="18"/>
    <w:bookmarkEnd w:id="19"/>
    <w:r w:rsidRPr="00864FDC">
      <w:rPr>
        <w:rFonts w:ascii="Times New Roman" w:hAnsi="Times New Roman" w:cs="Times New Roman"/>
        <w:noProof/>
        <w:sz w:val="20"/>
        <w:szCs w:val="18"/>
      </w:rPr>
      <w:t>2</w:t>
    </w:r>
    <w:bookmarkEnd w:id="20"/>
    <w:bookmarkEnd w:id="21"/>
    <w:r>
      <w:rPr>
        <w:rFonts w:ascii="Times New Roman" w:hAnsi="Times New Roman" w:cs="Times New Roman"/>
        <w:noProof/>
        <w:sz w:val="20"/>
        <w:szCs w:val="18"/>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5005C" w14:textId="77777777" w:rsidR="004431F6" w:rsidRPr="00864FDC" w:rsidRDefault="004431F6" w:rsidP="0025061E">
    <w:pPr>
      <w:pStyle w:val="Header"/>
      <w:tabs>
        <w:tab w:val="left" w:pos="9072"/>
      </w:tabs>
      <w:rPr>
        <w:rStyle w:val="PageNumber"/>
        <w:rFonts w:ascii="Times New Roman" w:hAnsi="Times New Roman" w:cs="Times New Roman"/>
        <w:sz w:val="20"/>
        <w:szCs w:val="18"/>
      </w:rPr>
    </w:pPr>
  </w:p>
  <w:p w14:paraId="4CCBA0A3" w14:textId="77777777" w:rsidR="004431F6" w:rsidRPr="00864FDC" w:rsidRDefault="004431F6" w:rsidP="004431F6">
    <w:pPr>
      <w:pStyle w:val="Header"/>
      <w:tabs>
        <w:tab w:val="clear" w:pos="4513"/>
        <w:tab w:val="clear" w:pos="9026"/>
        <w:tab w:val="right" w:leader="underscore" w:pos="13608"/>
      </w:tabs>
      <w:rPr>
        <w:rStyle w:val="PageNumber"/>
        <w:rFonts w:ascii="Times New Roman" w:hAnsi="Times New Roman" w:cs="Times New Roman"/>
        <w:sz w:val="20"/>
        <w:szCs w:val="18"/>
      </w:rPr>
    </w:pPr>
    <w:r w:rsidRPr="00864FDC">
      <w:rPr>
        <w:rStyle w:val="PageNumber"/>
        <w:rFonts w:ascii="Times New Roman" w:hAnsi="Times New Roman" w:cs="Times New Roman"/>
        <w:sz w:val="20"/>
        <w:szCs w:val="18"/>
      </w:rPr>
      <w:tab/>
    </w:r>
  </w:p>
  <w:p w14:paraId="3ADE778A" w14:textId="77777777" w:rsidR="004431F6" w:rsidRPr="00864FDC" w:rsidRDefault="004431F6" w:rsidP="0025061E">
    <w:pPr>
      <w:pStyle w:val="Header"/>
      <w:tabs>
        <w:tab w:val="right" w:pos="9072"/>
      </w:tabs>
      <w:rPr>
        <w:rStyle w:val="PageNumber"/>
        <w:rFonts w:ascii="Times New Roman" w:hAnsi="Times New Roman" w:cs="Times New Roman"/>
        <w:sz w:val="20"/>
        <w:szCs w:val="18"/>
      </w:rPr>
    </w:pPr>
  </w:p>
  <w:p w14:paraId="039CB94F" w14:textId="77777777" w:rsidR="004431F6" w:rsidRPr="0025061E" w:rsidRDefault="004431F6" w:rsidP="004431F6">
    <w:pPr>
      <w:pStyle w:val="Footer"/>
      <w:tabs>
        <w:tab w:val="clear" w:pos="4513"/>
        <w:tab w:val="clear" w:pos="9026"/>
        <w:tab w:val="left" w:pos="4005"/>
        <w:tab w:val="right" w:pos="13608"/>
      </w:tabs>
      <w:rPr>
        <w:rFonts w:ascii="Times New Roman" w:hAnsi="Times New Roman" w:cs="Times New Roman"/>
        <w:sz w:val="20"/>
        <w:szCs w:val="18"/>
      </w:rPr>
    </w:pPr>
    <w:r w:rsidRPr="00864FDC">
      <w:rPr>
        <w:rFonts w:ascii="Times New Roman" w:hAnsi="Times New Roman" w:cs="Times New Roman"/>
        <w:noProof/>
        <w:sz w:val="20"/>
        <w:szCs w:val="18"/>
      </w:rPr>
      <w:t xml:space="preserve">Tulkojums </w:t>
    </w:r>
    <w:r w:rsidRPr="00864FDC">
      <w:rPr>
        <w:rFonts w:ascii="Times New Roman" w:hAnsi="Times New Roman" w:cs="Times New Roman"/>
        <w:noProof/>
        <w:sz w:val="20"/>
        <w:szCs w:val="18"/>
      </w:rPr>
      <w:fldChar w:fldCharType="begin"/>
    </w:r>
    <w:r w:rsidRPr="00864FDC">
      <w:rPr>
        <w:rFonts w:ascii="Times New Roman" w:hAnsi="Times New Roman" w:cs="Times New Roman"/>
        <w:noProof/>
        <w:sz w:val="20"/>
        <w:szCs w:val="18"/>
      </w:rPr>
      <w:instrText>symbol 211 \f "Symbol" \s 9</w:instrText>
    </w:r>
    <w:r w:rsidRPr="00864FDC">
      <w:rPr>
        <w:rFonts w:ascii="Times New Roman" w:hAnsi="Times New Roman" w:cs="Times New Roman"/>
        <w:noProof/>
        <w:sz w:val="20"/>
        <w:szCs w:val="18"/>
      </w:rPr>
      <w:fldChar w:fldCharType="separate"/>
    </w:r>
    <w:r w:rsidRPr="00864FDC">
      <w:rPr>
        <w:rFonts w:ascii="Times New Roman" w:hAnsi="Times New Roman" w:cs="Times New Roman"/>
        <w:noProof/>
        <w:sz w:val="20"/>
        <w:szCs w:val="18"/>
      </w:rPr>
      <w:t>Ó</w:t>
    </w:r>
    <w:r w:rsidRPr="00864FDC">
      <w:rPr>
        <w:rFonts w:ascii="Times New Roman" w:hAnsi="Times New Roman" w:cs="Times New Roman"/>
        <w:noProof/>
        <w:sz w:val="20"/>
        <w:szCs w:val="18"/>
      </w:rPr>
      <w:fldChar w:fldCharType="end"/>
    </w:r>
    <w:r w:rsidRPr="00864FDC">
      <w:rPr>
        <w:rFonts w:ascii="Times New Roman" w:hAnsi="Times New Roman" w:cs="Times New Roman"/>
        <w:noProof/>
        <w:sz w:val="20"/>
        <w:szCs w:val="18"/>
      </w:rPr>
      <w:t xml:space="preserve"> Valsts valodas centrs, 202</w:t>
    </w:r>
    <w:r>
      <w:rPr>
        <w:rFonts w:ascii="Times New Roman" w:hAnsi="Times New Roman" w:cs="Times New Roman"/>
        <w:noProof/>
        <w:sz w:val="20"/>
        <w:szCs w:val="18"/>
      </w:rPr>
      <w:t>5</w:t>
    </w:r>
    <w:r w:rsidRPr="00864FDC">
      <w:rPr>
        <w:rFonts w:ascii="Times New Roman" w:hAnsi="Times New Roman" w:cs="Times New Roman"/>
        <w:sz w:val="20"/>
        <w:szCs w:val="18"/>
      </w:rPr>
      <w:tab/>
    </w:r>
    <w:r>
      <w:rPr>
        <w:rFonts w:ascii="Times New Roman" w:hAnsi="Times New Roman" w:cs="Times New Roman"/>
        <w:sz w:val="20"/>
        <w:szCs w:val="18"/>
      </w:rPr>
      <w:tab/>
    </w:r>
    <w:r w:rsidRPr="00864FDC">
      <w:rPr>
        <w:rStyle w:val="PageNumber"/>
        <w:rFonts w:ascii="Times New Roman" w:hAnsi="Times New Roman" w:cs="Times New Roman"/>
        <w:sz w:val="20"/>
        <w:szCs w:val="18"/>
      </w:rPr>
      <w:fldChar w:fldCharType="begin"/>
    </w:r>
    <w:r w:rsidRPr="00864FDC">
      <w:rPr>
        <w:rStyle w:val="PageNumber"/>
        <w:rFonts w:ascii="Times New Roman" w:hAnsi="Times New Roman" w:cs="Times New Roman"/>
        <w:sz w:val="20"/>
        <w:szCs w:val="18"/>
      </w:rPr>
      <w:instrText xml:space="preserve">page </w:instrText>
    </w:r>
    <w:r w:rsidRPr="00864FDC">
      <w:rPr>
        <w:rStyle w:val="PageNumber"/>
        <w:rFonts w:ascii="Times New Roman" w:hAnsi="Times New Roman" w:cs="Times New Roman"/>
        <w:sz w:val="20"/>
        <w:szCs w:val="18"/>
      </w:rPr>
      <w:fldChar w:fldCharType="separate"/>
    </w:r>
    <w:r>
      <w:rPr>
        <w:rStyle w:val="PageNumber"/>
        <w:rFonts w:ascii="Times New Roman" w:hAnsi="Times New Roman" w:cs="Times New Roman"/>
        <w:sz w:val="20"/>
        <w:szCs w:val="18"/>
      </w:rPr>
      <w:t>2</w:t>
    </w:r>
    <w:r w:rsidRPr="00864FDC">
      <w:rPr>
        <w:rStyle w:val="PageNumber"/>
        <w:rFonts w:ascii="Times New Roman" w:hAnsi="Times New Roman" w:cs="Times New Roman"/>
        <w:sz w:val="20"/>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85D7E" w14:textId="77777777" w:rsidR="00BC0BB6" w:rsidRPr="00864FDC" w:rsidRDefault="00BC0BB6" w:rsidP="00BC0BB6">
    <w:pPr>
      <w:pStyle w:val="Header"/>
      <w:tabs>
        <w:tab w:val="left" w:pos="9072"/>
      </w:tabs>
      <w:rPr>
        <w:rStyle w:val="PageNumber"/>
        <w:rFonts w:ascii="Times New Roman" w:hAnsi="Times New Roman" w:cs="Times New Roman"/>
        <w:sz w:val="20"/>
        <w:szCs w:val="18"/>
      </w:rPr>
    </w:pPr>
  </w:p>
  <w:p w14:paraId="1C279254" w14:textId="77777777" w:rsidR="00BC0BB6" w:rsidRPr="00864FDC" w:rsidRDefault="00BC0BB6" w:rsidP="00BC0BB6">
    <w:pPr>
      <w:pStyle w:val="Header"/>
      <w:tabs>
        <w:tab w:val="clear" w:pos="4513"/>
        <w:tab w:val="clear" w:pos="9026"/>
        <w:tab w:val="right" w:leader="underscore" w:pos="13608"/>
      </w:tabs>
      <w:rPr>
        <w:rStyle w:val="PageNumber"/>
        <w:rFonts w:ascii="Times New Roman" w:hAnsi="Times New Roman" w:cs="Times New Roman"/>
        <w:sz w:val="20"/>
        <w:szCs w:val="18"/>
      </w:rPr>
    </w:pPr>
    <w:r w:rsidRPr="00864FDC">
      <w:rPr>
        <w:rStyle w:val="PageNumber"/>
        <w:rFonts w:ascii="Times New Roman" w:hAnsi="Times New Roman" w:cs="Times New Roman"/>
        <w:sz w:val="20"/>
        <w:szCs w:val="18"/>
      </w:rPr>
      <w:tab/>
    </w:r>
  </w:p>
  <w:p w14:paraId="3525550B" w14:textId="77777777" w:rsidR="00BC0BB6" w:rsidRPr="00864FDC" w:rsidRDefault="00BC0BB6" w:rsidP="00BC0BB6">
    <w:pPr>
      <w:pStyle w:val="Header"/>
      <w:tabs>
        <w:tab w:val="right" w:pos="9072"/>
      </w:tabs>
      <w:rPr>
        <w:rStyle w:val="PageNumber"/>
        <w:rFonts w:ascii="Times New Roman" w:hAnsi="Times New Roman" w:cs="Times New Roman"/>
        <w:sz w:val="20"/>
        <w:szCs w:val="18"/>
      </w:rPr>
    </w:pPr>
  </w:p>
  <w:p w14:paraId="743C4722" w14:textId="77777777" w:rsidR="00BC0BB6" w:rsidRPr="0025061E" w:rsidRDefault="00BC0BB6" w:rsidP="00BC0BB6">
    <w:pPr>
      <w:pStyle w:val="Footer"/>
      <w:tabs>
        <w:tab w:val="clear" w:pos="4513"/>
        <w:tab w:val="clear" w:pos="9026"/>
        <w:tab w:val="right" w:pos="13608"/>
      </w:tabs>
      <w:rPr>
        <w:rFonts w:ascii="Times New Roman" w:hAnsi="Times New Roman" w:cs="Times New Roman"/>
        <w:sz w:val="20"/>
        <w:szCs w:val="18"/>
      </w:rPr>
    </w:pPr>
    <w:r w:rsidRPr="00864FDC">
      <w:rPr>
        <w:rFonts w:ascii="Times New Roman" w:hAnsi="Times New Roman" w:cs="Times New Roman"/>
        <w:noProof/>
        <w:sz w:val="20"/>
        <w:szCs w:val="18"/>
      </w:rPr>
      <w:t xml:space="preserve">Tulkojums </w:t>
    </w:r>
    <w:r w:rsidRPr="00864FDC">
      <w:rPr>
        <w:rFonts w:ascii="Times New Roman" w:hAnsi="Times New Roman" w:cs="Times New Roman"/>
        <w:noProof/>
        <w:sz w:val="20"/>
        <w:szCs w:val="18"/>
      </w:rPr>
      <w:fldChar w:fldCharType="begin"/>
    </w:r>
    <w:r w:rsidRPr="00864FDC">
      <w:rPr>
        <w:rFonts w:ascii="Times New Roman" w:hAnsi="Times New Roman" w:cs="Times New Roman"/>
        <w:noProof/>
        <w:sz w:val="20"/>
        <w:szCs w:val="18"/>
      </w:rPr>
      <w:instrText>symbol 211 \f "Symbol" \s 9</w:instrText>
    </w:r>
    <w:r w:rsidRPr="00864FDC">
      <w:rPr>
        <w:rFonts w:ascii="Times New Roman" w:hAnsi="Times New Roman" w:cs="Times New Roman"/>
        <w:noProof/>
        <w:sz w:val="20"/>
        <w:szCs w:val="18"/>
      </w:rPr>
      <w:fldChar w:fldCharType="separate"/>
    </w:r>
    <w:r w:rsidRPr="00864FDC">
      <w:rPr>
        <w:rFonts w:ascii="Times New Roman" w:hAnsi="Times New Roman" w:cs="Times New Roman"/>
        <w:noProof/>
        <w:sz w:val="20"/>
        <w:szCs w:val="18"/>
      </w:rPr>
      <w:t>Ó</w:t>
    </w:r>
    <w:r w:rsidRPr="00864FDC">
      <w:rPr>
        <w:rFonts w:ascii="Times New Roman" w:hAnsi="Times New Roman" w:cs="Times New Roman"/>
        <w:noProof/>
        <w:sz w:val="20"/>
        <w:szCs w:val="18"/>
      </w:rPr>
      <w:fldChar w:fldCharType="end"/>
    </w:r>
    <w:r w:rsidRPr="00864FDC">
      <w:rPr>
        <w:rFonts w:ascii="Times New Roman" w:hAnsi="Times New Roman" w:cs="Times New Roman"/>
        <w:noProof/>
        <w:sz w:val="20"/>
        <w:szCs w:val="18"/>
      </w:rPr>
      <w:t xml:space="preserve"> Valsts valodas centrs, 202</w:t>
    </w:r>
    <w:r>
      <w:rPr>
        <w:rFonts w:ascii="Times New Roman" w:hAnsi="Times New Roman" w:cs="Times New Roman"/>
        <w:noProof/>
        <w:sz w:val="20"/>
        <w:szCs w:val="18"/>
      </w:rPr>
      <w:t>5</w:t>
    </w:r>
    <w:r w:rsidRPr="00864FDC">
      <w:rPr>
        <w:rFonts w:ascii="Times New Roman" w:hAnsi="Times New Roman" w:cs="Times New Roman"/>
        <w:sz w:val="20"/>
        <w:szCs w:val="18"/>
      </w:rPr>
      <w:tab/>
    </w:r>
    <w:r w:rsidRPr="00864FDC">
      <w:rPr>
        <w:rStyle w:val="PageNumber"/>
        <w:rFonts w:ascii="Times New Roman" w:hAnsi="Times New Roman" w:cs="Times New Roman"/>
        <w:sz w:val="20"/>
        <w:szCs w:val="18"/>
      </w:rPr>
      <w:fldChar w:fldCharType="begin"/>
    </w:r>
    <w:r w:rsidRPr="00864FDC">
      <w:rPr>
        <w:rStyle w:val="PageNumber"/>
        <w:rFonts w:ascii="Times New Roman" w:hAnsi="Times New Roman" w:cs="Times New Roman"/>
        <w:sz w:val="20"/>
        <w:szCs w:val="18"/>
      </w:rPr>
      <w:instrText xml:space="preserve">page </w:instrText>
    </w:r>
    <w:r w:rsidRPr="00864FDC">
      <w:rPr>
        <w:rStyle w:val="PageNumber"/>
        <w:rFonts w:ascii="Times New Roman" w:hAnsi="Times New Roman" w:cs="Times New Roman"/>
        <w:sz w:val="20"/>
        <w:szCs w:val="18"/>
      </w:rPr>
      <w:fldChar w:fldCharType="separate"/>
    </w:r>
    <w:r>
      <w:rPr>
        <w:rStyle w:val="PageNumber"/>
        <w:rFonts w:ascii="Times New Roman" w:hAnsi="Times New Roman" w:cs="Times New Roman"/>
        <w:sz w:val="20"/>
        <w:szCs w:val="18"/>
      </w:rPr>
      <w:t>5</w:t>
    </w:r>
    <w:r w:rsidRPr="00864FDC">
      <w:rPr>
        <w:rStyle w:val="PageNumber"/>
        <w:rFonts w:ascii="Times New Roman" w:hAnsi="Times New Roman" w:cs="Times New Roman"/>
        <w:sz w:val="20"/>
        <w:szCs w:val="18"/>
      </w:rPr>
      <w:fldChar w:fldCharType="end"/>
    </w:r>
  </w:p>
  <w:p w14:paraId="2A94CD21" w14:textId="52A9FA69" w:rsidR="00BC0BB6" w:rsidRPr="00BC0BB6" w:rsidRDefault="00BC0BB6" w:rsidP="00BC0B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988ACE" w14:textId="77777777" w:rsidR="00647442" w:rsidRPr="00067A32" w:rsidRDefault="00647442" w:rsidP="006D1D68">
      <w:pPr>
        <w:spacing w:after="0" w:line="240" w:lineRule="auto"/>
        <w:rPr>
          <w:noProof/>
          <w:lang w:val="en-US"/>
        </w:rPr>
      </w:pPr>
      <w:r w:rsidRPr="00067A32">
        <w:rPr>
          <w:noProof/>
          <w:lang w:val="en-US"/>
        </w:rPr>
        <w:separator/>
      </w:r>
    </w:p>
  </w:footnote>
  <w:footnote w:type="continuationSeparator" w:id="0">
    <w:p w14:paraId="0C3ACB47" w14:textId="77777777" w:rsidR="00647442" w:rsidRPr="00067A32" w:rsidRDefault="00647442" w:rsidP="006D1D68">
      <w:pPr>
        <w:spacing w:after="0" w:line="240" w:lineRule="auto"/>
        <w:rPr>
          <w:noProof/>
          <w:lang w:val="en-US"/>
        </w:rPr>
      </w:pPr>
      <w:r w:rsidRPr="00067A32">
        <w:rPr>
          <w:noProof/>
          <w:lang w:val="en-US"/>
        </w:rPr>
        <w:continuationSeparator/>
      </w:r>
    </w:p>
  </w:footnote>
  <w:footnote w:type="continuationNotice" w:id="1">
    <w:p w14:paraId="60CEE360" w14:textId="77777777" w:rsidR="00647442" w:rsidRDefault="00647442">
      <w:pPr>
        <w:spacing w:after="0" w:line="240" w:lineRule="auto"/>
      </w:pPr>
    </w:p>
  </w:footnote>
  <w:footnote w:id="2">
    <w:p w14:paraId="64C55C6A" w14:textId="22C83841" w:rsidR="005E1F8D" w:rsidRPr="00AF1BFA" w:rsidRDefault="005F4823" w:rsidP="005F4823">
      <w:pPr>
        <w:pStyle w:val="FootnoteText"/>
        <w:rPr>
          <w:rFonts w:ascii="Times New Roman" w:hAnsi="Times New Roman" w:cs="Times New Roman"/>
        </w:rPr>
      </w:pPr>
      <w:r w:rsidRPr="00AF1BFA">
        <w:rPr>
          <w:rStyle w:val="FootnoteReference"/>
          <w:rFonts w:ascii="Times New Roman" w:hAnsi="Times New Roman" w:cs="Times New Roman"/>
        </w:rPr>
        <w:footnoteRef/>
      </w:r>
      <w:r w:rsidR="00AF1BFA" w:rsidRPr="00AF1BFA">
        <w:rPr>
          <w:rFonts w:ascii="Times New Roman" w:hAnsi="Times New Roman" w:cs="Times New Roman"/>
          <w:lang w:val="en-IE"/>
        </w:rPr>
        <w:t xml:space="preserve"> </w:t>
      </w:r>
      <w:r w:rsidRPr="00AF1BFA">
        <w:rPr>
          <w:rFonts w:ascii="Times New Roman" w:hAnsi="Times New Roman" w:cs="Times New Roman"/>
          <w:lang w:val="en-IE"/>
        </w:rPr>
        <w:t>O</w:t>
      </w:r>
      <w:r w:rsidR="00AF1BFA">
        <w:rPr>
          <w:rFonts w:ascii="Times New Roman" w:hAnsi="Times New Roman" w:cs="Times New Roman"/>
          <w:lang w:val="en-IE"/>
        </w:rPr>
        <w:t>V,</w:t>
      </w:r>
      <w:r w:rsidRPr="00AF1BFA">
        <w:rPr>
          <w:rFonts w:ascii="Times New Roman" w:hAnsi="Times New Roman" w:cs="Times New Roman"/>
          <w:lang w:val="en-IE"/>
        </w:rPr>
        <w:t xml:space="preserve"> L 57/17, 18.02.2021, 1.</w:t>
      </w:r>
      <w:r w:rsidR="00AF1BFA">
        <w:rPr>
          <w:rFonts w:ascii="Times New Roman" w:hAnsi="Times New Roman" w:cs="Times New Roman"/>
        </w:rPr>
        <w:t> lpp.</w:t>
      </w:r>
    </w:p>
  </w:footnote>
  <w:footnote w:id="3">
    <w:p w14:paraId="17DB3226" w14:textId="3CDEDFC2" w:rsidR="005E1F8D" w:rsidRPr="00AF1BFA" w:rsidRDefault="005E1F8D">
      <w:pPr>
        <w:pStyle w:val="FootnoteText"/>
        <w:rPr>
          <w:rFonts w:ascii="Times New Roman" w:hAnsi="Times New Roman" w:cs="Times New Roman"/>
        </w:rPr>
      </w:pPr>
      <w:r w:rsidRPr="00AF1BFA">
        <w:rPr>
          <w:rStyle w:val="FootnoteReference"/>
          <w:rFonts w:ascii="Times New Roman" w:hAnsi="Times New Roman" w:cs="Times New Roman"/>
        </w:rPr>
        <w:footnoteRef/>
      </w:r>
      <w:r w:rsidRPr="00AF1BFA">
        <w:rPr>
          <w:rFonts w:ascii="Times New Roman" w:hAnsi="Times New Roman" w:cs="Times New Roman"/>
        </w:rPr>
        <w:t xml:space="preserve"> </w:t>
      </w:r>
      <w:r w:rsidR="005F4823" w:rsidRPr="00AF1BFA">
        <w:rPr>
          <w:rFonts w:ascii="Times New Roman" w:hAnsi="Times New Roman" w:cs="Times New Roman"/>
          <w:lang w:val="en-IE"/>
        </w:rPr>
        <w:t>ST 10157/21 INIT; ST 10157/21 ADD</w:t>
      </w:r>
      <w:r w:rsidR="008F7362">
        <w:rPr>
          <w:rFonts w:ascii="Times New Roman" w:hAnsi="Times New Roman" w:cs="Times New Roman"/>
          <w:lang w:val="en-IE"/>
        </w:rPr>
        <w:t> </w:t>
      </w:r>
      <w:r w:rsidR="005F4823" w:rsidRPr="00AF1BFA">
        <w:rPr>
          <w:rFonts w:ascii="Times New Roman" w:hAnsi="Times New Roman" w:cs="Times New Roman"/>
          <w:lang w:val="en-IE"/>
        </w:rPr>
        <w:t>1</w:t>
      </w:r>
    </w:p>
  </w:footnote>
  <w:footnote w:id="4">
    <w:p w14:paraId="76050B62" w14:textId="6B78389A" w:rsidR="005E1F8D" w:rsidRDefault="005E1F8D">
      <w:pPr>
        <w:pStyle w:val="FootnoteText"/>
      </w:pPr>
      <w:r w:rsidRPr="00AF1BFA">
        <w:rPr>
          <w:rStyle w:val="FootnoteReference"/>
          <w:rFonts w:ascii="Times New Roman" w:hAnsi="Times New Roman" w:cs="Times New Roman"/>
        </w:rPr>
        <w:footnoteRef/>
      </w:r>
      <w:r w:rsidRPr="00AF1BFA">
        <w:rPr>
          <w:rFonts w:ascii="Times New Roman" w:hAnsi="Times New Roman" w:cs="Times New Roman"/>
        </w:rPr>
        <w:t xml:space="preserve"> </w:t>
      </w:r>
      <w:r w:rsidR="005F4823" w:rsidRPr="00AF1BFA">
        <w:rPr>
          <w:rFonts w:ascii="Times New Roman" w:hAnsi="Times New Roman" w:cs="Times New Roman"/>
        </w:rPr>
        <w:t>ST 6241 2025 INIT; ST 6241 2025 ADD</w:t>
      </w:r>
      <w:r w:rsidR="008F7362">
        <w:rPr>
          <w:rFonts w:ascii="Times New Roman" w:hAnsi="Times New Roman" w:cs="Times New Roman"/>
        </w:rPr>
        <w:t> </w:t>
      </w:r>
      <w:r w:rsidR="005F4823" w:rsidRPr="00AF1BFA">
        <w:rPr>
          <w:rFonts w:ascii="Times New Roman" w:hAnsi="Times New Roman" w:cs="Times New Roman"/>
        </w:rPr>
        <w:t>1</w:t>
      </w:r>
    </w:p>
  </w:footnote>
  <w:footnote w:id="5">
    <w:p w14:paraId="13BE09BB" w14:textId="0CDA944C" w:rsidR="00067A32" w:rsidRPr="00067A32" w:rsidRDefault="00067A32" w:rsidP="00067A32">
      <w:pPr>
        <w:pStyle w:val="FootnoteText"/>
        <w:rPr>
          <w:rFonts w:ascii="Times New Roman" w:hAnsi="Times New Roman"/>
          <w:noProof/>
        </w:rPr>
      </w:pPr>
      <w:r>
        <w:rPr>
          <w:rStyle w:val="FootnoteReference"/>
          <w:rFonts w:ascii="Times New Roman" w:hAnsi="Times New Roman" w:cs="Times New Roman"/>
          <w:noProof/>
          <w:lang w:val="en-US"/>
        </w:rPr>
        <w:footnoteRef/>
      </w:r>
      <w:r>
        <w:rPr>
          <w:rFonts w:ascii="Times New Roman" w:hAnsi="Times New Roman"/>
        </w:rPr>
        <w:t>Eiropas Parlamenta un Padomes 2021. gada 12. februāra Regula (ES) 2021/241, ar ko izveido Atveseļošanas un noturības mehānismu, OV, L 057, 18.02.2021., 17. lpp.</w:t>
      </w:r>
    </w:p>
  </w:footnote>
  <w:footnote w:id="6">
    <w:p w14:paraId="7C880FA4" w14:textId="3877D28B" w:rsidR="00067A32" w:rsidRPr="00067A32" w:rsidRDefault="00067A32" w:rsidP="00067A32">
      <w:pPr>
        <w:pStyle w:val="FootnoteText"/>
        <w:rPr>
          <w:rFonts w:ascii="Times New Roman" w:hAnsi="Times New Roman"/>
          <w:noProof/>
        </w:rPr>
      </w:pPr>
      <w:r>
        <w:rPr>
          <w:rStyle w:val="FootnoteReference"/>
          <w:rFonts w:ascii="Times New Roman" w:hAnsi="Times New Roman" w:cs="Times New Roman"/>
          <w:noProof/>
          <w:lang w:val="en-US"/>
        </w:rPr>
        <w:footnoteRef/>
      </w:r>
      <w:r>
        <w:rPr>
          <w:rFonts w:ascii="Times New Roman" w:hAnsi="Times New Roman"/>
        </w:rPr>
        <w:t xml:space="preserve"> 15569/23; 15569/23 ADD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6443B" w14:textId="77777777" w:rsidR="007E5CCE" w:rsidRPr="00864FDC" w:rsidRDefault="007E5CCE" w:rsidP="007E5CCE">
    <w:pPr>
      <w:pStyle w:val="Header"/>
      <w:rPr>
        <w:rStyle w:val="PageNumber"/>
        <w:rFonts w:ascii="Times New Roman" w:hAnsi="Times New Roman" w:cs="Times New Roman"/>
        <w:sz w:val="20"/>
        <w:szCs w:val="20"/>
      </w:rPr>
    </w:pPr>
  </w:p>
  <w:p w14:paraId="207445F4" w14:textId="77777777" w:rsidR="007E5CCE" w:rsidRPr="00864FDC" w:rsidRDefault="007E5CCE" w:rsidP="007E5CCE">
    <w:pPr>
      <w:pStyle w:val="Header"/>
      <w:tabs>
        <w:tab w:val="clear" w:pos="4513"/>
        <w:tab w:val="clear" w:pos="9026"/>
        <w:tab w:val="right" w:leader="underscore" w:pos="9072"/>
      </w:tabs>
      <w:rPr>
        <w:rStyle w:val="PageNumber"/>
        <w:rFonts w:ascii="Times New Roman" w:hAnsi="Times New Roman" w:cs="Times New Roman"/>
        <w:sz w:val="20"/>
        <w:szCs w:val="20"/>
      </w:rPr>
    </w:pPr>
    <w:bookmarkStart w:id="4" w:name="_Hlk496261784"/>
    <w:bookmarkStart w:id="5" w:name="_Hlk496261785"/>
    <w:bookmarkStart w:id="6" w:name="_Hlk496261786"/>
    <w:bookmarkStart w:id="7" w:name="_Hlk502757728"/>
    <w:bookmarkStart w:id="8" w:name="_Hlk502757729"/>
    <w:bookmarkStart w:id="9" w:name="_Hlk502757738"/>
    <w:bookmarkStart w:id="10" w:name="_Hlk502757739"/>
    <w:bookmarkStart w:id="11" w:name="_Hlk30491084"/>
    <w:bookmarkStart w:id="12" w:name="_Hlk30491085"/>
    <w:bookmarkStart w:id="13" w:name="_Hlk63344778"/>
    <w:bookmarkStart w:id="14" w:name="_Hlk63344779"/>
    <w:bookmarkStart w:id="15" w:name="_Hlk63344780"/>
    <w:bookmarkStart w:id="16" w:name="_Hlk63344781"/>
    <w:r w:rsidRPr="00864FDC">
      <w:rPr>
        <w:rStyle w:val="PageNumber"/>
        <w:rFonts w:ascii="Times New Roman" w:hAnsi="Times New Roman" w:cs="Times New Roman"/>
        <w:sz w:val="20"/>
        <w:szCs w:val="20"/>
      </w:rPr>
      <w:tab/>
    </w:r>
  </w:p>
  <w:bookmarkEnd w:id="4"/>
  <w:bookmarkEnd w:id="5"/>
  <w:bookmarkEnd w:id="6"/>
  <w:bookmarkEnd w:id="7"/>
  <w:bookmarkEnd w:id="8"/>
  <w:bookmarkEnd w:id="9"/>
  <w:bookmarkEnd w:id="10"/>
  <w:bookmarkEnd w:id="11"/>
  <w:bookmarkEnd w:id="12"/>
  <w:bookmarkEnd w:id="13"/>
  <w:bookmarkEnd w:id="14"/>
  <w:bookmarkEnd w:id="15"/>
  <w:bookmarkEnd w:id="16"/>
  <w:p w14:paraId="3A1FDDB9" w14:textId="77777777" w:rsidR="00184938" w:rsidRDefault="001849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1A698" w14:textId="77777777" w:rsidR="00BC0BB6" w:rsidRPr="00864FDC" w:rsidRDefault="00BC0BB6" w:rsidP="00BC0BB6">
    <w:pPr>
      <w:pStyle w:val="Header"/>
      <w:rPr>
        <w:rStyle w:val="PageNumber"/>
        <w:rFonts w:ascii="Times New Roman" w:hAnsi="Times New Roman" w:cs="Times New Roman"/>
        <w:sz w:val="20"/>
        <w:szCs w:val="20"/>
      </w:rPr>
    </w:pPr>
  </w:p>
  <w:p w14:paraId="4F30EE4F" w14:textId="77777777" w:rsidR="00BC0BB6" w:rsidRPr="00864FDC" w:rsidRDefault="00BC0BB6" w:rsidP="00BC0BB6">
    <w:pPr>
      <w:pStyle w:val="Header"/>
      <w:tabs>
        <w:tab w:val="clear" w:pos="4513"/>
        <w:tab w:val="clear" w:pos="9026"/>
        <w:tab w:val="right" w:leader="underscore" w:pos="9072"/>
      </w:tabs>
      <w:rPr>
        <w:rStyle w:val="PageNumber"/>
        <w:rFonts w:ascii="Times New Roman" w:hAnsi="Times New Roman" w:cs="Times New Roman"/>
        <w:sz w:val="20"/>
        <w:szCs w:val="20"/>
      </w:rPr>
    </w:pPr>
    <w:r w:rsidRPr="00864FDC">
      <w:rPr>
        <w:rStyle w:val="PageNumber"/>
        <w:rFonts w:ascii="Times New Roman" w:hAnsi="Times New Roman" w:cs="Times New Roman"/>
        <w:sz w:val="20"/>
        <w:szCs w:val="20"/>
      </w:rPr>
      <w:tab/>
    </w:r>
  </w:p>
  <w:p w14:paraId="60552B3B" w14:textId="77777777" w:rsidR="00184938" w:rsidRPr="00BC0BB6" w:rsidRDefault="00184938" w:rsidP="00BC0B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A2BC8" w14:textId="77777777" w:rsidR="00BC0BB6" w:rsidRPr="00864FDC" w:rsidRDefault="00BC0BB6" w:rsidP="007E5CCE">
    <w:pPr>
      <w:pStyle w:val="Header"/>
      <w:rPr>
        <w:rStyle w:val="PageNumber"/>
        <w:rFonts w:ascii="Times New Roman" w:hAnsi="Times New Roman" w:cs="Times New Roman"/>
        <w:sz w:val="20"/>
        <w:szCs w:val="20"/>
      </w:rPr>
    </w:pPr>
  </w:p>
  <w:p w14:paraId="41BE4763" w14:textId="77777777" w:rsidR="00BC0BB6" w:rsidRPr="00864FDC" w:rsidRDefault="00BC0BB6" w:rsidP="00BC0BB6">
    <w:pPr>
      <w:pStyle w:val="Header"/>
      <w:tabs>
        <w:tab w:val="clear" w:pos="4513"/>
        <w:tab w:val="clear" w:pos="9026"/>
        <w:tab w:val="right" w:leader="underscore" w:pos="13750"/>
      </w:tabs>
      <w:rPr>
        <w:rStyle w:val="PageNumber"/>
        <w:rFonts w:ascii="Times New Roman" w:hAnsi="Times New Roman" w:cs="Times New Roman"/>
        <w:sz w:val="20"/>
        <w:szCs w:val="20"/>
      </w:rPr>
    </w:pPr>
    <w:r w:rsidRPr="00864FDC">
      <w:rPr>
        <w:rStyle w:val="PageNumber"/>
        <w:rFonts w:ascii="Times New Roman" w:hAnsi="Times New Roman" w:cs="Times New Roman"/>
        <w:sz w:val="20"/>
        <w:szCs w:val="20"/>
      </w:rPr>
      <w:tab/>
    </w:r>
  </w:p>
  <w:p w14:paraId="3BC56F7E" w14:textId="77777777" w:rsidR="00BC0BB6" w:rsidRDefault="00BC0BB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37B1B" w14:textId="77777777" w:rsidR="00BC0BB6" w:rsidRPr="00864FDC" w:rsidRDefault="00BC0BB6" w:rsidP="00BC0BB6">
    <w:pPr>
      <w:pStyle w:val="Header"/>
      <w:rPr>
        <w:rStyle w:val="PageNumber"/>
        <w:rFonts w:ascii="Times New Roman" w:hAnsi="Times New Roman" w:cs="Times New Roman"/>
        <w:sz w:val="20"/>
        <w:szCs w:val="20"/>
      </w:rPr>
    </w:pPr>
  </w:p>
  <w:p w14:paraId="1A86A43C" w14:textId="77777777" w:rsidR="00BC0BB6" w:rsidRPr="00864FDC" w:rsidRDefault="00BC0BB6" w:rsidP="00BC0BB6">
    <w:pPr>
      <w:pStyle w:val="Header"/>
      <w:tabs>
        <w:tab w:val="clear" w:pos="4513"/>
        <w:tab w:val="clear" w:pos="9026"/>
        <w:tab w:val="right" w:leader="underscore" w:pos="13750"/>
      </w:tabs>
      <w:rPr>
        <w:rStyle w:val="PageNumber"/>
        <w:rFonts w:ascii="Times New Roman" w:hAnsi="Times New Roman" w:cs="Times New Roman"/>
        <w:sz w:val="20"/>
        <w:szCs w:val="20"/>
      </w:rPr>
    </w:pPr>
    <w:r w:rsidRPr="00864FDC">
      <w:rPr>
        <w:rStyle w:val="PageNumber"/>
        <w:rFonts w:ascii="Times New Roman" w:hAnsi="Times New Roman" w:cs="Times New Roman"/>
        <w:sz w:val="20"/>
        <w:szCs w:val="20"/>
      </w:rPr>
      <w:tab/>
    </w:r>
  </w:p>
  <w:p w14:paraId="3A575B14" w14:textId="77777777" w:rsidR="00BC0BB6" w:rsidRPr="00BC0BB6" w:rsidRDefault="00BC0BB6" w:rsidP="00BC0B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1EB363D"/>
    <w:multiLevelType w:val="hybridMultilevel"/>
    <w:tmpl w:val="1D800C1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3174183"/>
    <w:multiLevelType w:val="hybridMultilevel"/>
    <w:tmpl w:val="1E286C86"/>
    <w:lvl w:ilvl="0" w:tplc="DCAA0906">
      <w:start w:val="1"/>
      <w:numFmt w:val="lowerLetter"/>
      <w:lvlText w:val="%1)"/>
      <w:lvlJc w:val="left"/>
      <w:pPr>
        <w:ind w:left="720" w:hanging="360"/>
      </w:pPr>
    </w:lvl>
    <w:lvl w:ilvl="1" w:tplc="6466000C">
      <w:start w:val="1"/>
      <w:numFmt w:val="lowerLetter"/>
      <w:lvlText w:val="%2."/>
      <w:lvlJc w:val="left"/>
      <w:pPr>
        <w:ind w:left="1440" w:hanging="360"/>
      </w:pPr>
    </w:lvl>
    <w:lvl w:ilvl="2" w:tplc="2384D5AA">
      <w:start w:val="1"/>
      <w:numFmt w:val="lowerRoman"/>
      <w:lvlText w:val="%3."/>
      <w:lvlJc w:val="right"/>
      <w:pPr>
        <w:ind w:left="2160" w:hanging="180"/>
      </w:pPr>
    </w:lvl>
    <w:lvl w:ilvl="3" w:tplc="7F9026AC">
      <w:start w:val="1"/>
      <w:numFmt w:val="decimal"/>
      <w:lvlText w:val="%4."/>
      <w:lvlJc w:val="left"/>
      <w:pPr>
        <w:ind w:left="2880" w:hanging="360"/>
      </w:pPr>
    </w:lvl>
    <w:lvl w:ilvl="4" w:tplc="12BAE644">
      <w:start w:val="1"/>
      <w:numFmt w:val="lowerLetter"/>
      <w:lvlText w:val="%5."/>
      <w:lvlJc w:val="left"/>
      <w:pPr>
        <w:ind w:left="3600" w:hanging="360"/>
      </w:pPr>
    </w:lvl>
    <w:lvl w:ilvl="5" w:tplc="6C662118">
      <w:start w:val="1"/>
      <w:numFmt w:val="lowerRoman"/>
      <w:lvlText w:val="%6."/>
      <w:lvlJc w:val="right"/>
      <w:pPr>
        <w:ind w:left="4320" w:hanging="180"/>
      </w:pPr>
    </w:lvl>
    <w:lvl w:ilvl="6" w:tplc="118EBE6A">
      <w:start w:val="1"/>
      <w:numFmt w:val="decimal"/>
      <w:lvlText w:val="%7."/>
      <w:lvlJc w:val="left"/>
      <w:pPr>
        <w:ind w:left="5040" w:hanging="360"/>
      </w:pPr>
    </w:lvl>
    <w:lvl w:ilvl="7" w:tplc="96445A66">
      <w:start w:val="1"/>
      <w:numFmt w:val="lowerLetter"/>
      <w:lvlText w:val="%8."/>
      <w:lvlJc w:val="left"/>
      <w:pPr>
        <w:ind w:left="5760" w:hanging="360"/>
      </w:pPr>
    </w:lvl>
    <w:lvl w:ilvl="8" w:tplc="7DBC01C4">
      <w:start w:val="1"/>
      <w:numFmt w:val="lowerRoman"/>
      <w:lvlText w:val="%9."/>
      <w:lvlJc w:val="right"/>
      <w:pPr>
        <w:ind w:left="6480" w:hanging="180"/>
      </w:pPr>
    </w:lvl>
  </w:abstractNum>
  <w:abstractNum w:abstractNumId="6" w15:restartNumberingAfterBreak="0">
    <w:nsid w:val="03377841"/>
    <w:multiLevelType w:val="hybridMultilevel"/>
    <w:tmpl w:val="94DE7124"/>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04FF4A9E"/>
    <w:multiLevelType w:val="hybridMultilevel"/>
    <w:tmpl w:val="A54E5578"/>
    <w:lvl w:ilvl="0" w:tplc="40184EE2">
      <w:start w:val="1"/>
      <w:numFmt w:val="lowerLetter"/>
      <w:lvlText w:val="%1)"/>
      <w:lvlJc w:val="left"/>
      <w:pPr>
        <w:ind w:left="720" w:hanging="360"/>
      </w:pPr>
    </w:lvl>
    <w:lvl w:ilvl="1" w:tplc="B9D24F92">
      <w:start w:val="1"/>
      <w:numFmt w:val="lowerLetter"/>
      <w:lvlText w:val="%2."/>
      <w:lvlJc w:val="left"/>
      <w:pPr>
        <w:ind w:left="1440" w:hanging="360"/>
      </w:pPr>
    </w:lvl>
    <w:lvl w:ilvl="2" w:tplc="11F2D824">
      <w:start w:val="1"/>
      <w:numFmt w:val="lowerRoman"/>
      <w:lvlText w:val="%3."/>
      <w:lvlJc w:val="right"/>
      <w:pPr>
        <w:ind w:left="2160" w:hanging="180"/>
      </w:pPr>
    </w:lvl>
    <w:lvl w:ilvl="3" w:tplc="60A4FB20">
      <w:start w:val="1"/>
      <w:numFmt w:val="decimal"/>
      <w:lvlText w:val="%4."/>
      <w:lvlJc w:val="left"/>
      <w:pPr>
        <w:ind w:left="2880" w:hanging="360"/>
      </w:pPr>
    </w:lvl>
    <w:lvl w:ilvl="4" w:tplc="9D0E8BF2">
      <w:start w:val="1"/>
      <w:numFmt w:val="lowerLetter"/>
      <w:lvlText w:val="%5."/>
      <w:lvlJc w:val="left"/>
      <w:pPr>
        <w:ind w:left="3600" w:hanging="360"/>
      </w:pPr>
    </w:lvl>
    <w:lvl w:ilvl="5" w:tplc="662E70C8">
      <w:start w:val="1"/>
      <w:numFmt w:val="lowerRoman"/>
      <w:lvlText w:val="%6."/>
      <w:lvlJc w:val="right"/>
      <w:pPr>
        <w:ind w:left="4320" w:hanging="180"/>
      </w:pPr>
    </w:lvl>
    <w:lvl w:ilvl="6" w:tplc="1B14353C">
      <w:start w:val="1"/>
      <w:numFmt w:val="decimal"/>
      <w:lvlText w:val="%7."/>
      <w:lvlJc w:val="left"/>
      <w:pPr>
        <w:ind w:left="5040" w:hanging="360"/>
      </w:pPr>
    </w:lvl>
    <w:lvl w:ilvl="7" w:tplc="BFFA4F12">
      <w:start w:val="1"/>
      <w:numFmt w:val="lowerLetter"/>
      <w:lvlText w:val="%8."/>
      <w:lvlJc w:val="left"/>
      <w:pPr>
        <w:ind w:left="5760" w:hanging="360"/>
      </w:pPr>
    </w:lvl>
    <w:lvl w:ilvl="8" w:tplc="E886FF30">
      <w:start w:val="1"/>
      <w:numFmt w:val="lowerRoman"/>
      <w:lvlText w:val="%9."/>
      <w:lvlJc w:val="right"/>
      <w:pPr>
        <w:ind w:left="6480" w:hanging="180"/>
      </w:pPr>
    </w:lvl>
  </w:abstractNum>
  <w:abstractNum w:abstractNumId="8" w15:restartNumberingAfterBreak="0">
    <w:nsid w:val="062C63F8"/>
    <w:multiLevelType w:val="hybridMultilevel"/>
    <w:tmpl w:val="237835D8"/>
    <w:lvl w:ilvl="0" w:tplc="3E000E9E">
      <w:start w:val="1"/>
      <w:numFmt w:val="decimal"/>
      <w:lvlText w:val="(%1)"/>
      <w:lvlJc w:val="left"/>
      <w:pPr>
        <w:tabs>
          <w:tab w:val="num" w:pos="643"/>
        </w:tabs>
        <w:ind w:left="643" w:hanging="360"/>
      </w:pPr>
      <w:rPr>
        <w:rFonts w:ascii="Times New Roman" w:hAnsi="Times New Roman" w:cs="Times New Roman" w:hint="default"/>
        <w:strike w:val="0"/>
        <w:sz w:val="24"/>
        <w:szCs w:val="24"/>
      </w:rPr>
    </w:lvl>
    <w:lvl w:ilvl="1" w:tplc="1A105086">
      <w:numFmt w:val="bullet"/>
      <w:lvlText w:val="—"/>
      <w:lvlJc w:val="left"/>
      <w:pPr>
        <w:ind w:left="1363" w:hanging="360"/>
      </w:pPr>
      <w:rPr>
        <w:rFonts w:ascii="Arial Narrow" w:eastAsia="Times New Roman" w:hAnsi="Arial Narrow" w:cs="Times New Roman" w:hint="default"/>
      </w:rPr>
    </w:lvl>
    <w:lvl w:ilvl="2" w:tplc="9DF41B98" w:tentative="1">
      <w:start w:val="1"/>
      <w:numFmt w:val="bullet"/>
      <w:lvlText w:val=""/>
      <w:lvlJc w:val="left"/>
      <w:pPr>
        <w:tabs>
          <w:tab w:val="num" w:pos="2083"/>
        </w:tabs>
        <w:ind w:left="2083" w:hanging="360"/>
      </w:pPr>
      <w:rPr>
        <w:rFonts w:ascii="Symbol" w:hAnsi="Symbol" w:hint="default"/>
      </w:rPr>
    </w:lvl>
    <w:lvl w:ilvl="3" w:tplc="DE248FB0" w:tentative="1">
      <w:start w:val="1"/>
      <w:numFmt w:val="bullet"/>
      <w:lvlText w:val=""/>
      <w:lvlJc w:val="left"/>
      <w:pPr>
        <w:tabs>
          <w:tab w:val="num" w:pos="2803"/>
        </w:tabs>
        <w:ind w:left="2803" w:hanging="360"/>
      </w:pPr>
      <w:rPr>
        <w:rFonts w:ascii="Symbol" w:hAnsi="Symbol" w:hint="default"/>
      </w:rPr>
    </w:lvl>
    <w:lvl w:ilvl="4" w:tplc="D3F052F8" w:tentative="1">
      <w:start w:val="1"/>
      <w:numFmt w:val="bullet"/>
      <w:lvlText w:val=""/>
      <w:lvlJc w:val="left"/>
      <w:pPr>
        <w:tabs>
          <w:tab w:val="num" w:pos="3523"/>
        </w:tabs>
        <w:ind w:left="3523" w:hanging="360"/>
      </w:pPr>
      <w:rPr>
        <w:rFonts w:ascii="Symbol" w:hAnsi="Symbol" w:hint="default"/>
      </w:rPr>
    </w:lvl>
    <w:lvl w:ilvl="5" w:tplc="4894A222" w:tentative="1">
      <w:start w:val="1"/>
      <w:numFmt w:val="bullet"/>
      <w:lvlText w:val=""/>
      <w:lvlJc w:val="left"/>
      <w:pPr>
        <w:tabs>
          <w:tab w:val="num" w:pos="4243"/>
        </w:tabs>
        <w:ind w:left="4243" w:hanging="360"/>
      </w:pPr>
      <w:rPr>
        <w:rFonts w:ascii="Symbol" w:hAnsi="Symbol" w:hint="default"/>
      </w:rPr>
    </w:lvl>
    <w:lvl w:ilvl="6" w:tplc="85C0773A" w:tentative="1">
      <w:start w:val="1"/>
      <w:numFmt w:val="bullet"/>
      <w:lvlText w:val=""/>
      <w:lvlJc w:val="left"/>
      <w:pPr>
        <w:tabs>
          <w:tab w:val="num" w:pos="4963"/>
        </w:tabs>
        <w:ind w:left="4963" w:hanging="360"/>
      </w:pPr>
      <w:rPr>
        <w:rFonts w:ascii="Symbol" w:hAnsi="Symbol" w:hint="default"/>
      </w:rPr>
    </w:lvl>
    <w:lvl w:ilvl="7" w:tplc="7486AEF6" w:tentative="1">
      <w:start w:val="1"/>
      <w:numFmt w:val="bullet"/>
      <w:lvlText w:val=""/>
      <w:lvlJc w:val="left"/>
      <w:pPr>
        <w:tabs>
          <w:tab w:val="num" w:pos="5683"/>
        </w:tabs>
        <w:ind w:left="5683" w:hanging="360"/>
      </w:pPr>
      <w:rPr>
        <w:rFonts w:ascii="Symbol" w:hAnsi="Symbol" w:hint="default"/>
      </w:rPr>
    </w:lvl>
    <w:lvl w:ilvl="8" w:tplc="B8E26D14" w:tentative="1">
      <w:start w:val="1"/>
      <w:numFmt w:val="bullet"/>
      <w:lvlText w:val=""/>
      <w:lvlJc w:val="left"/>
      <w:pPr>
        <w:tabs>
          <w:tab w:val="num" w:pos="6403"/>
        </w:tabs>
        <w:ind w:left="6403" w:hanging="360"/>
      </w:pPr>
      <w:rPr>
        <w:rFonts w:ascii="Symbol" w:hAnsi="Symbol" w:hint="default"/>
      </w:rPr>
    </w:lvl>
  </w:abstractNum>
  <w:abstractNum w:abstractNumId="9" w15:restartNumberingAfterBreak="0">
    <w:nsid w:val="06A17762"/>
    <w:multiLevelType w:val="hybridMultilevel"/>
    <w:tmpl w:val="72440050"/>
    <w:lvl w:ilvl="0" w:tplc="5B94B9EA">
      <w:start w:val="1"/>
      <w:numFmt w:val="lowerLetter"/>
      <w:lvlText w:val="%1)"/>
      <w:lvlJc w:val="left"/>
      <w:pPr>
        <w:ind w:left="720" w:hanging="360"/>
      </w:pPr>
    </w:lvl>
    <w:lvl w:ilvl="1" w:tplc="CDDE5D7E">
      <w:start w:val="1"/>
      <w:numFmt w:val="lowerLetter"/>
      <w:lvlText w:val="%2."/>
      <w:lvlJc w:val="left"/>
      <w:pPr>
        <w:ind w:left="1440" w:hanging="360"/>
      </w:pPr>
    </w:lvl>
    <w:lvl w:ilvl="2" w:tplc="32D0D278">
      <w:start w:val="1"/>
      <w:numFmt w:val="lowerRoman"/>
      <w:lvlText w:val="%3."/>
      <w:lvlJc w:val="right"/>
      <w:pPr>
        <w:ind w:left="2160" w:hanging="180"/>
      </w:pPr>
    </w:lvl>
    <w:lvl w:ilvl="3" w:tplc="C1349902">
      <w:start w:val="1"/>
      <w:numFmt w:val="decimal"/>
      <w:lvlText w:val="%4."/>
      <w:lvlJc w:val="left"/>
      <w:pPr>
        <w:ind w:left="2880" w:hanging="360"/>
      </w:pPr>
    </w:lvl>
    <w:lvl w:ilvl="4" w:tplc="8DFA53D6">
      <w:start w:val="1"/>
      <w:numFmt w:val="lowerLetter"/>
      <w:lvlText w:val="%5."/>
      <w:lvlJc w:val="left"/>
      <w:pPr>
        <w:ind w:left="3600" w:hanging="360"/>
      </w:pPr>
    </w:lvl>
    <w:lvl w:ilvl="5" w:tplc="981E58E0">
      <w:start w:val="1"/>
      <w:numFmt w:val="lowerRoman"/>
      <w:lvlText w:val="%6."/>
      <w:lvlJc w:val="right"/>
      <w:pPr>
        <w:ind w:left="4320" w:hanging="180"/>
      </w:pPr>
    </w:lvl>
    <w:lvl w:ilvl="6" w:tplc="160063E6">
      <w:start w:val="1"/>
      <w:numFmt w:val="decimal"/>
      <w:lvlText w:val="%7."/>
      <w:lvlJc w:val="left"/>
      <w:pPr>
        <w:ind w:left="5040" w:hanging="360"/>
      </w:pPr>
    </w:lvl>
    <w:lvl w:ilvl="7" w:tplc="05AA8406">
      <w:start w:val="1"/>
      <w:numFmt w:val="lowerLetter"/>
      <w:lvlText w:val="%8."/>
      <w:lvlJc w:val="left"/>
      <w:pPr>
        <w:ind w:left="5760" w:hanging="360"/>
      </w:pPr>
    </w:lvl>
    <w:lvl w:ilvl="8" w:tplc="4880A526">
      <w:start w:val="1"/>
      <w:numFmt w:val="lowerRoman"/>
      <w:lvlText w:val="%9."/>
      <w:lvlJc w:val="right"/>
      <w:pPr>
        <w:ind w:left="6480" w:hanging="180"/>
      </w:pPr>
    </w:lvl>
  </w:abstractNum>
  <w:abstractNum w:abstractNumId="10" w15:restartNumberingAfterBreak="0">
    <w:nsid w:val="06E81C14"/>
    <w:multiLevelType w:val="hybridMultilevel"/>
    <w:tmpl w:val="513252C6"/>
    <w:lvl w:ilvl="0" w:tplc="4F2EEB80">
      <w:numFmt w:val="bullet"/>
      <w:lvlText w:val="-"/>
      <w:lvlJc w:val="left"/>
      <w:pPr>
        <w:ind w:left="720" w:hanging="360"/>
      </w:pPr>
      <w:rPr>
        <w:rFonts w:ascii="Arial Narrow" w:eastAsiaTheme="minorEastAsia" w:hAnsi="Arial Narrow"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74F1636"/>
    <w:multiLevelType w:val="hybridMultilevel"/>
    <w:tmpl w:val="1E7AA95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08D9D626"/>
    <w:multiLevelType w:val="hybridMultilevel"/>
    <w:tmpl w:val="1656666A"/>
    <w:lvl w:ilvl="0" w:tplc="7CA07FAE">
      <w:start w:val="1"/>
      <w:numFmt w:val="bullet"/>
      <w:lvlText w:val="-"/>
      <w:lvlJc w:val="left"/>
      <w:pPr>
        <w:ind w:left="720" w:hanging="360"/>
      </w:pPr>
      <w:rPr>
        <w:rFonts w:ascii="&quot;Arial Narrow&quot;,sans-serif" w:hAnsi="&quot;Arial Narrow&quot;,sans-serif" w:hint="default"/>
      </w:rPr>
    </w:lvl>
    <w:lvl w:ilvl="1" w:tplc="93967664">
      <w:start w:val="1"/>
      <w:numFmt w:val="bullet"/>
      <w:lvlText w:val="o"/>
      <w:lvlJc w:val="left"/>
      <w:pPr>
        <w:ind w:left="1440" w:hanging="360"/>
      </w:pPr>
      <w:rPr>
        <w:rFonts w:ascii="Courier New" w:hAnsi="Courier New" w:hint="default"/>
      </w:rPr>
    </w:lvl>
    <w:lvl w:ilvl="2" w:tplc="72628408">
      <w:start w:val="1"/>
      <w:numFmt w:val="bullet"/>
      <w:lvlText w:val=""/>
      <w:lvlJc w:val="left"/>
      <w:pPr>
        <w:ind w:left="2160" w:hanging="360"/>
      </w:pPr>
      <w:rPr>
        <w:rFonts w:ascii="Wingdings" w:hAnsi="Wingdings" w:hint="default"/>
      </w:rPr>
    </w:lvl>
    <w:lvl w:ilvl="3" w:tplc="AC20E68C">
      <w:start w:val="1"/>
      <w:numFmt w:val="bullet"/>
      <w:lvlText w:val=""/>
      <w:lvlJc w:val="left"/>
      <w:pPr>
        <w:ind w:left="2880" w:hanging="360"/>
      </w:pPr>
      <w:rPr>
        <w:rFonts w:ascii="Symbol" w:hAnsi="Symbol" w:hint="default"/>
      </w:rPr>
    </w:lvl>
    <w:lvl w:ilvl="4" w:tplc="09C886FA">
      <w:start w:val="1"/>
      <w:numFmt w:val="bullet"/>
      <w:lvlText w:val="o"/>
      <w:lvlJc w:val="left"/>
      <w:pPr>
        <w:ind w:left="3600" w:hanging="360"/>
      </w:pPr>
      <w:rPr>
        <w:rFonts w:ascii="Courier New" w:hAnsi="Courier New" w:hint="default"/>
      </w:rPr>
    </w:lvl>
    <w:lvl w:ilvl="5" w:tplc="A3B6285A">
      <w:start w:val="1"/>
      <w:numFmt w:val="bullet"/>
      <w:lvlText w:val=""/>
      <w:lvlJc w:val="left"/>
      <w:pPr>
        <w:ind w:left="4320" w:hanging="360"/>
      </w:pPr>
      <w:rPr>
        <w:rFonts w:ascii="Wingdings" w:hAnsi="Wingdings" w:hint="default"/>
      </w:rPr>
    </w:lvl>
    <w:lvl w:ilvl="6" w:tplc="87DA4E9E">
      <w:start w:val="1"/>
      <w:numFmt w:val="bullet"/>
      <w:lvlText w:val=""/>
      <w:lvlJc w:val="left"/>
      <w:pPr>
        <w:ind w:left="5040" w:hanging="360"/>
      </w:pPr>
      <w:rPr>
        <w:rFonts w:ascii="Symbol" w:hAnsi="Symbol" w:hint="default"/>
      </w:rPr>
    </w:lvl>
    <w:lvl w:ilvl="7" w:tplc="75AA5F86">
      <w:start w:val="1"/>
      <w:numFmt w:val="bullet"/>
      <w:lvlText w:val="o"/>
      <w:lvlJc w:val="left"/>
      <w:pPr>
        <w:ind w:left="5760" w:hanging="360"/>
      </w:pPr>
      <w:rPr>
        <w:rFonts w:ascii="Courier New" w:hAnsi="Courier New" w:hint="default"/>
      </w:rPr>
    </w:lvl>
    <w:lvl w:ilvl="8" w:tplc="315E52FC">
      <w:start w:val="1"/>
      <w:numFmt w:val="bullet"/>
      <w:lvlText w:val=""/>
      <w:lvlJc w:val="left"/>
      <w:pPr>
        <w:ind w:left="6480" w:hanging="360"/>
      </w:pPr>
      <w:rPr>
        <w:rFonts w:ascii="Wingdings" w:hAnsi="Wingdings" w:hint="default"/>
      </w:rPr>
    </w:lvl>
  </w:abstractNum>
  <w:abstractNum w:abstractNumId="13" w15:restartNumberingAfterBreak="0">
    <w:nsid w:val="0CCEA440"/>
    <w:multiLevelType w:val="hybridMultilevel"/>
    <w:tmpl w:val="06007AE6"/>
    <w:lvl w:ilvl="0" w:tplc="3DECE73C">
      <w:start w:val="1"/>
      <w:numFmt w:val="upperLetter"/>
      <w:lvlText w:val="%1)"/>
      <w:lvlJc w:val="left"/>
      <w:pPr>
        <w:ind w:left="720" w:hanging="360"/>
      </w:pPr>
    </w:lvl>
    <w:lvl w:ilvl="1" w:tplc="714CFF84">
      <w:start w:val="1"/>
      <w:numFmt w:val="lowerLetter"/>
      <w:lvlText w:val="%2."/>
      <w:lvlJc w:val="left"/>
      <w:pPr>
        <w:ind w:left="1440" w:hanging="360"/>
      </w:pPr>
    </w:lvl>
    <w:lvl w:ilvl="2" w:tplc="F10CFCBE">
      <w:start w:val="1"/>
      <w:numFmt w:val="lowerRoman"/>
      <w:lvlText w:val="%3."/>
      <w:lvlJc w:val="right"/>
      <w:pPr>
        <w:ind w:left="2160" w:hanging="180"/>
      </w:pPr>
    </w:lvl>
    <w:lvl w:ilvl="3" w:tplc="9FECD35A">
      <w:start w:val="1"/>
      <w:numFmt w:val="decimal"/>
      <w:lvlText w:val="%4."/>
      <w:lvlJc w:val="left"/>
      <w:pPr>
        <w:ind w:left="2880" w:hanging="360"/>
      </w:pPr>
    </w:lvl>
    <w:lvl w:ilvl="4" w:tplc="A814ABB8">
      <w:start w:val="1"/>
      <w:numFmt w:val="lowerLetter"/>
      <w:lvlText w:val="%5."/>
      <w:lvlJc w:val="left"/>
      <w:pPr>
        <w:ind w:left="3600" w:hanging="360"/>
      </w:pPr>
    </w:lvl>
    <w:lvl w:ilvl="5" w:tplc="23F60A0E">
      <w:start w:val="1"/>
      <w:numFmt w:val="lowerRoman"/>
      <w:lvlText w:val="%6."/>
      <w:lvlJc w:val="right"/>
      <w:pPr>
        <w:ind w:left="4320" w:hanging="180"/>
      </w:pPr>
    </w:lvl>
    <w:lvl w:ilvl="6" w:tplc="3AF091FA">
      <w:start w:val="1"/>
      <w:numFmt w:val="decimal"/>
      <w:lvlText w:val="%7."/>
      <w:lvlJc w:val="left"/>
      <w:pPr>
        <w:ind w:left="5040" w:hanging="360"/>
      </w:pPr>
    </w:lvl>
    <w:lvl w:ilvl="7" w:tplc="A540F6A4">
      <w:start w:val="1"/>
      <w:numFmt w:val="lowerLetter"/>
      <w:lvlText w:val="%8."/>
      <w:lvlJc w:val="left"/>
      <w:pPr>
        <w:ind w:left="5760" w:hanging="360"/>
      </w:pPr>
    </w:lvl>
    <w:lvl w:ilvl="8" w:tplc="A8265D58">
      <w:start w:val="1"/>
      <w:numFmt w:val="lowerRoman"/>
      <w:lvlText w:val="%9."/>
      <w:lvlJc w:val="right"/>
      <w:pPr>
        <w:ind w:left="6480" w:hanging="180"/>
      </w:pPr>
    </w:lvl>
  </w:abstractNum>
  <w:abstractNum w:abstractNumId="14" w15:restartNumberingAfterBreak="0">
    <w:nsid w:val="0CED0477"/>
    <w:multiLevelType w:val="hybridMultilevel"/>
    <w:tmpl w:val="E4DEACE4"/>
    <w:lvl w:ilvl="0" w:tplc="56D48F9A">
      <w:start w:val="1"/>
      <w:numFmt w:val="lowerLetter"/>
      <w:lvlText w:val="%1)"/>
      <w:lvlJc w:val="left"/>
      <w:pPr>
        <w:ind w:left="720" w:hanging="360"/>
      </w:pPr>
    </w:lvl>
    <w:lvl w:ilvl="1" w:tplc="86E0B386">
      <w:start w:val="1"/>
      <w:numFmt w:val="lowerLetter"/>
      <w:lvlText w:val="%2."/>
      <w:lvlJc w:val="left"/>
      <w:pPr>
        <w:ind w:left="1440" w:hanging="360"/>
      </w:pPr>
    </w:lvl>
    <w:lvl w:ilvl="2" w:tplc="B660F9B8">
      <w:start w:val="1"/>
      <w:numFmt w:val="lowerRoman"/>
      <w:lvlText w:val="%3."/>
      <w:lvlJc w:val="right"/>
      <w:pPr>
        <w:ind w:left="2160" w:hanging="180"/>
      </w:pPr>
    </w:lvl>
    <w:lvl w:ilvl="3" w:tplc="C006599A">
      <w:start w:val="1"/>
      <w:numFmt w:val="decimal"/>
      <w:lvlText w:val="%4."/>
      <w:lvlJc w:val="left"/>
      <w:pPr>
        <w:ind w:left="2880" w:hanging="360"/>
      </w:pPr>
    </w:lvl>
    <w:lvl w:ilvl="4" w:tplc="FCC832B0">
      <w:start w:val="1"/>
      <w:numFmt w:val="lowerLetter"/>
      <w:lvlText w:val="%5."/>
      <w:lvlJc w:val="left"/>
      <w:pPr>
        <w:ind w:left="3600" w:hanging="360"/>
      </w:pPr>
    </w:lvl>
    <w:lvl w:ilvl="5" w:tplc="FD429B1C">
      <w:start w:val="1"/>
      <w:numFmt w:val="lowerRoman"/>
      <w:lvlText w:val="%6."/>
      <w:lvlJc w:val="right"/>
      <w:pPr>
        <w:ind w:left="4320" w:hanging="180"/>
      </w:pPr>
    </w:lvl>
    <w:lvl w:ilvl="6" w:tplc="1A822DDC">
      <w:start w:val="1"/>
      <w:numFmt w:val="decimal"/>
      <w:lvlText w:val="%7."/>
      <w:lvlJc w:val="left"/>
      <w:pPr>
        <w:ind w:left="5040" w:hanging="360"/>
      </w:pPr>
    </w:lvl>
    <w:lvl w:ilvl="7" w:tplc="9CC26FDE">
      <w:start w:val="1"/>
      <w:numFmt w:val="lowerLetter"/>
      <w:lvlText w:val="%8."/>
      <w:lvlJc w:val="left"/>
      <w:pPr>
        <w:ind w:left="5760" w:hanging="360"/>
      </w:pPr>
    </w:lvl>
    <w:lvl w:ilvl="8" w:tplc="36E0C0D4">
      <w:start w:val="1"/>
      <w:numFmt w:val="lowerRoman"/>
      <w:lvlText w:val="%9."/>
      <w:lvlJc w:val="right"/>
      <w:pPr>
        <w:ind w:left="6480" w:hanging="180"/>
      </w:pPr>
    </w:lvl>
  </w:abstractNum>
  <w:abstractNum w:abstractNumId="15" w15:restartNumberingAfterBreak="0">
    <w:nsid w:val="0F240CD6"/>
    <w:multiLevelType w:val="hybridMultilevel"/>
    <w:tmpl w:val="63845E1E"/>
    <w:lvl w:ilvl="0" w:tplc="39DC032A">
      <w:start w:val="1"/>
      <w:numFmt w:val="lowerLetter"/>
      <w:lvlText w:val="%1)"/>
      <w:lvlJc w:val="left"/>
      <w:pPr>
        <w:ind w:left="720" w:hanging="360"/>
      </w:pPr>
    </w:lvl>
    <w:lvl w:ilvl="1" w:tplc="A0627D92">
      <w:start w:val="1"/>
      <w:numFmt w:val="lowerLetter"/>
      <w:lvlText w:val="%2)"/>
      <w:lvlJc w:val="left"/>
      <w:pPr>
        <w:ind w:left="720" w:hanging="360"/>
      </w:pPr>
    </w:lvl>
    <w:lvl w:ilvl="2" w:tplc="E5569BA8">
      <w:start w:val="1"/>
      <w:numFmt w:val="lowerLetter"/>
      <w:lvlText w:val="%3)"/>
      <w:lvlJc w:val="left"/>
      <w:pPr>
        <w:ind w:left="720" w:hanging="360"/>
      </w:pPr>
    </w:lvl>
    <w:lvl w:ilvl="3" w:tplc="2C366CD4">
      <w:start w:val="1"/>
      <w:numFmt w:val="lowerLetter"/>
      <w:lvlText w:val="%4)"/>
      <w:lvlJc w:val="left"/>
      <w:pPr>
        <w:ind w:left="720" w:hanging="360"/>
      </w:pPr>
    </w:lvl>
    <w:lvl w:ilvl="4" w:tplc="6A884FD8">
      <w:start w:val="1"/>
      <w:numFmt w:val="lowerLetter"/>
      <w:lvlText w:val="%5)"/>
      <w:lvlJc w:val="left"/>
      <w:pPr>
        <w:ind w:left="720" w:hanging="360"/>
      </w:pPr>
    </w:lvl>
    <w:lvl w:ilvl="5" w:tplc="76C6036E">
      <w:start w:val="1"/>
      <w:numFmt w:val="lowerLetter"/>
      <w:lvlText w:val="%6)"/>
      <w:lvlJc w:val="left"/>
      <w:pPr>
        <w:ind w:left="720" w:hanging="360"/>
      </w:pPr>
    </w:lvl>
    <w:lvl w:ilvl="6" w:tplc="E670E630">
      <w:start w:val="1"/>
      <w:numFmt w:val="lowerLetter"/>
      <w:lvlText w:val="%7)"/>
      <w:lvlJc w:val="left"/>
      <w:pPr>
        <w:ind w:left="720" w:hanging="360"/>
      </w:pPr>
    </w:lvl>
    <w:lvl w:ilvl="7" w:tplc="5DD2BDCA">
      <w:start w:val="1"/>
      <w:numFmt w:val="lowerLetter"/>
      <w:lvlText w:val="%8)"/>
      <w:lvlJc w:val="left"/>
      <w:pPr>
        <w:ind w:left="720" w:hanging="360"/>
      </w:pPr>
    </w:lvl>
    <w:lvl w:ilvl="8" w:tplc="8014F73A">
      <w:start w:val="1"/>
      <w:numFmt w:val="lowerLetter"/>
      <w:lvlText w:val="%9)"/>
      <w:lvlJc w:val="left"/>
      <w:pPr>
        <w:ind w:left="720" w:hanging="360"/>
      </w:pPr>
    </w:lvl>
  </w:abstractNum>
  <w:abstractNum w:abstractNumId="16" w15:restartNumberingAfterBreak="0">
    <w:nsid w:val="10BE0490"/>
    <w:multiLevelType w:val="hybridMultilevel"/>
    <w:tmpl w:val="94EED48C"/>
    <w:lvl w:ilvl="0" w:tplc="9A3EB760">
      <w:start w:val="1"/>
      <w:numFmt w:val="lowerLetter"/>
      <w:lvlText w:val="%1)"/>
      <w:lvlJc w:val="left"/>
      <w:pPr>
        <w:ind w:left="720" w:hanging="360"/>
      </w:pPr>
    </w:lvl>
    <w:lvl w:ilvl="1" w:tplc="61B0F7EC">
      <w:start w:val="1"/>
      <w:numFmt w:val="lowerLetter"/>
      <w:lvlText w:val="%2."/>
      <w:lvlJc w:val="left"/>
      <w:pPr>
        <w:ind w:left="1440" w:hanging="360"/>
      </w:pPr>
    </w:lvl>
    <w:lvl w:ilvl="2" w:tplc="D982E1F4">
      <w:start w:val="1"/>
      <w:numFmt w:val="lowerRoman"/>
      <w:lvlText w:val="%3."/>
      <w:lvlJc w:val="right"/>
      <w:pPr>
        <w:ind w:left="2160" w:hanging="180"/>
      </w:pPr>
    </w:lvl>
    <w:lvl w:ilvl="3" w:tplc="EDFED26E">
      <w:start w:val="1"/>
      <w:numFmt w:val="decimal"/>
      <w:lvlText w:val="%4."/>
      <w:lvlJc w:val="left"/>
      <w:pPr>
        <w:ind w:left="2880" w:hanging="360"/>
      </w:pPr>
    </w:lvl>
    <w:lvl w:ilvl="4" w:tplc="81700C1A">
      <w:start w:val="1"/>
      <w:numFmt w:val="lowerLetter"/>
      <w:lvlText w:val="%5."/>
      <w:lvlJc w:val="left"/>
      <w:pPr>
        <w:ind w:left="3600" w:hanging="360"/>
      </w:pPr>
    </w:lvl>
    <w:lvl w:ilvl="5" w:tplc="A4584108">
      <w:start w:val="1"/>
      <w:numFmt w:val="lowerRoman"/>
      <w:lvlText w:val="%6."/>
      <w:lvlJc w:val="right"/>
      <w:pPr>
        <w:ind w:left="4320" w:hanging="180"/>
      </w:pPr>
    </w:lvl>
    <w:lvl w:ilvl="6" w:tplc="5EF2EE62">
      <w:start w:val="1"/>
      <w:numFmt w:val="decimal"/>
      <w:lvlText w:val="%7."/>
      <w:lvlJc w:val="left"/>
      <w:pPr>
        <w:ind w:left="5040" w:hanging="360"/>
      </w:pPr>
    </w:lvl>
    <w:lvl w:ilvl="7" w:tplc="EB1891CA">
      <w:start w:val="1"/>
      <w:numFmt w:val="lowerLetter"/>
      <w:lvlText w:val="%8."/>
      <w:lvlJc w:val="left"/>
      <w:pPr>
        <w:ind w:left="5760" w:hanging="360"/>
      </w:pPr>
    </w:lvl>
    <w:lvl w:ilvl="8" w:tplc="71124D6A">
      <w:start w:val="1"/>
      <w:numFmt w:val="lowerRoman"/>
      <w:lvlText w:val="%9."/>
      <w:lvlJc w:val="right"/>
      <w:pPr>
        <w:ind w:left="6480" w:hanging="180"/>
      </w:pPr>
    </w:lvl>
  </w:abstractNum>
  <w:abstractNum w:abstractNumId="17" w15:restartNumberingAfterBreak="0">
    <w:nsid w:val="1297618C"/>
    <w:multiLevelType w:val="multilevel"/>
    <w:tmpl w:val="E19A83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4483548"/>
    <w:multiLevelType w:val="hybridMultilevel"/>
    <w:tmpl w:val="7DEC58B4"/>
    <w:lvl w:ilvl="0" w:tplc="8A5EB408">
      <w:start w:val="1"/>
      <w:numFmt w:val="lowerLetter"/>
      <w:lvlText w:val="%1)"/>
      <w:lvlJc w:val="left"/>
      <w:pPr>
        <w:ind w:left="720" w:hanging="360"/>
      </w:pPr>
    </w:lvl>
    <w:lvl w:ilvl="1" w:tplc="1786D388">
      <w:start w:val="1"/>
      <w:numFmt w:val="lowerLetter"/>
      <w:lvlText w:val="%2)"/>
      <w:lvlJc w:val="left"/>
      <w:pPr>
        <w:ind w:left="720" w:hanging="360"/>
      </w:pPr>
    </w:lvl>
    <w:lvl w:ilvl="2" w:tplc="84BA380E">
      <w:start w:val="1"/>
      <w:numFmt w:val="lowerLetter"/>
      <w:lvlText w:val="%3)"/>
      <w:lvlJc w:val="left"/>
      <w:pPr>
        <w:ind w:left="720" w:hanging="360"/>
      </w:pPr>
    </w:lvl>
    <w:lvl w:ilvl="3" w:tplc="EFF2BF76">
      <w:start w:val="1"/>
      <w:numFmt w:val="lowerLetter"/>
      <w:lvlText w:val="%4)"/>
      <w:lvlJc w:val="left"/>
      <w:pPr>
        <w:ind w:left="720" w:hanging="360"/>
      </w:pPr>
    </w:lvl>
    <w:lvl w:ilvl="4" w:tplc="A57AB4C8">
      <w:start w:val="1"/>
      <w:numFmt w:val="lowerLetter"/>
      <w:lvlText w:val="%5)"/>
      <w:lvlJc w:val="left"/>
      <w:pPr>
        <w:ind w:left="720" w:hanging="360"/>
      </w:pPr>
    </w:lvl>
    <w:lvl w:ilvl="5" w:tplc="0EA04B36">
      <w:start w:val="1"/>
      <w:numFmt w:val="lowerLetter"/>
      <w:lvlText w:val="%6)"/>
      <w:lvlJc w:val="left"/>
      <w:pPr>
        <w:ind w:left="720" w:hanging="360"/>
      </w:pPr>
    </w:lvl>
    <w:lvl w:ilvl="6" w:tplc="BA5CCD0E">
      <w:start w:val="1"/>
      <w:numFmt w:val="lowerLetter"/>
      <w:lvlText w:val="%7)"/>
      <w:lvlJc w:val="left"/>
      <w:pPr>
        <w:ind w:left="720" w:hanging="360"/>
      </w:pPr>
    </w:lvl>
    <w:lvl w:ilvl="7" w:tplc="3BF23986">
      <w:start w:val="1"/>
      <w:numFmt w:val="lowerLetter"/>
      <w:lvlText w:val="%8)"/>
      <w:lvlJc w:val="left"/>
      <w:pPr>
        <w:ind w:left="720" w:hanging="360"/>
      </w:pPr>
    </w:lvl>
    <w:lvl w:ilvl="8" w:tplc="4AE6AF96">
      <w:start w:val="1"/>
      <w:numFmt w:val="lowerLetter"/>
      <w:lvlText w:val="%9)"/>
      <w:lvlJc w:val="left"/>
      <w:pPr>
        <w:ind w:left="720" w:hanging="360"/>
      </w:pPr>
    </w:lvl>
  </w:abstractNum>
  <w:abstractNum w:abstractNumId="19" w15:restartNumberingAfterBreak="0">
    <w:nsid w:val="15B564FF"/>
    <w:multiLevelType w:val="multilevel"/>
    <w:tmpl w:val="C7AEFC90"/>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b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174D1977"/>
    <w:multiLevelType w:val="hybridMultilevel"/>
    <w:tmpl w:val="2B34BA8A"/>
    <w:lvl w:ilvl="0" w:tplc="B428DEA6">
      <w:start w:val="1"/>
      <w:numFmt w:val="lowerLetter"/>
      <w:lvlText w:val="%1)"/>
      <w:lvlJc w:val="left"/>
      <w:pPr>
        <w:ind w:left="720" w:hanging="360"/>
      </w:pPr>
    </w:lvl>
    <w:lvl w:ilvl="1" w:tplc="333AB6A8">
      <w:start w:val="1"/>
      <w:numFmt w:val="lowerLetter"/>
      <w:lvlText w:val="%2."/>
      <w:lvlJc w:val="left"/>
      <w:pPr>
        <w:ind w:left="1440" w:hanging="360"/>
      </w:pPr>
    </w:lvl>
    <w:lvl w:ilvl="2" w:tplc="C004FC00">
      <w:start w:val="1"/>
      <w:numFmt w:val="lowerRoman"/>
      <w:lvlText w:val="%3."/>
      <w:lvlJc w:val="right"/>
      <w:pPr>
        <w:ind w:left="2160" w:hanging="180"/>
      </w:pPr>
    </w:lvl>
    <w:lvl w:ilvl="3" w:tplc="22EAD282">
      <w:start w:val="1"/>
      <w:numFmt w:val="decimal"/>
      <w:lvlText w:val="%4."/>
      <w:lvlJc w:val="left"/>
      <w:pPr>
        <w:ind w:left="2880" w:hanging="360"/>
      </w:pPr>
    </w:lvl>
    <w:lvl w:ilvl="4" w:tplc="62527FBC">
      <w:start w:val="1"/>
      <w:numFmt w:val="lowerLetter"/>
      <w:lvlText w:val="%5."/>
      <w:lvlJc w:val="left"/>
      <w:pPr>
        <w:ind w:left="3600" w:hanging="360"/>
      </w:pPr>
    </w:lvl>
    <w:lvl w:ilvl="5" w:tplc="B74C9478">
      <w:start w:val="1"/>
      <w:numFmt w:val="lowerRoman"/>
      <w:lvlText w:val="%6."/>
      <w:lvlJc w:val="right"/>
      <w:pPr>
        <w:ind w:left="4320" w:hanging="180"/>
      </w:pPr>
    </w:lvl>
    <w:lvl w:ilvl="6" w:tplc="2A008A1C">
      <w:start w:val="1"/>
      <w:numFmt w:val="decimal"/>
      <w:lvlText w:val="%7."/>
      <w:lvlJc w:val="left"/>
      <w:pPr>
        <w:ind w:left="5040" w:hanging="360"/>
      </w:pPr>
    </w:lvl>
    <w:lvl w:ilvl="7" w:tplc="ED8A8076">
      <w:start w:val="1"/>
      <w:numFmt w:val="lowerLetter"/>
      <w:lvlText w:val="%8."/>
      <w:lvlJc w:val="left"/>
      <w:pPr>
        <w:ind w:left="5760" w:hanging="360"/>
      </w:pPr>
    </w:lvl>
    <w:lvl w:ilvl="8" w:tplc="8E582D18">
      <w:start w:val="1"/>
      <w:numFmt w:val="lowerRoman"/>
      <w:lvlText w:val="%9."/>
      <w:lvlJc w:val="right"/>
      <w:pPr>
        <w:ind w:left="6480" w:hanging="180"/>
      </w:pPr>
    </w:lvl>
  </w:abstractNum>
  <w:abstractNum w:abstractNumId="21" w15:restartNumberingAfterBreak="0">
    <w:nsid w:val="176370B2"/>
    <w:multiLevelType w:val="hybridMultilevel"/>
    <w:tmpl w:val="933624AC"/>
    <w:lvl w:ilvl="0" w:tplc="AFFA7874">
      <w:start w:val="1"/>
      <w:numFmt w:val="lowerLetter"/>
      <w:lvlText w:val="%1)"/>
      <w:lvlJc w:val="left"/>
      <w:pPr>
        <w:ind w:left="720" w:hanging="360"/>
      </w:pPr>
      <w:rPr>
        <w:rFonts w:eastAsiaTheme="minorHAnsi" w:cs="Calibr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17903424"/>
    <w:multiLevelType w:val="hybridMultilevel"/>
    <w:tmpl w:val="25849E9E"/>
    <w:lvl w:ilvl="0" w:tplc="E5D6D2EA">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17A76257"/>
    <w:multiLevelType w:val="hybridMultilevel"/>
    <w:tmpl w:val="FFFFFFFF"/>
    <w:lvl w:ilvl="0" w:tplc="88A2362A">
      <w:start w:val="1"/>
      <w:numFmt w:val="bullet"/>
      <w:lvlText w:val=""/>
      <w:lvlJc w:val="left"/>
      <w:pPr>
        <w:ind w:left="720" w:hanging="360"/>
      </w:pPr>
      <w:rPr>
        <w:rFonts w:ascii="Symbol" w:hAnsi="Symbol" w:hint="default"/>
      </w:rPr>
    </w:lvl>
    <w:lvl w:ilvl="1" w:tplc="44A26E8E">
      <w:start w:val="1"/>
      <w:numFmt w:val="bullet"/>
      <w:lvlText w:val="o"/>
      <w:lvlJc w:val="left"/>
      <w:pPr>
        <w:ind w:left="1440" w:hanging="360"/>
      </w:pPr>
      <w:rPr>
        <w:rFonts w:ascii="Courier New" w:hAnsi="Courier New" w:hint="default"/>
      </w:rPr>
    </w:lvl>
    <w:lvl w:ilvl="2" w:tplc="B712B9DC">
      <w:start w:val="1"/>
      <w:numFmt w:val="bullet"/>
      <w:lvlText w:val=""/>
      <w:lvlJc w:val="left"/>
      <w:pPr>
        <w:ind w:left="2160" w:hanging="360"/>
      </w:pPr>
      <w:rPr>
        <w:rFonts w:ascii="Wingdings" w:hAnsi="Wingdings" w:hint="default"/>
      </w:rPr>
    </w:lvl>
    <w:lvl w:ilvl="3" w:tplc="B68A4742">
      <w:start w:val="1"/>
      <w:numFmt w:val="bullet"/>
      <w:lvlText w:val=""/>
      <w:lvlJc w:val="left"/>
      <w:pPr>
        <w:ind w:left="2880" w:hanging="360"/>
      </w:pPr>
      <w:rPr>
        <w:rFonts w:ascii="Symbol" w:hAnsi="Symbol" w:hint="default"/>
      </w:rPr>
    </w:lvl>
    <w:lvl w:ilvl="4" w:tplc="35428C36">
      <w:start w:val="1"/>
      <w:numFmt w:val="bullet"/>
      <w:lvlText w:val="o"/>
      <w:lvlJc w:val="left"/>
      <w:pPr>
        <w:ind w:left="3600" w:hanging="360"/>
      </w:pPr>
      <w:rPr>
        <w:rFonts w:ascii="Courier New" w:hAnsi="Courier New" w:hint="default"/>
      </w:rPr>
    </w:lvl>
    <w:lvl w:ilvl="5" w:tplc="890AE8BC">
      <w:start w:val="1"/>
      <w:numFmt w:val="bullet"/>
      <w:lvlText w:val=""/>
      <w:lvlJc w:val="left"/>
      <w:pPr>
        <w:ind w:left="4320" w:hanging="360"/>
      </w:pPr>
      <w:rPr>
        <w:rFonts w:ascii="Wingdings" w:hAnsi="Wingdings" w:hint="default"/>
      </w:rPr>
    </w:lvl>
    <w:lvl w:ilvl="6" w:tplc="288E19B2">
      <w:start w:val="1"/>
      <w:numFmt w:val="bullet"/>
      <w:lvlText w:val=""/>
      <w:lvlJc w:val="left"/>
      <w:pPr>
        <w:ind w:left="5040" w:hanging="360"/>
      </w:pPr>
      <w:rPr>
        <w:rFonts w:ascii="Symbol" w:hAnsi="Symbol" w:hint="default"/>
      </w:rPr>
    </w:lvl>
    <w:lvl w:ilvl="7" w:tplc="3E08292C">
      <w:start w:val="1"/>
      <w:numFmt w:val="bullet"/>
      <w:lvlText w:val="o"/>
      <w:lvlJc w:val="left"/>
      <w:pPr>
        <w:ind w:left="5760" w:hanging="360"/>
      </w:pPr>
      <w:rPr>
        <w:rFonts w:ascii="Courier New" w:hAnsi="Courier New" w:hint="default"/>
      </w:rPr>
    </w:lvl>
    <w:lvl w:ilvl="8" w:tplc="CC34A436">
      <w:start w:val="1"/>
      <w:numFmt w:val="bullet"/>
      <w:lvlText w:val=""/>
      <w:lvlJc w:val="left"/>
      <w:pPr>
        <w:ind w:left="6480" w:hanging="360"/>
      </w:pPr>
      <w:rPr>
        <w:rFonts w:ascii="Wingdings" w:hAnsi="Wingdings" w:hint="default"/>
      </w:rPr>
    </w:lvl>
  </w:abstractNum>
  <w:abstractNum w:abstractNumId="24" w15:restartNumberingAfterBreak="0">
    <w:nsid w:val="1A1010E5"/>
    <w:multiLevelType w:val="hybridMultilevel"/>
    <w:tmpl w:val="A126C47E"/>
    <w:lvl w:ilvl="0" w:tplc="AE36FE4E">
      <w:start w:val="1"/>
      <w:numFmt w:val="lowerLetter"/>
      <w:lvlText w:val="%1)"/>
      <w:lvlJc w:val="left"/>
      <w:pPr>
        <w:ind w:left="720" w:hanging="360"/>
      </w:pPr>
    </w:lvl>
    <w:lvl w:ilvl="1" w:tplc="82E86082">
      <w:start w:val="1"/>
      <w:numFmt w:val="lowerLetter"/>
      <w:lvlText w:val="%2)"/>
      <w:lvlJc w:val="left"/>
      <w:pPr>
        <w:ind w:left="720" w:hanging="360"/>
      </w:pPr>
    </w:lvl>
    <w:lvl w:ilvl="2" w:tplc="B248197E">
      <w:start w:val="1"/>
      <w:numFmt w:val="lowerLetter"/>
      <w:lvlText w:val="%3)"/>
      <w:lvlJc w:val="left"/>
      <w:pPr>
        <w:ind w:left="720" w:hanging="360"/>
      </w:pPr>
    </w:lvl>
    <w:lvl w:ilvl="3" w:tplc="5242217E">
      <w:start w:val="1"/>
      <w:numFmt w:val="lowerLetter"/>
      <w:lvlText w:val="%4)"/>
      <w:lvlJc w:val="left"/>
      <w:pPr>
        <w:ind w:left="720" w:hanging="360"/>
      </w:pPr>
    </w:lvl>
    <w:lvl w:ilvl="4" w:tplc="4C025DFE">
      <w:start w:val="1"/>
      <w:numFmt w:val="lowerLetter"/>
      <w:lvlText w:val="%5)"/>
      <w:lvlJc w:val="left"/>
      <w:pPr>
        <w:ind w:left="720" w:hanging="360"/>
      </w:pPr>
    </w:lvl>
    <w:lvl w:ilvl="5" w:tplc="59A2F9DC">
      <w:start w:val="1"/>
      <w:numFmt w:val="lowerLetter"/>
      <w:lvlText w:val="%6)"/>
      <w:lvlJc w:val="left"/>
      <w:pPr>
        <w:ind w:left="720" w:hanging="360"/>
      </w:pPr>
    </w:lvl>
    <w:lvl w:ilvl="6" w:tplc="F01624CC">
      <w:start w:val="1"/>
      <w:numFmt w:val="lowerLetter"/>
      <w:lvlText w:val="%7)"/>
      <w:lvlJc w:val="left"/>
      <w:pPr>
        <w:ind w:left="720" w:hanging="360"/>
      </w:pPr>
    </w:lvl>
    <w:lvl w:ilvl="7" w:tplc="FDFC459E">
      <w:start w:val="1"/>
      <w:numFmt w:val="lowerLetter"/>
      <w:lvlText w:val="%8)"/>
      <w:lvlJc w:val="left"/>
      <w:pPr>
        <w:ind w:left="720" w:hanging="360"/>
      </w:pPr>
    </w:lvl>
    <w:lvl w:ilvl="8" w:tplc="3A369A24">
      <w:start w:val="1"/>
      <w:numFmt w:val="lowerLetter"/>
      <w:lvlText w:val="%9)"/>
      <w:lvlJc w:val="left"/>
      <w:pPr>
        <w:ind w:left="720" w:hanging="360"/>
      </w:pPr>
    </w:lvl>
  </w:abstractNum>
  <w:abstractNum w:abstractNumId="25" w15:restartNumberingAfterBreak="0">
    <w:nsid w:val="1A2C4168"/>
    <w:multiLevelType w:val="hybridMultilevel"/>
    <w:tmpl w:val="DC400686"/>
    <w:lvl w:ilvl="0" w:tplc="9B30FFFA">
      <w:start w:val="1"/>
      <w:numFmt w:val="lowerLetter"/>
      <w:lvlText w:val="%1)"/>
      <w:lvlJc w:val="left"/>
      <w:pPr>
        <w:ind w:left="360" w:hanging="360"/>
      </w:pPr>
    </w:lvl>
    <w:lvl w:ilvl="1" w:tplc="D09A2CAC">
      <w:start w:val="1"/>
      <w:numFmt w:val="lowerLetter"/>
      <w:lvlText w:val="%2."/>
      <w:lvlJc w:val="left"/>
      <w:pPr>
        <w:ind w:left="1080" w:hanging="360"/>
      </w:pPr>
    </w:lvl>
    <w:lvl w:ilvl="2" w:tplc="0C8E02E6">
      <w:start w:val="1"/>
      <w:numFmt w:val="lowerRoman"/>
      <w:lvlText w:val="%3."/>
      <w:lvlJc w:val="right"/>
      <w:pPr>
        <w:ind w:left="1800" w:hanging="180"/>
      </w:pPr>
    </w:lvl>
    <w:lvl w:ilvl="3" w:tplc="7472B860">
      <w:start w:val="1"/>
      <w:numFmt w:val="decimal"/>
      <w:lvlText w:val="%4."/>
      <w:lvlJc w:val="left"/>
      <w:pPr>
        <w:ind w:left="2520" w:hanging="360"/>
      </w:pPr>
    </w:lvl>
    <w:lvl w:ilvl="4" w:tplc="DBF28536">
      <w:start w:val="1"/>
      <w:numFmt w:val="lowerLetter"/>
      <w:lvlText w:val="%5."/>
      <w:lvlJc w:val="left"/>
      <w:pPr>
        <w:ind w:left="3240" w:hanging="360"/>
      </w:pPr>
    </w:lvl>
    <w:lvl w:ilvl="5" w:tplc="EABE4166">
      <w:start w:val="1"/>
      <w:numFmt w:val="lowerRoman"/>
      <w:lvlText w:val="%6."/>
      <w:lvlJc w:val="right"/>
      <w:pPr>
        <w:ind w:left="3960" w:hanging="180"/>
      </w:pPr>
    </w:lvl>
    <w:lvl w:ilvl="6" w:tplc="52620142">
      <w:start w:val="1"/>
      <w:numFmt w:val="decimal"/>
      <w:lvlText w:val="%7."/>
      <w:lvlJc w:val="left"/>
      <w:pPr>
        <w:ind w:left="4680" w:hanging="360"/>
      </w:pPr>
    </w:lvl>
    <w:lvl w:ilvl="7" w:tplc="822E93F2">
      <w:start w:val="1"/>
      <w:numFmt w:val="lowerLetter"/>
      <w:lvlText w:val="%8."/>
      <w:lvlJc w:val="left"/>
      <w:pPr>
        <w:ind w:left="5400" w:hanging="360"/>
      </w:pPr>
    </w:lvl>
    <w:lvl w:ilvl="8" w:tplc="1EA4CCB0">
      <w:start w:val="1"/>
      <w:numFmt w:val="lowerRoman"/>
      <w:lvlText w:val="%9."/>
      <w:lvlJc w:val="right"/>
      <w:pPr>
        <w:ind w:left="6120" w:hanging="180"/>
      </w:pPr>
    </w:lvl>
  </w:abstractNum>
  <w:abstractNum w:abstractNumId="26" w15:restartNumberingAfterBreak="0">
    <w:nsid w:val="1A833C9D"/>
    <w:multiLevelType w:val="hybridMultilevel"/>
    <w:tmpl w:val="86725CF0"/>
    <w:lvl w:ilvl="0" w:tplc="FFFFFFFF">
      <w:start w:val="1"/>
      <w:numFmt w:val="lowerLetter"/>
      <w:lvlText w:val="%1)"/>
      <w:lvlJc w:val="left"/>
      <w:pPr>
        <w:ind w:left="720" w:hanging="360"/>
      </w:pPr>
    </w:lvl>
    <w:lvl w:ilvl="1" w:tplc="80E43132">
      <w:start w:val="1"/>
      <w:numFmt w:val="lowerLetter"/>
      <w:lvlText w:val="%2."/>
      <w:lvlJc w:val="left"/>
      <w:pPr>
        <w:ind w:left="1440" w:hanging="360"/>
      </w:pPr>
    </w:lvl>
    <w:lvl w:ilvl="2" w:tplc="B914C622">
      <w:start w:val="1"/>
      <w:numFmt w:val="lowerRoman"/>
      <w:lvlText w:val="%3."/>
      <w:lvlJc w:val="right"/>
      <w:pPr>
        <w:ind w:left="2160" w:hanging="180"/>
      </w:pPr>
    </w:lvl>
    <w:lvl w:ilvl="3" w:tplc="A8D8F386">
      <w:start w:val="1"/>
      <w:numFmt w:val="decimal"/>
      <w:lvlText w:val="%4."/>
      <w:lvlJc w:val="left"/>
      <w:pPr>
        <w:ind w:left="2880" w:hanging="360"/>
      </w:pPr>
    </w:lvl>
    <w:lvl w:ilvl="4" w:tplc="F740E86C">
      <w:start w:val="1"/>
      <w:numFmt w:val="lowerLetter"/>
      <w:lvlText w:val="%5."/>
      <w:lvlJc w:val="left"/>
      <w:pPr>
        <w:ind w:left="3600" w:hanging="360"/>
      </w:pPr>
    </w:lvl>
    <w:lvl w:ilvl="5" w:tplc="01B0FEA2">
      <w:start w:val="1"/>
      <w:numFmt w:val="lowerRoman"/>
      <w:lvlText w:val="%6."/>
      <w:lvlJc w:val="right"/>
      <w:pPr>
        <w:ind w:left="4320" w:hanging="180"/>
      </w:pPr>
    </w:lvl>
    <w:lvl w:ilvl="6" w:tplc="25360D62">
      <w:start w:val="1"/>
      <w:numFmt w:val="decimal"/>
      <w:lvlText w:val="%7."/>
      <w:lvlJc w:val="left"/>
      <w:pPr>
        <w:ind w:left="5040" w:hanging="360"/>
      </w:pPr>
    </w:lvl>
    <w:lvl w:ilvl="7" w:tplc="D21E44C4">
      <w:start w:val="1"/>
      <w:numFmt w:val="lowerLetter"/>
      <w:lvlText w:val="%8."/>
      <w:lvlJc w:val="left"/>
      <w:pPr>
        <w:ind w:left="5760" w:hanging="360"/>
      </w:pPr>
    </w:lvl>
    <w:lvl w:ilvl="8" w:tplc="6778ECF0">
      <w:start w:val="1"/>
      <w:numFmt w:val="lowerRoman"/>
      <w:lvlText w:val="%9."/>
      <w:lvlJc w:val="right"/>
      <w:pPr>
        <w:ind w:left="6480" w:hanging="180"/>
      </w:pPr>
    </w:lvl>
  </w:abstractNum>
  <w:abstractNum w:abstractNumId="2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8" w15:restartNumberingAfterBreak="0">
    <w:nsid w:val="1E2479A5"/>
    <w:multiLevelType w:val="hybridMultilevel"/>
    <w:tmpl w:val="EC5ABF86"/>
    <w:lvl w:ilvl="0" w:tplc="0906A290">
      <w:start w:val="1"/>
      <w:numFmt w:val="lowerLetter"/>
      <w:lvlText w:val="%1)"/>
      <w:lvlJc w:val="left"/>
      <w:pPr>
        <w:ind w:left="720" w:hanging="360"/>
      </w:pPr>
    </w:lvl>
    <w:lvl w:ilvl="1" w:tplc="DD9062D8">
      <w:start w:val="1"/>
      <w:numFmt w:val="lowerLetter"/>
      <w:lvlText w:val="%2."/>
      <w:lvlJc w:val="left"/>
      <w:pPr>
        <w:ind w:left="1440" w:hanging="360"/>
      </w:pPr>
    </w:lvl>
    <w:lvl w:ilvl="2" w:tplc="4ED0E33E">
      <w:start w:val="1"/>
      <w:numFmt w:val="lowerRoman"/>
      <w:lvlText w:val="%3."/>
      <w:lvlJc w:val="right"/>
      <w:pPr>
        <w:ind w:left="2160" w:hanging="180"/>
      </w:pPr>
    </w:lvl>
    <w:lvl w:ilvl="3" w:tplc="66D8F990">
      <w:start w:val="1"/>
      <w:numFmt w:val="decimal"/>
      <w:lvlText w:val="%4."/>
      <w:lvlJc w:val="left"/>
      <w:pPr>
        <w:ind w:left="2880" w:hanging="360"/>
      </w:pPr>
    </w:lvl>
    <w:lvl w:ilvl="4" w:tplc="96A0F692">
      <w:start w:val="1"/>
      <w:numFmt w:val="lowerLetter"/>
      <w:lvlText w:val="%5."/>
      <w:lvlJc w:val="left"/>
      <w:pPr>
        <w:ind w:left="3600" w:hanging="360"/>
      </w:pPr>
    </w:lvl>
    <w:lvl w:ilvl="5" w:tplc="EDF0A0B8">
      <w:start w:val="1"/>
      <w:numFmt w:val="lowerRoman"/>
      <w:lvlText w:val="%6."/>
      <w:lvlJc w:val="right"/>
      <w:pPr>
        <w:ind w:left="4320" w:hanging="180"/>
      </w:pPr>
    </w:lvl>
    <w:lvl w:ilvl="6" w:tplc="2B4663D0">
      <w:start w:val="1"/>
      <w:numFmt w:val="decimal"/>
      <w:lvlText w:val="%7."/>
      <w:lvlJc w:val="left"/>
      <w:pPr>
        <w:ind w:left="5040" w:hanging="360"/>
      </w:pPr>
    </w:lvl>
    <w:lvl w:ilvl="7" w:tplc="80D88272">
      <w:start w:val="1"/>
      <w:numFmt w:val="lowerLetter"/>
      <w:lvlText w:val="%8."/>
      <w:lvlJc w:val="left"/>
      <w:pPr>
        <w:ind w:left="5760" w:hanging="360"/>
      </w:pPr>
    </w:lvl>
    <w:lvl w:ilvl="8" w:tplc="D9AEA072">
      <w:start w:val="1"/>
      <w:numFmt w:val="lowerRoman"/>
      <w:lvlText w:val="%9."/>
      <w:lvlJc w:val="right"/>
      <w:pPr>
        <w:ind w:left="6480" w:hanging="180"/>
      </w:pPr>
    </w:lvl>
  </w:abstractNum>
  <w:abstractNum w:abstractNumId="29" w15:restartNumberingAfterBreak="0">
    <w:nsid w:val="1E600FD6"/>
    <w:multiLevelType w:val="hybridMultilevel"/>
    <w:tmpl w:val="4CD02616"/>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0" w15:restartNumberingAfterBreak="0">
    <w:nsid w:val="1ECD4A9B"/>
    <w:multiLevelType w:val="hybridMultilevel"/>
    <w:tmpl w:val="C556EE5E"/>
    <w:lvl w:ilvl="0" w:tplc="3CCEFCE8">
      <w:start w:val="1"/>
      <w:numFmt w:val="lowerLetter"/>
      <w:lvlText w:val="%1)"/>
      <w:lvlJc w:val="left"/>
      <w:pPr>
        <w:ind w:left="720" w:hanging="360"/>
      </w:pPr>
    </w:lvl>
    <w:lvl w:ilvl="1" w:tplc="0682EC2A">
      <w:start w:val="1"/>
      <w:numFmt w:val="lowerLetter"/>
      <w:lvlText w:val="%2."/>
      <w:lvlJc w:val="left"/>
      <w:pPr>
        <w:ind w:left="1440" w:hanging="360"/>
      </w:pPr>
    </w:lvl>
    <w:lvl w:ilvl="2" w:tplc="93C68AE6">
      <w:start w:val="1"/>
      <w:numFmt w:val="lowerRoman"/>
      <w:lvlText w:val="%3."/>
      <w:lvlJc w:val="right"/>
      <w:pPr>
        <w:ind w:left="2160" w:hanging="180"/>
      </w:pPr>
    </w:lvl>
    <w:lvl w:ilvl="3" w:tplc="FE9A24E4">
      <w:start w:val="1"/>
      <w:numFmt w:val="decimal"/>
      <w:lvlText w:val="%4."/>
      <w:lvlJc w:val="left"/>
      <w:pPr>
        <w:ind w:left="2880" w:hanging="360"/>
      </w:pPr>
    </w:lvl>
    <w:lvl w:ilvl="4" w:tplc="A58A16F8">
      <w:start w:val="1"/>
      <w:numFmt w:val="lowerLetter"/>
      <w:lvlText w:val="%5."/>
      <w:lvlJc w:val="left"/>
      <w:pPr>
        <w:ind w:left="3600" w:hanging="360"/>
      </w:pPr>
    </w:lvl>
    <w:lvl w:ilvl="5" w:tplc="83E0C73C">
      <w:start w:val="1"/>
      <w:numFmt w:val="lowerRoman"/>
      <w:lvlText w:val="%6."/>
      <w:lvlJc w:val="right"/>
      <w:pPr>
        <w:ind w:left="4320" w:hanging="180"/>
      </w:pPr>
    </w:lvl>
    <w:lvl w:ilvl="6" w:tplc="CDFA6630">
      <w:start w:val="1"/>
      <w:numFmt w:val="decimal"/>
      <w:lvlText w:val="%7."/>
      <w:lvlJc w:val="left"/>
      <w:pPr>
        <w:ind w:left="5040" w:hanging="360"/>
      </w:pPr>
    </w:lvl>
    <w:lvl w:ilvl="7" w:tplc="A6D49CDA">
      <w:start w:val="1"/>
      <w:numFmt w:val="lowerLetter"/>
      <w:lvlText w:val="%8."/>
      <w:lvlJc w:val="left"/>
      <w:pPr>
        <w:ind w:left="5760" w:hanging="360"/>
      </w:pPr>
    </w:lvl>
    <w:lvl w:ilvl="8" w:tplc="E7683C98">
      <w:start w:val="1"/>
      <w:numFmt w:val="lowerRoman"/>
      <w:lvlText w:val="%9."/>
      <w:lvlJc w:val="right"/>
      <w:pPr>
        <w:ind w:left="6480" w:hanging="180"/>
      </w:pPr>
    </w:lvl>
  </w:abstractNum>
  <w:abstractNum w:abstractNumId="31" w15:restartNumberingAfterBreak="0">
    <w:nsid w:val="22170507"/>
    <w:multiLevelType w:val="hybridMultilevel"/>
    <w:tmpl w:val="219A97B0"/>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22518BF8"/>
    <w:multiLevelType w:val="hybridMultilevel"/>
    <w:tmpl w:val="673CBE3A"/>
    <w:lvl w:ilvl="0" w:tplc="30BA9714">
      <w:start w:val="1"/>
      <w:numFmt w:val="lowerLetter"/>
      <w:lvlText w:val="%1)"/>
      <w:lvlJc w:val="left"/>
      <w:pPr>
        <w:ind w:left="720" w:hanging="360"/>
      </w:pPr>
    </w:lvl>
    <w:lvl w:ilvl="1" w:tplc="60224F20">
      <w:start w:val="1"/>
      <w:numFmt w:val="lowerLetter"/>
      <w:lvlText w:val="%2."/>
      <w:lvlJc w:val="left"/>
      <w:pPr>
        <w:ind w:left="1440" w:hanging="360"/>
      </w:pPr>
    </w:lvl>
    <w:lvl w:ilvl="2" w:tplc="EBA0E6B6">
      <w:start w:val="1"/>
      <w:numFmt w:val="lowerRoman"/>
      <w:lvlText w:val="%3."/>
      <w:lvlJc w:val="right"/>
      <w:pPr>
        <w:ind w:left="2160" w:hanging="180"/>
      </w:pPr>
    </w:lvl>
    <w:lvl w:ilvl="3" w:tplc="5CBE4FC8">
      <w:start w:val="1"/>
      <w:numFmt w:val="decimal"/>
      <w:lvlText w:val="%4."/>
      <w:lvlJc w:val="left"/>
      <w:pPr>
        <w:ind w:left="2880" w:hanging="360"/>
      </w:pPr>
    </w:lvl>
    <w:lvl w:ilvl="4" w:tplc="40E4B534">
      <w:start w:val="1"/>
      <w:numFmt w:val="lowerLetter"/>
      <w:lvlText w:val="%5."/>
      <w:lvlJc w:val="left"/>
      <w:pPr>
        <w:ind w:left="3600" w:hanging="360"/>
      </w:pPr>
    </w:lvl>
    <w:lvl w:ilvl="5" w:tplc="288AC078">
      <w:start w:val="1"/>
      <w:numFmt w:val="lowerRoman"/>
      <w:lvlText w:val="%6."/>
      <w:lvlJc w:val="right"/>
      <w:pPr>
        <w:ind w:left="4320" w:hanging="180"/>
      </w:pPr>
    </w:lvl>
    <w:lvl w:ilvl="6" w:tplc="72742B46">
      <w:start w:val="1"/>
      <w:numFmt w:val="decimal"/>
      <w:lvlText w:val="%7."/>
      <w:lvlJc w:val="left"/>
      <w:pPr>
        <w:ind w:left="5040" w:hanging="360"/>
      </w:pPr>
    </w:lvl>
    <w:lvl w:ilvl="7" w:tplc="8728794A">
      <w:start w:val="1"/>
      <w:numFmt w:val="lowerLetter"/>
      <w:lvlText w:val="%8."/>
      <w:lvlJc w:val="left"/>
      <w:pPr>
        <w:ind w:left="5760" w:hanging="360"/>
      </w:pPr>
    </w:lvl>
    <w:lvl w:ilvl="8" w:tplc="85FA5CE2">
      <w:start w:val="1"/>
      <w:numFmt w:val="lowerRoman"/>
      <w:lvlText w:val="%9."/>
      <w:lvlJc w:val="right"/>
      <w:pPr>
        <w:ind w:left="6480" w:hanging="180"/>
      </w:pPr>
    </w:lvl>
  </w:abstractNum>
  <w:abstractNum w:abstractNumId="33" w15:restartNumberingAfterBreak="0">
    <w:nsid w:val="225B2E4E"/>
    <w:multiLevelType w:val="hybridMultilevel"/>
    <w:tmpl w:val="3372F228"/>
    <w:lvl w:ilvl="0" w:tplc="9778754C">
      <w:start w:val="1"/>
      <w:numFmt w:val="lowerLetter"/>
      <w:lvlText w:val="%1)"/>
      <w:lvlJc w:val="left"/>
      <w:pPr>
        <w:ind w:left="720" w:hanging="360"/>
      </w:pPr>
    </w:lvl>
    <w:lvl w:ilvl="1" w:tplc="4DBED730">
      <w:start w:val="1"/>
      <w:numFmt w:val="lowerLetter"/>
      <w:lvlText w:val="%2."/>
      <w:lvlJc w:val="left"/>
      <w:pPr>
        <w:ind w:left="1440" w:hanging="360"/>
      </w:pPr>
    </w:lvl>
    <w:lvl w:ilvl="2" w:tplc="F3E43B00">
      <w:start w:val="1"/>
      <w:numFmt w:val="lowerRoman"/>
      <w:lvlText w:val="%3."/>
      <w:lvlJc w:val="right"/>
      <w:pPr>
        <w:ind w:left="2160" w:hanging="180"/>
      </w:pPr>
    </w:lvl>
    <w:lvl w:ilvl="3" w:tplc="DBD2B204">
      <w:start w:val="1"/>
      <w:numFmt w:val="decimal"/>
      <w:lvlText w:val="%4."/>
      <w:lvlJc w:val="left"/>
      <w:pPr>
        <w:ind w:left="2880" w:hanging="360"/>
      </w:pPr>
    </w:lvl>
    <w:lvl w:ilvl="4" w:tplc="F5AEAD20">
      <w:start w:val="1"/>
      <w:numFmt w:val="lowerLetter"/>
      <w:lvlText w:val="%5."/>
      <w:lvlJc w:val="left"/>
      <w:pPr>
        <w:ind w:left="3600" w:hanging="360"/>
      </w:pPr>
    </w:lvl>
    <w:lvl w:ilvl="5" w:tplc="164A7216">
      <w:start w:val="1"/>
      <w:numFmt w:val="lowerRoman"/>
      <w:lvlText w:val="%6."/>
      <w:lvlJc w:val="right"/>
      <w:pPr>
        <w:ind w:left="4320" w:hanging="180"/>
      </w:pPr>
    </w:lvl>
    <w:lvl w:ilvl="6" w:tplc="4B9887BA">
      <w:start w:val="1"/>
      <w:numFmt w:val="decimal"/>
      <w:lvlText w:val="%7."/>
      <w:lvlJc w:val="left"/>
      <w:pPr>
        <w:ind w:left="5040" w:hanging="360"/>
      </w:pPr>
    </w:lvl>
    <w:lvl w:ilvl="7" w:tplc="4EAEF73A">
      <w:start w:val="1"/>
      <w:numFmt w:val="lowerLetter"/>
      <w:lvlText w:val="%8."/>
      <w:lvlJc w:val="left"/>
      <w:pPr>
        <w:ind w:left="5760" w:hanging="360"/>
      </w:pPr>
    </w:lvl>
    <w:lvl w:ilvl="8" w:tplc="01F8E04A">
      <w:start w:val="1"/>
      <w:numFmt w:val="lowerRoman"/>
      <w:lvlText w:val="%9."/>
      <w:lvlJc w:val="right"/>
      <w:pPr>
        <w:ind w:left="6480" w:hanging="180"/>
      </w:pPr>
    </w:lvl>
  </w:abstractNum>
  <w:abstractNum w:abstractNumId="3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24F1660E"/>
    <w:multiLevelType w:val="hybridMultilevel"/>
    <w:tmpl w:val="F2A8BA00"/>
    <w:lvl w:ilvl="0" w:tplc="41000E7A">
      <w:start w:val="1"/>
      <w:numFmt w:val="lowerLetter"/>
      <w:lvlText w:val="%1)"/>
      <w:lvlJc w:val="left"/>
      <w:pPr>
        <w:ind w:left="720" w:hanging="360"/>
      </w:pPr>
    </w:lvl>
    <w:lvl w:ilvl="1" w:tplc="E11A47AA">
      <w:start w:val="1"/>
      <w:numFmt w:val="lowerLetter"/>
      <w:lvlText w:val="%2."/>
      <w:lvlJc w:val="left"/>
      <w:pPr>
        <w:ind w:left="1440" w:hanging="360"/>
      </w:pPr>
    </w:lvl>
    <w:lvl w:ilvl="2" w:tplc="B20632DE">
      <w:start w:val="1"/>
      <w:numFmt w:val="lowerRoman"/>
      <w:lvlText w:val="%3."/>
      <w:lvlJc w:val="right"/>
      <w:pPr>
        <w:ind w:left="2160" w:hanging="180"/>
      </w:pPr>
    </w:lvl>
    <w:lvl w:ilvl="3" w:tplc="EB1C1788">
      <w:start w:val="1"/>
      <w:numFmt w:val="decimal"/>
      <w:lvlText w:val="%4."/>
      <w:lvlJc w:val="left"/>
      <w:pPr>
        <w:ind w:left="2880" w:hanging="360"/>
      </w:pPr>
    </w:lvl>
    <w:lvl w:ilvl="4" w:tplc="0532A54C">
      <w:start w:val="1"/>
      <w:numFmt w:val="lowerLetter"/>
      <w:lvlText w:val="%5."/>
      <w:lvlJc w:val="left"/>
      <w:pPr>
        <w:ind w:left="3600" w:hanging="360"/>
      </w:pPr>
    </w:lvl>
    <w:lvl w:ilvl="5" w:tplc="C8F4F582">
      <w:start w:val="1"/>
      <w:numFmt w:val="lowerRoman"/>
      <w:lvlText w:val="%6."/>
      <w:lvlJc w:val="right"/>
      <w:pPr>
        <w:ind w:left="4320" w:hanging="180"/>
      </w:pPr>
    </w:lvl>
    <w:lvl w:ilvl="6" w:tplc="455894B6">
      <w:start w:val="1"/>
      <w:numFmt w:val="decimal"/>
      <w:lvlText w:val="%7."/>
      <w:lvlJc w:val="left"/>
      <w:pPr>
        <w:ind w:left="5040" w:hanging="360"/>
      </w:pPr>
    </w:lvl>
    <w:lvl w:ilvl="7" w:tplc="A350B39C">
      <w:start w:val="1"/>
      <w:numFmt w:val="lowerLetter"/>
      <w:lvlText w:val="%8."/>
      <w:lvlJc w:val="left"/>
      <w:pPr>
        <w:ind w:left="5760" w:hanging="360"/>
      </w:pPr>
    </w:lvl>
    <w:lvl w:ilvl="8" w:tplc="EF2AC396">
      <w:start w:val="1"/>
      <w:numFmt w:val="lowerRoman"/>
      <w:lvlText w:val="%9."/>
      <w:lvlJc w:val="right"/>
      <w:pPr>
        <w:ind w:left="6480" w:hanging="180"/>
      </w:pPr>
    </w:lvl>
  </w:abstractNum>
  <w:abstractNum w:abstractNumId="36" w15:restartNumberingAfterBreak="0">
    <w:nsid w:val="26BB1705"/>
    <w:multiLevelType w:val="hybridMultilevel"/>
    <w:tmpl w:val="DA86CC6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28504693"/>
    <w:multiLevelType w:val="hybridMultilevel"/>
    <w:tmpl w:val="52726FA6"/>
    <w:lvl w:ilvl="0" w:tplc="CA1054A4">
      <w:start w:val="1"/>
      <w:numFmt w:val="lowerLetter"/>
      <w:lvlText w:val="%1)"/>
      <w:lvlJc w:val="left"/>
      <w:pPr>
        <w:ind w:left="720" w:hanging="360"/>
      </w:pPr>
    </w:lvl>
    <w:lvl w:ilvl="1" w:tplc="88F6DBC2">
      <w:start w:val="1"/>
      <w:numFmt w:val="lowerLetter"/>
      <w:lvlText w:val="%2."/>
      <w:lvlJc w:val="left"/>
      <w:pPr>
        <w:ind w:left="1440" w:hanging="360"/>
      </w:pPr>
    </w:lvl>
    <w:lvl w:ilvl="2" w:tplc="484ACFE4">
      <w:start w:val="1"/>
      <w:numFmt w:val="lowerRoman"/>
      <w:lvlText w:val="%3."/>
      <w:lvlJc w:val="right"/>
      <w:pPr>
        <w:ind w:left="2160" w:hanging="180"/>
      </w:pPr>
    </w:lvl>
    <w:lvl w:ilvl="3" w:tplc="F482B5E4">
      <w:start w:val="1"/>
      <w:numFmt w:val="decimal"/>
      <w:lvlText w:val="%4."/>
      <w:lvlJc w:val="left"/>
      <w:pPr>
        <w:ind w:left="2880" w:hanging="360"/>
      </w:pPr>
    </w:lvl>
    <w:lvl w:ilvl="4" w:tplc="602E53DA">
      <w:start w:val="1"/>
      <w:numFmt w:val="lowerLetter"/>
      <w:lvlText w:val="%5."/>
      <w:lvlJc w:val="left"/>
      <w:pPr>
        <w:ind w:left="3600" w:hanging="360"/>
      </w:pPr>
    </w:lvl>
    <w:lvl w:ilvl="5" w:tplc="38905AAE">
      <w:start w:val="1"/>
      <w:numFmt w:val="lowerRoman"/>
      <w:lvlText w:val="%6."/>
      <w:lvlJc w:val="right"/>
      <w:pPr>
        <w:ind w:left="4320" w:hanging="180"/>
      </w:pPr>
    </w:lvl>
    <w:lvl w:ilvl="6" w:tplc="2D06C216">
      <w:start w:val="1"/>
      <w:numFmt w:val="decimal"/>
      <w:lvlText w:val="%7."/>
      <w:lvlJc w:val="left"/>
      <w:pPr>
        <w:ind w:left="5040" w:hanging="360"/>
      </w:pPr>
    </w:lvl>
    <w:lvl w:ilvl="7" w:tplc="78E465E6">
      <w:start w:val="1"/>
      <w:numFmt w:val="lowerLetter"/>
      <w:lvlText w:val="%8."/>
      <w:lvlJc w:val="left"/>
      <w:pPr>
        <w:ind w:left="5760" w:hanging="360"/>
      </w:pPr>
    </w:lvl>
    <w:lvl w:ilvl="8" w:tplc="B3FC57C4">
      <w:start w:val="1"/>
      <w:numFmt w:val="lowerRoman"/>
      <w:lvlText w:val="%9."/>
      <w:lvlJc w:val="right"/>
      <w:pPr>
        <w:ind w:left="6480" w:hanging="180"/>
      </w:pPr>
    </w:lvl>
  </w:abstractNum>
  <w:abstractNum w:abstractNumId="38" w15:restartNumberingAfterBreak="0">
    <w:nsid w:val="2B050EF5"/>
    <w:multiLevelType w:val="hybridMultilevel"/>
    <w:tmpl w:val="23C478F8"/>
    <w:lvl w:ilvl="0" w:tplc="CC2C39EA">
      <w:start w:val="1"/>
      <w:numFmt w:val="bullet"/>
      <w:lvlText w:val=""/>
      <w:lvlJc w:val="left"/>
      <w:pPr>
        <w:ind w:left="770" w:hanging="360"/>
      </w:pPr>
      <w:rPr>
        <w:rFonts w:ascii="Symbol" w:hAnsi="Symbol" w:hint="default"/>
        <w:color w:val="auto"/>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39" w15:restartNumberingAfterBreak="0">
    <w:nsid w:val="2BEF21E3"/>
    <w:multiLevelType w:val="hybridMultilevel"/>
    <w:tmpl w:val="8208F046"/>
    <w:lvl w:ilvl="0" w:tplc="3DA0AEF2">
      <w:start w:val="1"/>
      <w:numFmt w:val="lowerLetter"/>
      <w:lvlText w:val="%1)"/>
      <w:lvlJc w:val="left"/>
      <w:pPr>
        <w:ind w:left="720" w:hanging="360"/>
      </w:pPr>
    </w:lvl>
    <w:lvl w:ilvl="1" w:tplc="1070D466">
      <w:start w:val="1"/>
      <w:numFmt w:val="lowerLetter"/>
      <w:lvlText w:val="%2."/>
      <w:lvlJc w:val="left"/>
      <w:pPr>
        <w:ind w:left="1440" w:hanging="360"/>
      </w:pPr>
    </w:lvl>
    <w:lvl w:ilvl="2" w:tplc="D9A40A4A">
      <w:start w:val="1"/>
      <w:numFmt w:val="lowerRoman"/>
      <w:lvlText w:val="%3."/>
      <w:lvlJc w:val="right"/>
      <w:pPr>
        <w:ind w:left="2160" w:hanging="180"/>
      </w:pPr>
    </w:lvl>
    <w:lvl w:ilvl="3" w:tplc="F2BCB946">
      <w:start w:val="1"/>
      <w:numFmt w:val="decimal"/>
      <w:lvlText w:val="%4."/>
      <w:lvlJc w:val="left"/>
      <w:pPr>
        <w:ind w:left="2880" w:hanging="360"/>
      </w:pPr>
    </w:lvl>
    <w:lvl w:ilvl="4" w:tplc="30545B74">
      <w:start w:val="1"/>
      <w:numFmt w:val="lowerLetter"/>
      <w:lvlText w:val="%5."/>
      <w:lvlJc w:val="left"/>
      <w:pPr>
        <w:ind w:left="3600" w:hanging="360"/>
      </w:pPr>
    </w:lvl>
    <w:lvl w:ilvl="5" w:tplc="F5A8AE92">
      <w:start w:val="1"/>
      <w:numFmt w:val="lowerRoman"/>
      <w:lvlText w:val="%6."/>
      <w:lvlJc w:val="right"/>
      <w:pPr>
        <w:ind w:left="4320" w:hanging="180"/>
      </w:pPr>
    </w:lvl>
    <w:lvl w:ilvl="6" w:tplc="9022FA4E">
      <w:start w:val="1"/>
      <w:numFmt w:val="decimal"/>
      <w:lvlText w:val="%7."/>
      <w:lvlJc w:val="left"/>
      <w:pPr>
        <w:ind w:left="5040" w:hanging="360"/>
      </w:pPr>
    </w:lvl>
    <w:lvl w:ilvl="7" w:tplc="3600F1BC">
      <w:start w:val="1"/>
      <w:numFmt w:val="lowerLetter"/>
      <w:lvlText w:val="%8."/>
      <w:lvlJc w:val="left"/>
      <w:pPr>
        <w:ind w:left="5760" w:hanging="360"/>
      </w:pPr>
    </w:lvl>
    <w:lvl w:ilvl="8" w:tplc="3C18E2B8">
      <w:start w:val="1"/>
      <w:numFmt w:val="lowerRoman"/>
      <w:lvlText w:val="%9."/>
      <w:lvlJc w:val="right"/>
      <w:pPr>
        <w:ind w:left="6480" w:hanging="180"/>
      </w:pPr>
    </w:lvl>
  </w:abstractNum>
  <w:abstractNum w:abstractNumId="4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41" w15:restartNumberingAfterBreak="0">
    <w:nsid w:val="2CC06D22"/>
    <w:multiLevelType w:val="hybridMultilevel"/>
    <w:tmpl w:val="F834923A"/>
    <w:lvl w:ilvl="0" w:tplc="34DC6608">
      <w:start w:val="1"/>
      <w:numFmt w:val="lowerLetter"/>
      <w:lvlText w:val="%1)"/>
      <w:lvlJc w:val="left"/>
      <w:pPr>
        <w:ind w:left="720" w:hanging="360"/>
      </w:pPr>
    </w:lvl>
    <w:lvl w:ilvl="1" w:tplc="D3085FCC">
      <w:start w:val="1"/>
      <w:numFmt w:val="lowerLetter"/>
      <w:lvlText w:val="%2."/>
      <w:lvlJc w:val="left"/>
      <w:pPr>
        <w:ind w:left="1440" w:hanging="360"/>
      </w:pPr>
    </w:lvl>
    <w:lvl w:ilvl="2" w:tplc="76DE9EFC">
      <w:start w:val="1"/>
      <w:numFmt w:val="lowerRoman"/>
      <w:lvlText w:val="%3."/>
      <w:lvlJc w:val="right"/>
      <w:pPr>
        <w:ind w:left="2160" w:hanging="180"/>
      </w:pPr>
    </w:lvl>
    <w:lvl w:ilvl="3" w:tplc="B97A27F8">
      <w:start w:val="1"/>
      <w:numFmt w:val="decimal"/>
      <w:lvlText w:val="%4."/>
      <w:lvlJc w:val="left"/>
      <w:pPr>
        <w:ind w:left="2880" w:hanging="360"/>
      </w:pPr>
    </w:lvl>
    <w:lvl w:ilvl="4" w:tplc="9E220DBA">
      <w:start w:val="1"/>
      <w:numFmt w:val="lowerLetter"/>
      <w:lvlText w:val="%5."/>
      <w:lvlJc w:val="left"/>
      <w:pPr>
        <w:ind w:left="3600" w:hanging="360"/>
      </w:pPr>
    </w:lvl>
    <w:lvl w:ilvl="5" w:tplc="E5102F8A">
      <w:start w:val="1"/>
      <w:numFmt w:val="lowerRoman"/>
      <w:lvlText w:val="%6."/>
      <w:lvlJc w:val="right"/>
      <w:pPr>
        <w:ind w:left="4320" w:hanging="180"/>
      </w:pPr>
    </w:lvl>
    <w:lvl w:ilvl="6" w:tplc="3F785996">
      <w:start w:val="1"/>
      <w:numFmt w:val="decimal"/>
      <w:lvlText w:val="%7."/>
      <w:lvlJc w:val="left"/>
      <w:pPr>
        <w:ind w:left="5040" w:hanging="360"/>
      </w:pPr>
    </w:lvl>
    <w:lvl w:ilvl="7" w:tplc="2CC02088">
      <w:start w:val="1"/>
      <w:numFmt w:val="lowerLetter"/>
      <w:lvlText w:val="%8."/>
      <w:lvlJc w:val="left"/>
      <w:pPr>
        <w:ind w:left="5760" w:hanging="360"/>
      </w:pPr>
    </w:lvl>
    <w:lvl w:ilvl="8" w:tplc="71BE2912">
      <w:start w:val="1"/>
      <w:numFmt w:val="lowerRoman"/>
      <w:lvlText w:val="%9."/>
      <w:lvlJc w:val="right"/>
      <w:pPr>
        <w:ind w:left="6480" w:hanging="180"/>
      </w:pPr>
    </w:lvl>
  </w:abstractNum>
  <w:abstractNum w:abstractNumId="4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43" w15:restartNumberingAfterBreak="0">
    <w:nsid w:val="2EA9E615"/>
    <w:multiLevelType w:val="hybridMultilevel"/>
    <w:tmpl w:val="EEDE81E4"/>
    <w:lvl w:ilvl="0" w:tplc="8AC2AB50">
      <w:start w:val="1"/>
      <w:numFmt w:val="bullet"/>
      <w:lvlText w:val="-"/>
      <w:lvlJc w:val="left"/>
      <w:pPr>
        <w:ind w:left="720" w:hanging="360"/>
      </w:pPr>
      <w:rPr>
        <w:rFonts w:ascii="&quot;Arial Narrow&quot;,sans-serif" w:hAnsi="&quot;Arial Narrow&quot;,sans-serif" w:hint="default"/>
      </w:rPr>
    </w:lvl>
    <w:lvl w:ilvl="1" w:tplc="894A7D6C">
      <w:start w:val="1"/>
      <w:numFmt w:val="bullet"/>
      <w:lvlText w:val="o"/>
      <w:lvlJc w:val="left"/>
      <w:pPr>
        <w:ind w:left="1440" w:hanging="360"/>
      </w:pPr>
      <w:rPr>
        <w:rFonts w:ascii="Courier New" w:hAnsi="Courier New" w:hint="default"/>
      </w:rPr>
    </w:lvl>
    <w:lvl w:ilvl="2" w:tplc="33D4C0CC">
      <w:start w:val="1"/>
      <w:numFmt w:val="bullet"/>
      <w:lvlText w:val=""/>
      <w:lvlJc w:val="left"/>
      <w:pPr>
        <w:ind w:left="2160" w:hanging="360"/>
      </w:pPr>
      <w:rPr>
        <w:rFonts w:ascii="Wingdings" w:hAnsi="Wingdings" w:hint="default"/>
      </w:rPr>
    </w:lvl>
    <w:lvl w:ilvl="3" w:tplc="EBC0E7DC">
      <w:start w:val="1"/>
      <w:numFmt w:val="bullet"/>
      <w:lvlText w:val=""/>
      <w:lvlJc w:val="left"/>
      <w:pPr>
        <w:ind w:left="2880" w:hanging="360"/>
      </w:pPr>
      <w:rPr>
        <w:rFonts w:ascii="Symbol" w:hAnsi="Symbol" w:hint="default"/>
      </w:rPr>
    </w:lvl>
    <w:lvl w:ilvl="4" w:tplc="A1EA0A9C">
      <w:start w:val="1"/>
      <w:numFmt w:val="bullet"/>
      <w:lvlText w:val="o"/>
      <w:lvlJc w:val="left"/>
      <w:pPr>
        <w:ind w:left="3600" w:hanging="360"/>
      </w:pPr>
      <w:rPr>
        <w:rFonts w:ascii="Courier New" w:hAnsi="Courier New" w:hint="default"/>
      </w:rPr>
    </w:lvl>
    <w:lvl w:ilvl="5" w:tplc="434E6358">
      <w:start w:val="1"/>
      <w:numFmt w:val="bullet"/>
      <w:lvlText w:val=""/>
      <w:lvlJc w:val="left"/>
      <w:pPr>
        <w:ind w:left="4320" w:hanging="360"/>
      </w:pPr>
      <w:rPr>
        <w:rFonts w:ascii="Wingdings" w:hAnsi="Wingdings" w:hint="default"/>
      </w:rPr>
    </w:lvl>
    <w:lvl w:ilvl="6" w:tplc="BC743F5E">
      <w:start w:val="1"/>
      <w:numFmt w:val="bullet"/>
      <w:lvlText w:val=""/>
      <w:lvlJc w:val="left"/>
      <w:pPr>
        <w:ind w:left="5040" w:hanging="360"/>
      </w:pPr>
      <w:rPr>
        <w:rFonts w:ascii="Symbol" w:hAnsi="Symbol" w:hint="default"/>
      </w:rPr>
    </w:lvl>
    <w:lvl w:ilvl="7" w:tplc="69A204EC">
      <w:start w:val="1"/>
      <w:numFmt w:val="bullet"/>
      <w:lvlText w:val="o"/>
      <w:lvlJc w:val="left"/>
      <w:pPr>
        <w:ind w:left="5760" w:hanging="360"/>
      </w:pPr>
      <w:rPr>
        <w:rFonts w:ascii="Courier New" w:hAnsi="Courier New" w:hint="default"/>
      </w:rPr>
    </w:lvl>
    <w:lvl w:ilvl="8" w:tplc="39967F4A">
      <w:start w:val="1"/>
      <w:numFmt w:val="bullet"/>
      <w:lvlText w:val=""/>
      <w:lvlJc w:val="left"/>
      <w:pPr>
        <w:ind w:left="6480" w:hanging="360"/>
      </w:pPr>
      <w:rPr>
        <w:rFonts w:ascii="Wingdings" w:hAnsi="Wingdings" w:hint="default"/>
      </w:rPr>
    </w:lvl>
  </w:abstractNum>
  <w:abstractNum w:abstractNumId="44" w15:restartNumberingAfterBreak="0">
    <w:nsid w:val="30382222"/>
    <w:multiLevelType w:val="hybridMultilevel"/>
    <w:tmpl w:val="45FA05EA"/>
    <w:lvl w:ilvl="0" w:tplc="6638E67E">
      <w:start w:val="1"/>
      <w:numFmt w:val="lowerLetter"/>
      <w:lvlText w:val="%1)"/>
      <w:lvlJc w:val="left"/>
      <w:pPr>
        <w:ind w:left="720" w:hanging="360"/>
      </w:pPr>
    </w:lvl>
    <w:lvl w:ilvl="1" w:tplc="0CBE20E6">
      <w:start w:val="1"/>
      <w:numFmt w:val="lowerLetter"/>
      <w:lvlText w:val="%2)"/>
      <w:lvlJc w:val="left"/>
      <w:pPr>
        <w:ind w:left="720" w:hanging="360"/>
      </w:pPr>
    </w:lvl>
    <w:lvl w:ilvl="2" w:tplc="95FEBE92">
      <w:start w:val="1"/>
      <w:numFmt w:val="lowerLetter"/>
      <w:lvlText w:val="%3)"/>
      <w:lvlJc w:val="left"/>
      <w:pPr>
        <w:ind w:left="720" w:hanging="360"/>
      </w:pPr>
    </w:lvl>
    <w:lvl w:ilvl="3" w:tplc="596AA140">
      <w:start w:val="1"/>
      <w:numFmt w:val="lowerLetter"/>
      <w:lvlText w:val="%4)"/>
      <w:lvlJc w:val="left"/>
      <w:pPr>
        <w:ind w:left="720" w:hanging="360"/>
      </w:pPr>
    </w:lvl>
    <w:lvl w:ilvl="4" w:tplc="ABF212DE">
      <w:start w:val="1"/>
      <w:numFmt w:val="lowerLetter"/>
      <w:lvlText w:val="%5)"/>
      <w:lvlJc w:val="left"/>
      <w:pPr>
        <w:ind w:left="720" w:hanging="360"/>
      </w:pPr>
    </w:lvl>
    <w:lvl w:ilvl="5" w:tplc="209EA130">
      <w:start w:val="1"/>
      <w:numFmt w:val="lowerLetter"/>
      <w:lvlText w:val="%6)"/>
      <w:lvlJc w:val="left"/>
      <w:pPr>
        <w:ind w:left="720" w:hanging="360"/>
      </w:pPr>
    </w:lvl>
    <w:lvl w:ilvl="6" w:tplc="19D666F2">
      <w:start w:val="1"/>
      <w:numFmt w:val="lowerLetter"/>
      <w:lvlText w:val="%7)"/>
      <w:lvlJc w:val="left"/>
      <w:pPr>
        <w:ind w:left="720" w:hanging="360"/>
      </w:pPr>
    </w:lvl>
    <w:lvl w:ilvl="7" w:tplc="C32017BA">
      <w:start w:val="1"/>
      <w:numFmt w:val="lowerLetter"/>
      <w:lvlText w:val="%8)"/>
      <w:lvlJc w:val="left"/>
      <w:pPr>
        <w:ind w:left="720" w:hanging="360"/>
      </w:pPr>
    </w:lvl>
    <w:lvl w:ilvl="8" w:tplc="7F403238">
      <w:start w:val="1"/>
      <w:numFmt w:val="lowerLetter"/>
      <w:lvlText w:val="%9)"/>
      <w:lvlJc w:val="left"/>
      <w:pPr>
        <w:ind w:left="720" w:hanging="360"/>
      </w:pPr>
    </w:lvl>
  </w:abstractNum>
  <w:abstractNum w:abstractNumId="45" w15:restartNumberingAfterBreak="0">
    <w:nsid w:val="308929F6"/>
    <w:multiLevelType w:val="hybridMultilevel"/>
    <w:tmpl w:val="159C4CD6"/>
    <w:lvl w:ilvl="0" w:tplc="2AC2D614">
      <w:start w:val="1"/>
      <w:numFmt w:val="lowerLetter"/>
      <w:lvlText w:val="%1)"/>
      <w:lvlJc w:val="left"/>
      <w:pPr>
        <w:ind w:left="720" w:hanging="360"/>
      </w:pPr>
    </w:lvl>
    <w:lvl w:ilvl="1" w:tplc="3AB48D62">
      <w:start w:val="1"/>
      <w:numFmt w:val="lowerLetter"/>
      <w:lvlText w:val="%2)"/>
      <w:lvlJc w:val="left"/>
      <w:pPr>
        <w:ind w:left="720" w:hanging="360"/>
      </w:pPr>
    </w:lvl>
    <w:lvl w:ilvl="2" w:tplc="8F5086E8">
      <w:start w:val="1"/>
      <w:numFmt w:val="lowerLetter"/>
      <w:lvlText w:val="%3)"/>
      <w:lvlJc w:val="left"/>
      <w:pPr>
        <w:ind w:left="720" w:hanging="360"/>
      </w:pPr>
    </w:lvl>
    <w:lvl w:ilvl="3" w:tplc="FA16A2B6">
      <w:start w:val="1"/>
      <w:numFmt w:val="lowerLetter"/>
      <w:lvlText w:val="%4)"/>
      <w:lvlJc w:val="left"/>
      <w:pPr>
        <w:ind w:left="720" w:hanging="360"/>
      </w:pPr>
    </w:lvl>
    <w:lvl w:ilvl="4" w:tplc="B6E604FE">
      <w:start w:val="1"/>
      <w:numFmt w:val="lowerLetter"/>
      <w:lvlText w:val="%5)"/>
      <w:lvlJc w:val="left"/>
      <w:pPr>
        <w:ind w:left="720" w:hanging="360"/>
      </w:pPr>
    </w:lvl>
    <w:lvl w:ilvl="5" w:tplc="EAC65C6E">
      <w:start w:val="1"/>
      <w:numFmt w:val="lowerLetter"/>
      <w:lvlText w:val="%6)"/>
      <w:lvlJc w:val="left"/>
      <w:pPr>
        <w:ind w:left="720" w:hanging="360"/>
      </w:pPr>
    </w:lvl>
    <w:lvl w:ilvl="6" w:tplc="4D1E0A7E">
      <w:start w:val="1"/>
      <w:numFmt w:val="lowerLetter"/>
      <w:lvlText w:val="%7)"/>
      <w:lvlJc w:val="left"/>
      <w:pPr>
        <w:ind w:left="720" w:hanging="360"/>
      </w:pPr>
    </w:lvl>
    <w:lvl w:ilvl="7" w:tplc="D5ACAE70">
      <w:start w:val="1"/>
      <w:numFmt w:val="lowerLetter"/>
      <w:lvlText w:val="%8)"/>
      <w:lvlJc w:val="left"/>
      <w:pPr>
        <w:ind w:left="720" w:hanging="360"/>
      </w:pPr>
    </w:lvl>
    <w:lvl w:ilvl="8" w:tplc="7DE0583A">
      <w:start w:val="1"/>
      <w:numFmt w:val="lowerLetter"/>
      <w:lvlText w:val="%9)"/>
      <w:lvlJc w:val="left"/>
      <w:pPr>
        <w:ind w:left="720" w:hanging="360"/>
      </w:pPr>
    </w:lvl>
  </w:abstractNum>
  <w:abstractNum w:abstractNumId="46" w15:restartNumberingAfterBreak="0">
    <w:nsid w:val="37E04514"/>
    <w:multiLevelType w:val="hybridMultilevel"/>
    <w:tmpl w:val="C78CD582"/>
    <w:lvl w:ilvl="0" w:tplc="61F6B71E">
      <w:start w:val="1"/>
      <w:numFmt w:val="lowerLetter"/>
      <w:lvlText w:val="%1)"/>
      <w:lvlJc w:val="left"/>
      <w:pPr>
        <w:ind w:left="720" w:hanging="360"/>
      </w:pPr>
    </w:lvl>
    <w:lvl w:ilvl="1" w:tplc="8E9ED9EA">
      <w:start w:val="1"/>
      <w:numFmt w:val="lowerLetter"/>
      <w:lvlText w:val="%2)"/>
      <w:lvlJc w:val="left"/>
      <w:pPr>
        <w:ind w:left="720" w:hanging="360"/>
      </w:pPr>
    </w:lvl>
    <w:lvl w:ilvl="2" w:tplc="9BCEDF38">
      <w:start w:val="1"/>
      <w:numFmt w:val="lowerLetter"/>
      <w:lvlText w:val="%3)"/>
      <w:lvlJc w:val="left"/>
      <w:pPr>
        <w:ind w:left="720" w:hanging="360"/>
      </w:pPr>
    </w:lvl>
    <w:lvl w:ilvl="3" w:tplc="E60ACBCC">
      <w:start w:val="1"/>
      <w:numFmt w:val="lowerLetter"/>
      <w:lvlText w:val="%4)"/>
      <w:lvlJc w:val="left"/>
      <w:pPr>
        <w:ind w:left="720" w:hanging="360"/>
      </w:pPr>
    </w:lvl>
    <w:lvl w:ilvl="4" w:tplc="E580E6BA">
      <w:start w:val="1"/>
      <w:numFmt w:val="lowerLetter"/>
      <w:lvlText w:val="%5)"/>
      <w:lvlJc w:val="left"/>
      <w:pPr>
        <w:ind w:left="720" w:hanging="360"/>
      </w:pPr>
    </w:lvl>
    <w:lvl w:ilvl="5" w:tplc="29F4D0BE">
      <w:start w:val="1"/>
      <w:numFmt w:val="lowerLetter"/>
      <w:lvlText w:val="%6)"/>
      <w:lvlJc w:val="left"/>
      <w:pPr>
        <w:ind w:left="720" w:hanging="360"/>
      </w:pPr>
    </w:lvl>
    <w:lvl w:ilvl="6" w:tplc="821E2BC2">
      <w:start w:val="1"/>
      <w:numFmt w:val="lowerLetter"/>
      <w:lvlText w:val="%7)"/>
      <w:lvlJc w:val="left"/>
      <w:pPr>
        <w:ind w:left="720" w:hanging="360"/>
      </w:pPr>
    </w:lvl>
    <w:lvl w:ilvl="7" w:tplc="0AF6DBEC">
      <w:start w:val="1"/>
      <w:numFmt w:val="lowerLetter"/>
      <w:lvlText w:val="%8)"/>
      <w:lvlJc w:val="left"/>
      <w:pPr>
        <w:ind w:left="720" w:hanging="360"/>
      </w:pPr>
    </w:lvl>
    <w:lvl w:ilvl="8" w:tplc="7674B9F8">
      <w:start w:val="1"/>
      <w:numFmt w:val="lowerLetter"/>
      <w:lvlText w:val="%9)"/>
      <w:lvlJc w:val="left"/>
      <w:pPr>
        <w:ind w:left="720" w:hanging="360"/>
      </w:pPr>
    </w:lvl>
  </w:abstractNum>
  <w:abstractNum w:abstractNumId="47" w15:restartNumberingAfterBreak="0">
    <w:nsid w:val="3A313710"/>
    <w:multiLevelType w:val="hybridMultilevel"/>
    <w:tmpl w:val="47088B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3AB86DBC"/>
    <w:multiLevelType w:val="hybridMultilevel"/>
    <w:tmpl w:val="43903D54"/>
    <w:lvl w:ilvl="0" w:tplc="2C4481A8">
      <w:start w:val="1"/>
      <w:numFmt w:val="lowerLetter"/>
      <w:lvlText w:val="%1)"/>
      <w:lvlJc w:val="left"/>
      <w:pPr>
        <w:ind w:left="720" w:hanging="360"/>
      </w:pPr>
    </w:lvl>
    <w:lvl w:ilvl="1" w:tplc="9CB0A7B4">
      <w:start w:val="1"/>
      <w:numFmt w:val="lowerLetter"/>
      <w:lvlText w:val="%2."/>
      <w:lvlJc w:val="left"/>
      <w:pPr>
        <w:ind w:left="1440" w:hanging="360"/>
      </w:pPr>
    </w:lvl>
    <w:lvl w:ilvl="2" w:tplc="1A80ED4C">
      <w:start w:val="1"/>
      <w:numFmt w:val="lowerRoman"/>
      <w:lvlText w:val="%3."/>
      <w:lvlJc w:val="right"/>
      <w:pPr>
        <w:ind w:left="2160" w:hanging="180"/>
      </w:pPr>
    </w:lvl>
    <w:lvl w:ilvl="3" w:tplc="0AC0E046">
      <w:start w:val="1"/>
      <w:numFmt w:val="decimal"/>
      <w:lvlText w:val="%4."/>
      <w:lvlJc w:val="left"/>
      <w:pPr>
        <w:ind w:left="2880" w:hanging="360"/>
      </w:pPr>
    </w:lvl>
    <w:lvl w:ilvl="4" w:tplc="99F602BA">
      <w:start w:val="1"/>
      <w:numFmt w:val="lowerLetter"/>
      <w:lvlText w:val="%5."/>
      <w:lvlJc w:val="left"/>
      <w:pPr>
        <w:ind w:left="3600" w:hanging="360"/>
      </w:pPr>
    </w:lvl>
    <w:lvl w:ilvl="5" w:tplc="1CE4D5F2">
      <w:start w:val="1"/>
      <w:numFmt w:val="lowerRoman"/>
      <w:lvlText w:val="%6."/>
      <w:lvlJc w:val="right"/>
      <w:pPr>
        <w:ind w:left="4320" w:hanging="180"/>
      </w:pPr>
    </w:lvl>
    <w:lvl w:ilvl="6" w:tplc="432AF802">
      <w:start w:val="1"/>
      <w:numFmt w:val="decimal"/>
      <w:lvlText w:val="%7."/>
      <w:lvlJc w:val="left"/>
      <w:pPr>
        <w:ind w:left="5040" w:hanging="360"/>
      </w:pPr>
    </w:lvl>
    <w:lvl w:ilvl="7" w:tplc="285CCE40">
      <w:start w:val="1"/>
      <w:numFmt w:val="lowerLetter"/>
      <w:lvlText w:val="%8."/>
      <w:lvlJc w:val="left"/>
      <w:pPr>
        <w:ind w:left="5760" w:hanging="360"/>
      </w:pPr>
    </w:lvl>
    <w:lvl w:ilvl="8" w:tplc="F14EE0A4">
      <w:start w:val="1"/>
      <w:numFmt w:val="lowerRoman"/>
      <w:lvlText w:val="%9."/>
      <w:lvlJc w:val="right"/>
      <w:pPr>
        <w:ind w:left="6480" w:hanging="180"/>
      </w:pPr>
    </w:lvl>
  </w:abstractNum>
  <w:abstractNum w:abstractNumId="49" w15:restartNumberingAfterBreak="0">
    <w:nsid w:val="3CCF03F7"/>
    <w:multiLevelType w:val="hybridMultilevel"/>
    <w:tmpl w:val="BA7CDF2A"/>
    <w:lvl w:ilvl="0" w:tplc="3ED27ADC">
      <w:start w:val="1"/>
      <w:numFmt w:val="bullet"/>
      <w:lvlText w:val="-"/>
      <w:lvlJc w:val="left"/>
      <w:pPr>
        <w:ind w:left="720" w:hanging="360"/>
      </w:pPr>
      <w:rPr>
        <w:rFonts w:ascii="Calibri" w:hAnsi="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0" w15:restartNumberingAfterBreak="0">
    <w:nsid w:val="3DC14B49"/>
    <w:multiLevelType w:val="hybridMultilevel"/>
    <w:tmpl w:val="02388A08"/>
    <w:lvl w:ilvl="0" w:tplc="EF8ECD46">
      <w:start w:val="1"/>
      <w:numFmt w:val="lowerLetter"/>
      <w:lvlText w:val="%1)"/>
      <w:lvlJc w:val="left"/>
      <w:pPr>
        <w:ind w:left="720" w:hanging="360"/>
      </w:pPr>
    </w:lvl>
    <w:lvl w:ilvl="1" w:tplc="8FE4C1AE">
      <w:start w:val="1"/>
      <w:numFmt w:val="lowerLetter"/>
      <w:lvlText w:val="%2."/>
      <w:lvlJc w:val="left"/>
      <w:pPr>
        <w:ind w:left="1440" w:hanging="360"/>
      </w:pPr>
    </w:lvl>
    <w:lvl w:ilvl="2" w:tplc="AE14ABE6">
      <w:start w:val="1"/>
      <w:numFmt w:val="lowerRoman"/>
      <w:lvlText w:val="%3."/>
      <w:lvlJc w:val="right"/>
      <w:pPr>
        <w:ind w:left="2160" w:hanging="180"/>
      </w:pPr>
    </w:lvl>
    <w:lvl w:ilvl="3" w:tplc="1318EA22">
      <w:start w:val="1"/>
      <w:numFmt w:val="decimal"/>
      <w:lvlText w:val="%4."/>
      <w:lvlJc w:val="left"/>
      <w:pPr>
        <w:ind w:left="2880" w:hanging="360"/>
      </w:pPr>
    </w:lvl>
    <w:lvl w:ilvl="4" w:tplc="B8F4F4D8">
      <w:start w:val="1"/>
      <w:numFmt w:val="lowerLetter"/>
      <w:lvlText w:val="%5."/>
      <w:lvlJc w:val="left"/>
      <w:pPr>
        <w:ind w:left="3600" w:hanging="360"/>
      </w:pPr>
    </w:lvl>
    <w:lvl w:ilvl="5" w:tplc="864481CA">
      <w:start w:val="1"/>
      <w:numFmt w:val="lowerRoman"/>
      <w:lvlText w:val="%6."/>
      <w:lvlJc w:val="right"/>
      <w:pPr>
        <w:ind w:left="4320" w:hanging="180"/>
      </w:pPr>
    </w:lvl>
    <w:lvl w:ilvl="6" w:tplc="7FD2FEE6">
      <w:start w:val="1"/>
      <w:numFmt w:val="decimal"/>
      <w:lvlText w:val="%7."/>
      <w:lvlJc w:val="left"/>
      <w:pPr>
        <w:ind w:left="5040" w:hanging="360"/>
      </w:pPr>
    </w:lvl>
    <w:lvl w:ilvl="7" w:tplc="5982381C">
      <w:start w:val="1"/>
      <w:numFmt w:val="lowerLetter"/>
      <w:lvlText w:val="%8."/>
      <w:lvlJc w:val="left"/>
      <w:pPr>
        <w:ind w:left="5760" w:hanging="360"/>
      </w:pPr>
    </w:lvl>
    <w:lvl w:ilvl="8" w:tplc="EBC46E74">
      <w:start w:val="1"/>
      <w:numFmt w:val="lowerRoman"/>
      <w:lvlText w:val="%9."/>
      <w:lvlJc w:val="right"/>
      <w:pPr>
        <w:ind w:left="6480" w:hanging="180"/>
      </w:pPr>
    </w:lvl>
  </w:abstractNum>
  <w:abstractNum w:abstractNumId="5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2" w15:restartNumberingAfterBreak="0">
    <w:nsid w:val="42B67915"/>
    <w:multiLevelType w:val="hybridMultilevel"/>
    <w:tmpl w:val="D0E2FCF2"/>
    <w:lvl w:ilvl="0" w:tplc="3ED27ADC">
      <w:start w:val="1"/>
      <w:numFmt w:val="bullet"/>
      <w:lvlText w:val="-"/>
      <w:lvlJc w:val="left"/>
      <w:pPr>
        <w:ind w:left="720" w:hanging="360"/>
      </w:pPr>
      <w:rPr>
        <w:rFonts w:ascii="Calibri" w:hAnsi="Calibri" w:hint="default"/>
      </w:rPr>
    </w:lvl>
    <w:lvl w:ilvl="1" w:tplc="3ED27ADC">
      <w:start w:val="1"/>
      <w:numFmt w:val="bullet"/>
      <w:lvlText w:val="-"/>
      <w:lvlJc w:val="left"/>
      <w:pPr>
        <w:ind w:left="1440" w:hanging="360"/>
      </w:pPr>
      <w:rPr>
        <w:rFonts w:ascii="Calibri" w:hAnsi="Calibri"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54" w15:restartNumberingAfterBreak="0">
    <w:nsid w:val="44F23BFC"/>
    <w:multiLevelType w:val="multilevel"/>
    <w:tmpl w:val="A3AED892"/>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56" w15:restartNumberingAfterBreak="0">
    <w:nsid w:val="482027B7"/>
    <w:multiLevelType w:val="hybridMultilevel"/>
    <w:tmpl w:val="8CC4D812"/>
    <w:lvl w:ilvl="0" w:tplc="E0965CB6">
      <w:start w:val="1"/>
      <w:numFmt w:val="lowerLetter"/>
      <w:lvlText w:val="%1)"/>
      <w:lvlJc w:val="left"/>
      <w:pPr>
        <w:ind w:left="720" w:hanging="360"/>
      </w:pPr>
    </w:lvl>
    <w:lvl w:ilvl="1" w:tplc="2D5433E4">
      <w:start w:val="1"/>
      <w:numFmt w:val="lowerLetter"/>
      <w:lvlText w:val="%2."/>
      <w:lvlJc w:val="left"/>
      <w:pPr>
        <w:ind w:left="1440" w:hanging="360"/>
      </w:pPr>
    </w:lvl>
    <w:lvl w:ilvl="2" w:tplc="3F2AA804">
      <w:start w:val="1"/>
      <w:numFmt w:val="lowerRoman"/>
      <w:lvlText w:val="%3."/>
      <w:lvlJc w:val="right"/>
      <w:pPr>
        <w:ind w:left="2160" w:hanging="180"/>
      </w:pPr>
    </w:lvl>
    <w:lvl w:ilvl="3" w:tplc="4134C3B6">
      <w:start w:val="1"/>
      <w:numFmt w:val="decimal"/>
      <w:lvlText w:val="%4."/>
      <w:lvlJc w:val="left"/>
      <w:pPr>
        <w:ind w:left="2880" w:hanging="360"/>
      </w:pPr>
    </w:lvl>
    <w:lvl w:ilvl="4" w:tplc="D03C02D2">
      <w:start w:val="1"/>
      <w:numFmt w:val="lowerLetter"/>
      <w:lvlText w:val="%5."/>
      <w:lvlJc w:val="left"/>
      <w:pPr>
        <w:ind w:left="3600" w:hanging="360"/>
      </w:pPr>
    </w:lvl>
    <w:lvl w:ilvl="5" w:tplc="6DC823D6">
      <w:start w:val="1"/>
      <w:numFmt w:val="lowerRoman"/>
      <w:lvlText w:val="%6."/>
      <w:lvlJc w:val="right"/>
      <w:pPr>
        <w:ind w:left="4320" w:hanging="180"/>
      </w:pPr>
    </w:lvl>
    <w:lvl w:ilvl="6" w:tplc="2D3CBF64">
      <w:start w:val="1"/>
      <w:numFmt w:val="decimal"/>
      <w:lvlText w:val="%7."/>
      <w:lvlJc w:val="left"/>
      <w:pPr>
        <w:ind w:left="5040" w:hanging="360"/>
      </w:pPr>
    </w:lvl>
    <w:lvl w:ilvl="7" w:tplc="ED044B1E">
      <w:start w:val="1"/>
      <w:numFmt w:val="lowerLetter"/>
      <w:lvlText w:val="%8."/>
      <w:lvlJc w:val="left"/>
      <w:pPr>
        <w:ind w:left="5760" w:hanging="360"/>
      </w:pPr>
    </w:lvl>
    <w:lvl w:ilvl="8" w:tplc="24E01D34">
      <w:start w:val="1"/>
      <w:numFmt w:val="lowerRoman"/>
      <w:lvlText w:val="%9."/>
      <w:lvlJc w:val="right"/>
      <w:pPr>
        <w:ind w:left="6480" w:hanging="180"/>
      </w:pPr>
    </w:lvl>
  </w:abstractNum>
  <w:abstractNum w:abstractNumId="57" w15:restartNumberingAfterBreak="0">
    <w:nsid w:val="49544E1A"/>
    <w:multiLevelType w:val="hybridMultilevel"/>
    <w:tmpl w:val="E1BA1A00"/>
    <w:lvl w:ilvl="0" w:tplc="BE567798">
      <w:start w:val="1"/>
      <w:numFmt w:val="lowerLetter"/>
      <w:lvlText w:val="%1)"/>
      <w:lvlJc w:val="left"/>
      <w:pPr>
        <w:ind w:left="720" w:hanging="360"/>
      </w:pPr>
    </w:lvl>
    <w:lvl w:ilvl="1" w:tplc="80CEF5E8">
      <w:start w:val="1"/>
      <w:numFmt w:val="lowerLetter"/>
      <w:lvlText w:val="%2."/>
      <w:lvlJc w:val="left"/>
      <w:pPr>
        <w:ind w:left="1440" w:hanging="360"/>
      </w:pPr>
    </w:lvl>
    <w:lvl w:ilvl="2" w:tplc="8CE6E2AE">
      <w:start w:val="1"/>
      <w:numFmt w:val="lowerRoman"/>
      <w:lvlText w:val="%3."/>
      <w:lvlJc w:val="right"/>
      <w:pPr>
        <w:ind w:left="2160" w:hanging="180"/>
      </w:pPr>
    </w:lvl>
    <w:lvl w:ilvl="3" w:tplc="C108E8CE">
      <w:start w:val="1"/>
      <w:numFmt w:val="decimal"/>
      <w:lvlText w:val="%4."/>
      <w:lvlJc w:val="left"/>
      <w:pPr>
        <w:ind w:left="2880" w:hanging="360"/>
      </w:pPr>
    </w:lvl>
    <w:lvl w:ilvl="4" w:tplc="CE2CFAAC">
      <w:start w:val="1"/>
      <w:numFmt w:val="lowerLetter"/>
      <w:lvlText w:val="%5."/>
      <w:lvlJc w:val="left"/>
      <w:pPr>
        <w:ind w:left="3600" w:hanging="360"/>
      </w:pPr>
    </w:lvl>
    <w:lvl w:ilvl="5" w:tplc="521C7B00">
      <w:start w:val="1"/>
      <w:numFmt w:val="lowerRoman"/>
      <w:lvlText w:val="%6."/>
      <w:lvlJc w:val="right"/>
      <w:pPr>
        <w:ind w:left="4320" w:hanging="180"/>
      </w:pPr>
    </w:lvl>
    <w:lvl w:ilvl="6" w:tplc="2F9CDB5A">
      <w:start w:val="1"/>
      <w:numFmt w:val="decimal"/>
      <w:lvlText w:val="%7."/>
      <w:lvlJc w:val="left"/>
      <w:pPr>
        <w:ind w:left="5040" w:hanging="360"/>
      </w:pPr>
    </w:lvl>
    <w:lvl w:ilvl="7" w:tplc="A5ECCD44">
      <w:start w:val="1"/>
      <w:numFmt w:val="lowerLetter"/>
      <w:lvlText w:val="%8."/>
      <w:lvlJc w:val="left"/>
      <w:pPr>
        <w:ind w:left="5760" w:hanging="360"/>
      </w:pPr>
    </w:lvl>
    <w:lvl w:ilvl="8" w:tplc="2CB6AC66">
      <w:start w:val="1"/>
      <w:numFmt w:val="lowerRoman"/>
      <w:lvlText w:val="%9."/>
      <w:lvlJc w:val="right"/>
      <w:pPr>
        <w:ind w:left="6480" w:hanging="180"/>
      </w:pPr>
    </w:lvl>
  </w:abstractNum>
  <w:abstractNum w:abstractNumId="58" w15:restartNumberingAfterBreak="0">
    <w:nsid w:val="4AEF796F"/>
    <w:multiLevelType w:val="hybridMultilevel"/>
    <w:tmpl w:val="C9AA2962"/>
    <w:lvl w:ilvl="0" w:tplc="FF40F392">
      <w:start w:val="1"/>
      <w:numFmt w:val="lowerLetter"/>
      <w:lvlText w:val="%1)"/>
      <w:lvlJc w:val="left"/>
      <w:pPr>
        <w:ind w:left="720" w:hanging="360"/>
      </w:pPr>
    </w:lvl>
    <w:lvl w:ilvl="1" w:tplc="E3BC2938">
      <w:start w:val="1"/>
      <w:numFmt w:val="lowerLetter"/>
      <w:lvlText w:val="%2."/>
      <w:lvlJc w:val="left"/>
      <w:pPr>
        <w:ind w:left="1440" w:hanging="360"/>
      </w:pPr>
    </w:lvl>
    <w:lvl w:ilvl="2" w:tplc="CFCEBFB4">
      <w:start w:val="1"/>
      <w:numFmt w:val="lowerRoman"/>
      <w:lvlText w:val="%3."/>
      <w:lvlJc w:val="right"/>
      <w:pPr>
        <w:ind w:left="2160" w:hanging="180"/>
      </w:pPr>
    </w:lvl>
    <w:lvl w:ilvl="3" w:tplc="E5662C04">
      <w:start w:val="1"/>
      <w:numFmt w:val="decimal"/>
      <w:lvlText w:val="%4."/>
      <w:lvlJc w:val="left"/>
      <w:pPr>
        <w:ind w:left="2880" w:hanging="360"/>
      </w:pPr>
    </w:lvl>
    <w:lvl w:ilvl="4" w:tplc="1D3287D6">
      <w:start w:val="1"/>
      <w:numFmt w:val="lowerLetter"/>
      <w:lvlText w:val="%5."/>
      <w:lvlJc w:val="left"/>
      <w:pPr>
        <w:ind w:left="3600" w:hanging="360"/>
      </w:pPr>
    </w:lvl>
    <w:lvl w:ilvl="5" w:tplc="B55C2BA4">
      <w:start w:val="1"/>
      <w:numFmt w:val="lowerRoman"/>
      <w:lvlText w:val="%6."/>
      <w:lvlJc w:val="right"/>
      <w:pPr>
        <w:ind w:left="4320" w:hanging="180"/>
      </w:pPr>
    </w:lvl>
    <w:lvl w:ilvl="6" w:tplc="C11248F8">
      <w:start w:val="1"/>
      <w:numFmt w:val="decimal"/>
      <w:lvlText w:val="%7."/>
      <w:lvlJc w:val="left"/>
      <w:pPr>
        <w:ind w:left="5040" w:hanging="360"/>
      </w:pPr>
    </w:lvl>
    <w:lvl w:ilvl="7" w:tplc="BCEADA02">
      <w:start w:val="1"/>
      <w:numFmt w:val="lowerLetter"/>
      <w:lvlText w:val="%8."/>
      <w:lvlJc w:val="left"/>
      <w:pPr>
        <w:ind w:left="5760" w:hanging="360"/>
      </w:pPr>
    </w:lvl>
    <w:lvl w:ilvl="8" w:tplc="14D6D276">
      <w:start w:val="1"/>
      <w:numFmt w:val="lowerRoman"/>
      <w:lvlText w:val="%9."/>
      <w:lvlJc w:val="right"/>
      <w:pPr>
        <w:ind w:left="6480" w:hanging="180"/>
      </w:pPr>
    </w:lvl>
  </w:abstractNum>
  <w:abstractNum w:abstractNumId="59" w15:restartNumberingAfterBreak="0">
    <w:nsid w:val="4DD075FE"/>
    <w:multiLevelType w:val="hybridMultilevel"/>
    <w:tmpl w:val="B89A8B6A"/>
    <w:lvl w:ilvl="0" w:tplc="CCD210BC">
      <w:start w:val="1"/>
      <w:numFmt w:val="lowerLetter"/>
      <w:lvlText w:val="%1)"/>
      <w:lvlJc w:val="left"/>
      <w:pPr>
        <w:ind w:left="720" w:hanging="360"/>
      </w:pPr>
    </w:lvl>
    <w:lvl w:ilvl="1" w:tplc="778A67C6">
      <w:start w:val="1"/>
      <w:numFmt w:val="lowerLetter"/>
      <w:lvlText w:val="%2."/>
      <w:lvlJc w:val="left"/>
      <w:pPr>
        <w:ind w:left="1440" w:hanging="360"/>
      </w:pPr>
    </w:lvl>
    <w:lvl w:ilvl="2" w:tplc="B09007B0">
      <w:start w:val="1"/>
      <w:numFmt w:val="lowerRoman"/>
      <w:lvlText w:val="%3."/>
      <w:lvlJc w:val="right"/>
      <w:pPr>
        <w:ind w:left="2160" w:hanging="180"/>
      </w:pPr>
    </w:lvl>
    <w:lvl w:ilvl="3" w:tplc="5FE2C77C">
      <w:start w:val="1"/>
      <w:numFmt w:val="decimal"/>
      <w:lvlText w:val="%4."/>
      <w:lvlJc w:val="left"/>
      <w:pPr>
        <w:ind w:left="2880" w:hanging="360"/>
      </w:pPr>
    </w:lvl>
    <w:lvl w:ilvl="4" w:tplc="88DCFFFC">
      <w:start w:val="1"/>
      <w:numFmt w:val="lowerLetter"/>
      <w:lvlText w:val="%5."/>
      <w:lvlJc w:val="left"/>
      <w:pPr>
        <w:ind w:left="3600" w:hanging="360"/>
      </w:pPr>
    </w:lvl>
    <w:lvl w:ilvl="5" w:tplc="EE561D52">
      <w:start w:val="1"/>
      <w:numFmt w:val="lowerRoman"/>
      <w:lvlText w:val="%6."/>
      <w:lvlJc w:val="right"/>
      <w:pPr>
        <w:ind w:left="4320" w:hanging="180"/>
      </w:pPr>
    </w:lvl>
    <w:lvl w:ilvl="6" w:tplc="45428A60">
      <w:start w:val="1"/>
      <w:numFmt w:val="decimal"/>
      <w:lvlText w:val="%7."/>
      <w:lvlJc w:val="left"/>
      <w:pPr>
        <w:ind w:left="5040" w:hanging="360"/>
      </w:pPr>
    </w:lvl>
    <w:lvl w:ilvl="7" w:tplc="F0EC2A20">
      <w:start w:val="1"/>
      <w:numFmt w:val="lowerLetter"/>
      <w:lvlText w:val="%8."/>
      <w:lvlJc w:val="left"/>
      <w:pPr>
        <w:ind w:left="5760" w:hanging="360"/>
      </w:pPr>
    </w:lvl>
    <w:lvl w:ilvl="8" w:tplc="955C55D2">
      <w:start w:val="1"/>
      <w:numFmt w:val="lowerRoman"/>
      <w:lvlText w:val="%9."/>
      <w:lvlJc w:val="right"/>
      <w:pPr>
        <w:ind w:left="6480" w:hanging="180"/>
      </w:pPr>
    </w:lvl>
  </w:abstractNum>
  <w:abstractNum w:abstractNumId="60" w15:restartNumberingAfterBreak="0">
    <w:nsid w:val="4F9060B9"/>
    <w:multiLevelType w:val="hybridMultilevel"/>
    <w:tmpl w:val="52D40D22"/>
    <w:lvl w:ilvl="0" w:tplc="1AC69D2A">
      <w:start w:val="1"/>
      <w:numFmt w:val="lowerLetter"/>
      <w:lvlText w:val="%1)"/>
      <w:lvlJc w:val="left"/>
      <w:pPr>
        <w:ind w:left="360" w:hanging="360"/>
      </w:pPr>
    </w:lvl>
    <w:lvl w:ilvl="1" w:tplc="E6E44DFC">
      <w:start w:val="1"/>
      <w:numFmt w:val="lowerLetter"/>
      <w:lvlText w:val="%2."/>
      <w:lvlJc w:val="left"/>
      <w:pPr>
        <w:ind w:left="1080" w:hanging="360"/>
      </w:pPr>
    </w:lvl>
    <w:lvl w:ilvl="2" w:tplc="4BB60226">
      <w:start w:val="1"/>
      <w:numFmt w:val="lowerRoman"/>
      <w:lvlText w:val="%3."/>
      <w:lvlJc w:val="right"/>
      <w:pPr>
        <w:ind w:left="1800" w:hanging="180"/>
      </w:pPr>
    </w:lvl>
    <w:lvl w:ilvl="3" w:tplc="D5584ECC">
      <w:start w:val="1"/>
      <w:numFmt w:val="decimal"/>
      <w:lvlText w:val="%4."/>
      <w:lvlJc w:val="left"/>
      <w:pPr>
        <w:ind w:left="2520" w:hanging="360"/>
      </w:pPr>
    </w:lvl>
    <w:lvl w:ilvl="4" w:tplc="398E6874">
      <w:start w:val="1"/>
      <w:numFmt w:val="lowerLetter"/>
      <w:lvlText w:val="%5."/>
      <w:lvlJc w:val="left"/>
      <w:pPr>
        <w:ind w:left="3240" w:hanging="360"/>
      </w:pPr>
    </w:lvl>
    <w:lvl w:ilvl="5" w:tplc="9D347896">
      <w:start w:val="1"/>
      <w:numFmt w:val="lowerRoman"/>
      <w:lvlText w:val="%6."/>
      <w:lvlJc w:val="right"/>
      <w:pPr>
        <w:ind w:left="3960" w:hanging="180"/>
      </w:pPr>
    </w:lvl>
    <w:lvl w:ilvl="6" w:tplc="ACF848C2">
      <w:start w:val="1"/>
      <w:numFmt w:val="decimal"/>
      <w:lvlText w:val="%7."/>
      <w:lvlJc w:val="left"/>
      <w:pPr>
        <w:ind w:left="4680" w:hanging="360"/>
      </w:pPr>
    </w:lvl>
    <w:lvl w:ilvl="7" w:tplc="93B2B48A">
      <w:start w:val="1"/>
      <w:numFmt w:val="lowerLetter"/>
      <w:lvlText w:val="%8."/>
      <w:lvlJc w:val="left"/>
      <w:pPr>
        <w:ind w:left="5400" w:hanging="360"/>
      </w:pPr>
    </w:lvl>
    <w:lvl w:ilvl="8" w:tplc="BA4CA7E8">
      <w:start w:val="1"/>
      <w:numFmt w:val="lowerRoman"/>
      <w:lvlText w:val="%9."/>
      <w:lvlJc w:val="right"/>
      <w:pPr>
        <w:ind w:left="6120" w:hanging="180"/>
      </w:pPr>
    </w:lvl>
  </w:abstractNum>
  <w:abstractNum w:abstractNumId="61" w15:restartNumberingAfterBreak="0">
    <w:nsid w:val="4FB174EA"/>
    <w:multiLevelType w:val="hybridMultilevel"/>
    <w:tmpl w:val="26DC1D60"/>
    <w:lvl w:ilvl="0" w:tplc="6E6817C4">
      <w:start w:val="1"/>
      <w:numFmt w:val="lowerLetter"/>
      <w:lvlText w:val="%1)"/>
      <w:lvlJc w:val="left"/>
      <w:pPr>
        <w:ind w:left="720" w:hanging="360"/>
      </w:pPr>
    </w:lvl>
    <w:lvl w:ilvl="1" w:tplc="0E82DFA2">
      <w:start w:val="1"/>
      <w:numFmt w:val="lowerLetter"/>
      <w:lvlText w:val="%2."/>
      <w:lvlJc w:val="left"/>
      <w:pPr>
        <w:ind w:left="1440" w:hanging="360"/>
      </w:pPr>
    </w:lvl>
    <w:lvl w:ilvl="2" w:tplc="DF52C7A0">
      <w:start w:val="1"/>
      <w:numFmt w:val="lowerRoman"/>
      <w:lvlText w:val="%3."/>
      <w:lvlJc w:val="right"/>
      <w:pPr>
        <w:ind w:left="2160" w:hanging="180"/>
      </w:pPr>
    </w:lvl>
    <w:lvl w:ilvl="3" w:tplc="EBCA3C3C">
      <w:start w:val="1"/>
      <w:numFmt w:val="decimal"/>
      <w:lvlText w:val="%4."/>
      <w:lvlJc w:val="left"/>
      <w:pPr>
        <w:ind w:left="2880" w:hanging="360"/>
      </w:pPr>
    </w:lvl>
    <w:lvl w:ilvl="4" w:tplc="14E01428">
      <w:start w:val="1"/>
      <w:numFmt w:val="lowerLetter"/>
      <w:lvlText w:val="%5."/>
      <w:lvlJc w:val="left"/>
      <w:pPr>
        <w:ind w:left="3600" w:hanging="360"/>
      </w:pPr>
    </w:lvl>
    <w:lvl w:ilvl="5" w:tplc="A8345C60">
      <w:start w:val="1"/>
      <w:numFmt w:val="lowerRoman"/>
      <w:lvlText w:val="%6."/>
      <w:lvlJc w:val="right"/>
      <w:pPr>
        <w:ind w:left="4320" w:hanging="180"/>
      </w:pPr>
    </w:lvl>
    <w:lvl w:ilvl="6" w:tplc="23CA4568">
      <w:start w:val="1"/>
      <w:numFmt w:val="decimal"/>
      <w:lvlText w:val="%7."/>
      <w:lvlJc w:val="left"/>
      <w:pPr>
        <w:ind w:left="5040" w:hanging="360"/>
      </w:pPr>
    </w:lvl>
    <w:lvl w:ilvl="7" w:tplc="1EFCFD94">
      <w:start w:val="1"/>
      <w:numFmt w:val="lowerLetter"/>
      <w:lvlText w:val="%8."/>
      <w:lvlJc w:val="left"/>
      <w:pPr>
        <w:ind w:left="5760" w:hanging="360"/>
      </w:pPr>
    </w:lvl>
    <w:lvl w:ilvl="8" w:tplc="9CE451F0">
      <w:start w:val="1"/>
      <w:numFmt w:val="lowerRoman"/>
      <w:lvlText w:val="%9."/>
      <w:lvlJc w:val="right"/>
      <w:pPr>
        <w:ind w:left="6480" w:hanging="180"/>
      </w:pPr>
    </w:lvl>
  </w:abstractNum>
  <w:abstractNum w:abstractNumId="62" w15:restartNumberingAfterBreak="0">
    <w:nsid w:val="523E4E9E"/>
    <w:multiLevelType w:val="hybridMultilevel"/>
    <w:tmpl w:val="439E8C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524F64E5"/>
    <w:multiLevelType w:val="hybridMultilevel"/>
    <w:tmpl w:val="CF42B4C8"/>
    <w:lvl w:ilvl="0" w:tplc="3ED27ADC">
      <w:start w:val="1"/>
      <w:numFmt w:val="bullet"/>
      <w:lvlText w:val="-"/>
      <w:lvlJc w:val="left"/>
      <w:pPr>
        <w:ind w:left="720" w:hanging="360"/>
      </w:pPr>
      <w:rPr>
        <w:rFonts w:ascii="Calibri" w:hAnsi="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4" w15:restartNumberingAfterBreak="0">
    <w:nsid w:val="52D753BD"/>
    <w:multiLevelType w:val="hybridMultilevel"/>
    <w:tmpl w:val="5ECC2444"/>
    <w:lvl w:ilvl="0" w:tplc="8612C294">
      <w:start w:val="1"/>
      <w:numFmt w:val="lowerLetter"/>
      <w:lvlText w:val="%1)"/>
      <w:lvlJc w:val="left"/>
      <w:pPr>
        <w:ind w:left="720" w:hanging="360"/>
      </w:pPr>
    </w:lvl>
    <w:lvl w:ilvl="1" w:tplc="3CEEDAB8">
      <w:start w:val="1"/>
      <w:numFmt w:val="lowerLetter"/>
      <w:lvlText w:val="%2."/>
      <w:lvlJc w:val="left"/>
      <w:pPr>
        <w:ind w:left="1440" w:hanging="360"/>
      </w:pPr>
    </w:lvl>
    <w:lvl w:ilvl="2" w:tplc="4106F15C">
      <w:start w:val="1"/>
      <w:numFmt w:val="lowerRoman"/>
      <w:lvlText w:val="%3."/>
      <w:lvlJc w:val="right"/>
      <w:pPr>
        <w:ind w:left="2160" w:hanging="180"/>
      </w:pPr>
    </w:lvl>
    <w:lvl w:ilvl="3" w:tplc="E68C5034">
      <w:start w:val="1"/>
      <w:numFmt w:val="decimal"/>
      <w:lvlText w:val="%4."/>
      <w:lvlJc w:val="left"/>
      <w:pPr>
        <w:ind w:left="2880" w:hanging="360"/>
      </w:pPr>
    </w:lvl>
    <w:lvl w:ilvl="4" w:tplc="50706B60">
      <w:start w:val="1"/>
      <w:numFmt w:val="lowerLetter"/>
      <w:lvlText w:val="%5."/>
      <w:lvlJc w:val="left"/>
      <w:pPr>
        <w:ind w:left="3600" w:hanging="360"/>
      </w:pPr>
    </w:lvl>
    <w:lvl w:ilvl="5" w:tplc="D5BAB884">
      <w:start w:val="1"/>
      <w:numFmt w:val="lowerRoman"/>
      <w:lvlText w:val="%6."/>
      <w:lvlJc w:val="right"/>
      <w:pPr>
        <w:ind w:left="4320" w:hanging="180"/>
      </w:pPr>
    </w:lvl>
    <w:lvl w:ilvl="6" w:tplc="445CCBE8">
      <w:start w:val="1"/>
      <w:numFmt w:val="decimal"/>
      <w:lvlText w:val="%7."/>
      <w:lvlJc w:val="left"/>
      <w:pPr>
        <w:ind w:left="5040" w:hanging="360"/>
      </w:pPr>
    </w:lvl>
    <w:lvl w:ilvl="7" w:tplc="3E98A2C2">
      <w:start w:val="1"/>
      <w:numFmt w:val="lowerLetter"/>
      <w:lvlText w:val="%8."/>
      <w:lvlJc w:val="left"/>
      <w:pPr>
        <w:ind w:left="5760" w:hanging="360"/>
      </w:pPr>
    </w:lvl>
    <w:lvl w:ilvl="8" w:tplc="5902F34E">
      <w:start w:val="1"/>
      <w:numFmt w:val="lowerRoman"/>
      <w:lvlText w:val="%9."/>
      <w:lvlJc w:val="right"/>
      <w:pPr>
        <w:ind w:left="6480" w:hanging="180"/>
      </w:pPr>
    </w:lvl>
  </w:abstractNum>
  <w:abstractNum w:abstractNumId="65" w15:restartNumberingAfterBreak="0">
    <w:nsid w:val="533E2885"/>
    <w:multiLevelType w:val="hybridMultilevel"/>
    <w:tmpl w:val="5D2CF08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6" w15:restartNumberingAfterBreak="0">
    <w:nsid w:val="54D8E908"/>
    <w:multiLevelType w:val="hybridMultilevel"/>
    <w:tmpl w:val="9D1000EC"/>
    <w:lvl w:ilvl="0" w:tplc="D25A7C1C">
      <w:start w:val="1"/>
      <w:numFmt w:val="upperLetter"/>
      <w:lvlText w:val="%1)"/>
      <w:lvlJc w:val="left"/>
      <w:pPr>
        <w:ind w:left="720" w:hanging="360"/>
      </w:pPr>
    </w:lvl>
    <w:lvl w:ilvl="1" w:tplc="E438E6DA">
      <w:start w:val="1"/>
      <w:numFmt w:val="lowerLetter"/>
      <w:lvlText w:val="%2."/>
      <w:lvlJc w:val="left"/>
      <w:pPr>
        <w:ind w:left="1440" w:hanging="360"/>
      </w:pPr>
    </w:lvl>
    <w:lvl w:ilvl="2" w:tplc="FE8AAE9E">
      <w:start w:val="1"/>
      <w:numFmt w:val="lowerRoman"/>
      <w:lvlText w:val="%3."/>
      <w:lvlJc w:val="right"/>
      <w:pPr>
        <w:ind w:left="2160" w:hanging="180"/>
      </w:pPr>
    </w:lvl>
    <w:lvl w:ilvl="3" w:tplc="670EFD86">
      <w:start w:val="1"/>
      <w:numFmt w:val="decimal"/>
      <w:lvlText w:val="%4."/>
      <w:lvlJc w:val="left"/>
      <w:pPr>
        <w:ind w:left="2880" w:hanging="360"/>
      </w:pPr>
    </w:lvl>
    <w:lvl w:ilvl="4" w:tplc="B1C8F2A4">
      <w:start w:val="1"/>
      <w:numFmt w:val="lowerLetter"/>
      <w:lvlText w:val="%5."/>
      <w:lvlJc w:val="left"/>
      <w:pPr>
        <w:ind w:left="3600" w:hanging="360"/>
      </w:pPr>
    </w:lvl>
    <w:lvl w:ilvl="5" w:tplc="1A325338">
      <w:start w:val="1"/>
      <w:numFmt w:val="lowerRoman"/>
      <w:lvlText w:val="%6."/>
      <w:lvlJc w:val="right"/>
      <w:pPr>
        <w:ind w:left="4320" w:hanging="180"/>
      </w:pPr>
    </w:lvl>
    <w:lvl w:ilvl="6" w:tplc="E5322CBA">
      <w:start w:val="1"/>
      <w:numFmt w:val="decimal"/>
      <w:lvlText w:val="%7."/>
      <w:lvlJc w:val="left"/>
      <w:pPr>
        <w:ind w:left="5040" w:hanging="360"/>
      </w:pPr>
    </w:lvl>
    <w:lvl w:ilvl="7" w:tplc="5C86DD24">
      <w:start w:val="1"/>
      <w:numFmt w:val="lowerLetter"/>
      <w:lvlText w:val="%8."/>
      <w:lvlJc w:val="left"/>
      <w:pPr>
        <w:ind w:left="5760" w:hanging="360"/>
      </w:pPr>
    </w:lvl>
    <w:lvl w:ilvl="8" w:tplc="69905700">
      <w:start w:val="1"/>
      <w:numFmt w:val="lowerRoman"/>
      <w:lvlText w:val="%9."/>
      <w:lvlJc w:val="right"/>
      <w:pPr>
        <w:ind w:left="6480" w:hanging="180"/>
      </w:pPr>
    </w:lvl>
  </w:abstractNum>
  <w:abstractNum w:abstractNumId="6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68" w15:restartNumberingAfterBreak="0">
    <w:nsid w:val="56220EDE"/>
    <w:multiLevelType w:val="hybridMultilevel"/>
    <w:tmpl w:val="2376DCEE"/>
    <w:lvl w:ilvl="0" w:tplc="36B41FE4">
      <w:start w:val="1"/>
      <w:numFmt w:val="lowerLetter"/>
      <w:lvlText w:val="%1)"/>
      <w:lvlJc w:val="left"/>
      <w:pPr>
        <w:ind w:left="360" w:hanging="360"/>
      </w:pPr>
      <w:rPr>
        <w:color w:val="4F6228" w:themeColor="accent3" w:themeShade="80"/>
      </w:rPr>
    </w:lvl>
    <w:lvl w:ilvl="1" w:tplc="0B0E6DB6">
      <w:start w:val="1"/>
      <w:numFmt w:val="lowerLetter"/>
      <w:lvlText w:val="%2."/>
      <w:lvlJc w:val="left"/>
      <w:pPr>
        <w:ind w:left="1080" w:hanging="360"/>
      </w:pPr>
    </w:lvl>
    <w:lvl w:ilvl="2" w:tplc="48B00FA8">
      <w:start w:val="1"/>
      <w:numFmt w:val="lowerRoman"/>
      <w:lvlText w:val="%3."/>
      <w:lvlJc w:val="right"/>
      <w:pPr>
        <w:ind w:left="1800" w:hanging="180"/>
      </w:pPr>
    </w:lvl>
    <w:lvl w:ilvl="3" w:tplc="FFE832FA">
      <w:start w:val="1"/>
      <w:numFmt w:val="decimal"/>
      <w:lvlText w:val="%4."/>
      <w:lvlJc w:val="left"/>
      <w:pPr>
        <w:ind w:left="2520" w:hanging="360"/>
      </w:pPr>
    </w:lvl>
    <w:lvl w:ilvl="4" w:tplc="0E9839DE">
      <w:start w:val="1"/>
      <w:numFmt w:val="lowerLetter"/>
      <w:lvlText w:val="%5."/>
      <w:lvlJc w:val="left"/>
      <w:pPr>
        <w:ind w:left="3240" w:hanging="360"/>
      </w:pPr>
    </w:lvl>
    <w:lvl w:ilvl="5" w:tplc="47003344">
      <w:start w:val="1"/>
      <w:numFmt w:val="lowerRoman"/>
      <w:lvlText w:val="%6."/>
      <w:lvlJc w:val="right"/>
      <w:pPr>
        <w:ind w:left="3960" w:hanging="180"/>
      </w:pPr>
    </w:lvl>
    <w:lvl w:ilvl="6" w:tplc="2162F2EE">
      <w:start w:val="1"/>
      <w:numFmt w:val="decimal"/>
      <w:lvlText w:val="%7."/>
      <w:lvlJc w:val="left"/>
      <w:pPr>
        <w:ind w:left="4680" w:hanging="360"/>
      </w:pPr>
    </w:lvl>
    <w:lvl w:ilvl="7" w:tplc="4F0611B4">
      <w:start w:val="1"/>
      <w:numFmt w:val="lowerLetter"/>
      <w:lvlText w:val="%8."/>
      <w:lvlJc w:val="left"/>
      <w:pPr>
        <w:ind w:left="5400" w:hanging="360"/>
      </w:pPr>
    </w:lvl>
    <w:lvl w:ilvl="8" w:tplc="65920168">
      <w:start w:val="1"/>
      <w:numFmt w:val="lowerRoman"/>
      <w:lvlText w:val="%9."/>
      <w:lvlJc w:val="right"/>
      <w:pPr>
        <w:ind w:left="6120" w:hanging="180"/>
      </w:pPr>
    </w:lvl>
  </w:abstractNum>
  <w:abstractNum w:abstractNumId="69" w15:restartNumberingAfterBreak="0">
    <w:nsid w:val="58D1196F"/>
    <w:multiLevelType w:val="hybridMultilevel"/>
    <w:tmpl w:val="BF5242B4"/>
    <w:lvl w:ilvl="0" w:tplc="7DACD7B4">
      <w:start w:val="1"/>
      <w:numFmt w:val="lowerLetter"/>
      <w:lvlText w:val="%1)"/>
      <w:lvlJc w:val="left"/>
      <w:pPr>
        <w:ind w:left="720" w:hanging="360"/>
      </w:pPr>
    </w:lvl>
    <w:lvl w:ilvl="1" w:tplc="9312C210">
      <w:start w:val="1"/>
      <w:numFmt w:val="lowerLetter"/>
      <w:lvlText w:val="%2."/>
      <w:lvlJc w:val="left"/>
      <w:pPr>
        <w:ind w:left="1440" w:hanging="360"/>
      </w:pPr>
    </w:lvl>
    <w:lvl w:ilvl="2" w:tplc="52B8E4D6">
      <w:start w:val="1"/>
      <w:numFmt w:val="lowerRoman"/>
      <w:lvlText w:val="%3."/>
      <w:lvlJc w:val="right"/>
      <w:pPr>
        <w:ind w:left="2160" w:hanging="180"/>
      </w:pPr>
    </w:lvl>
    <w:lvl w:ilvl="3" w:tplc="A01A9BCC">
      <w:start w:val="1"/>
      <w:numFmt w:val="decimal"/>
      <w:lvlText w:val="%4."/>
      <w:lvlJc w:val="left"/>
      <w:pPr>
        <w:ind w:left="2880" w:hanging="360"/>
      </w:pPr>
    </w:lvl>
    <w:lvl w:ilvl="4" w:tplc="73261148">
      <w:start w:val="1"/>
      <w:numFmt w:val="lowerLetter"/>
      <w:lvlText w:val="%5."/>
      <w:lvlJc w:val="left"/>
      <w:pPr>
        <w:ind w:left="3600" w:hanging="360"/>
      </w:pPr>
    </w:lvl>
    <w:lvl w:ilvl="5" w:tplc="548854C2">
      <w:start w:val="1"/>
      <w:numFmt w:val="lowerRoman"/>
      <w:lvlText w:val="%6."/>
      <w:lvlJc w:val="right"/>
      <w:pPr>
        <w:ind w:left="4320" w:hanging="180"/>
      </w:pPr>
    </w:lvl>
    <w:lvl w:ilvl="6" w:tplc="229C43EA">
      <w:start w:val="1"/>
      <w:numFmt w:val="decimal"/>
      <w:lvlText w:val="%7."/>
      <w:lvlJc w:val="left"/>
      <w:pPr>
        <w:ind w:left="5040" w:hanging="360"/>
      </w:pPr>
    </w:lvl>
    <w:lvl w:ilvl="7" w:tplc="FAB486CC">
      <w:start w:val="1"/>
      <w:numFmt w:val="lowerLetter"/>
      <w:lvlText w:val="%8."/>
      <w:lvlJc w:val="left"/>
      <w:pPr>
        <w:ind w:left="5760" w:hanging="360"/>
      </w:pPr>
    </w:lvl>
    <w:lvl w:ilvl="8" w:tplc="C25A8C16">
      <w:start w:val="1"/>
      <w:numFmt w:val="lowerRoman"/>
      <w:lvlText w:val="%9."/>
      <w:lvlJc w:val="right"/>
      <w:pPr>
        <w:ind w:left="6480" w:hanging="180"/>
      </w:pPr>
    </w:lvl>
  </w:abstractNum>
  <w:abstractNum w:abstractNumId="70" w15:restartNumberingAfterBreak="0">
    <w:nsid w:val="59194AE8"/>
    <w:multiLevelType w:val="hybridMultilevel"/>
    <w:tmpl w:val="E5906D6A"/>
    <w:lvl w:ilvl="0" w:tplc="061E2536">
      <w:start w:val="1"/>
      <w:numFmt w:val="lowerLetter"/>
      <w:lvlText w:val="%1)"/>
      <w:lvlJc w:val="left"/>
      <w:pPr>
        <w:ind w:left="360" w:hanging="360"/>
      </w:pPr>
      <w:rPr>
        <w:color w:val="4F6228" w:themeColor="accent3" w:themeShade="80"/>
      </w:rPr>
    </w:lvl>
    <w:lvl w:ilvl="1" w:tplc="EBD60AD4">
      <w:start w:val="1"/>
      <w:numFmt w:val="lowerLetter"/>
      <w:lvlText w:val="%2."/>
      <w:lvlJc w:val="left"/>
      <w:pPr>
        <w:ind w:left="1080" w:hanging="360"/>
      </w:pPr>
    </w:lvl>
    <w:lvl w:ilvl="2" w:tplc="ADAC0B7E">
      <w:start w:val="1"/>
      <w:numFmt w:val="lowerRoman"/>
      <w:lvlText w:val="%3."/>
      <w:lvlJc w:val="right"/>
      <w:pPr>
        <w:ind w:left="1800" w:hanging="180"/>
      </w:pPr>
    </w:lvl>
    <w:lvl w:ilvl="3" w:tplc="2B4A1EB0">
      <w:start w:val="1"/>
      <w:numFmt w:val="decimal"/>
      <w:lvlText w:val="%4."/>
      <w:lvlJc w:val="left"/>
      <w:pPr>
        <w:ind w:left="2520" w:hanging="360"/>
      </w:pPr>
    </w:lvl>
    <w:lvl w:ilvl="4" w:tplc="9E4AED1C">
      <w:start w:val="1"/>
      <w:numFmt w:val="lowerLetter"/>
      <w:lvlText w:val="%5."/>
      <w:lvlJc w:val="left"/>
      <w:pPr>
        <w:ind w:left="3240" w:hanging="360"/>
      </w:pPr>
    </w:lvl>
    <w:lvl w:ilvl="5" w:tplc="E45E8814">
      <w:start w:val="1"/>
      <w:numFmt w:val="lowerRoman"/>
      <w:lvlText w:val="%6."/>
      <w:lvlJc w:val="right"/>
      <w:pPr>
        <w:ind w:left="3960" w:hanging="180"/>
      </w:pPr>
    </w:lvl>
    <w:lvl w:ilvl="6" w:tplc="FD78B216">
      <w:start w:val="1"/>
      <w:numFmt w:val="decimal"/>
      <w:lvlText w:val="%7."/>
      <w:lvlJc w:val="left"/>
      <w:pPr>
        <w:ind w:left="4680" w:hanging="360"/>
      </w:pPr>
    </w:lvl>
    <w:lvl w:ilvl="7" w:tplc="8B20E1A4">
      <w:start w:val="1"/>
      <w:numFmt w:val="lowerLetter"/>
      <w:lvlText w:val="%8."/>
      <w:lvlJc w:val="left"/>
      <w:pPr>
        <w:ind w:left="5400" w:hanging="360"/>
      </w:pPr>
    </w:lvl>
    <w:lvl w:ilvl="8" w:tplc="F40AE442">
      <w:start w:val="1"/>
      <w:numFmt w:val="lowerRoman"/>
      <w:lvlText w:val="%9."/>
      <w:lvlJc w:val="right"/>
      <w:pPr>
        <w:ind w:left="6120" w:hanging="180"/>
      </w:pPr>
    </w:lvl>
  </w:abstractNum>
  <w:abstractNum w:abstractNumId="71" w15:restartNumberingAfterBreak="0">
    <w:nsid w:val="591D0000"/>
    <w:multiLevelType w:val="multilevel"/>
    <w:tmpl w:val="74E88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5977773F"/>
    <w:multiLevelType w:val="multilevel"/>
    <w:tmpl w:val="6C705E5E"/>
    <w:lvl w:ilvl="0">
      <w:start w:val="1"/>
      <w:numFmt w:val="decimal"/>
      <w:lvlText w:val="%1."/>
      <w:lvlJc w:val="left"/>
      <w:pPr>
        <w:ind w:left="1069" w:hanging="360"/>
      </w:pPr>
      <w:rPr>
        <w:rFonts w:hint="default"/>
      </w:rPr>
    </w:lvl>
    <w:lvl w:ilvl="1">
      <w:start w:val="1"/>
      <w:numFmt w:val="decimal"/>
      <w:lvlText w:val="1.%2."/>
      <w:lvlJc w:val="left"/>
      <w:pPr>
        <w:ind w:left="1141" w:hanging="432"/>
      </w:pPr>
      <w:rPr>
        <w:rFonts w:hint="default"/>
        <w:b w:val="0"/>
        <w:i w:val="0"/>
        <w:color w:val="auto"/>
      </w:rPr>
    </w:lvl>
    <w:lvl w:ilvl="2">
      <w:start w:val="1"/>
      <w:numFmt w:val="decimal"/>
      <w:lvlText w:val="%1.%2.%3."/>
      <w:lvlJc w:val="left"/>
      <w:pPr>
        <w:ind w:left="1933" w:hanging="504"/>
      </w:pPr>
      <w:rPr>
        <w:rFonts w:hint="default"/>
      </w:rPr>
    </w:lvl>
    <w:lvl w:ilvl="3">
      <w:start w:val="1"/>
      <w:numFmt w:val="decimal"/>
      <w:lvlText w:val="%1.%2.%3.%4."/>
      <w:lvlJc w:val="left"/>
      <w:pPr>
        <w:ind w:left="2437" w:hanging="648"/>
      </w:pPr>
      <w:rPr>
        <w:rFonts w:hint="default"/>
      </w:rPr>
    </w:lvl>
    <w:lvl w:ilvl="4">
      <w:start w:val="1"/>
      <w:numFmt w:val="decimal"/>
      <w:lvlText w:val="%1.%2.%3.%4.%5."/>
      <w:lvlJc w:val="left"/>
      <w:pPr>
        <w:ind w:left="2941" w:hanging="792"/>
      </w:pPr>
      <w:rPr>
        <w:rFonts w:hint="default"/>
      </w:rPr>
    </w:lvl>
    <w:lvl w:ilvl="5">
      <w:start w:val="1"/>
      <w:numFmt w:val="decimal"/>
      <w:lvlText w:val="%1.%2.%3.%4.%5.%6."/>
      <w:lvlJc w:val="left"/>
      <w:pPr>
        <w:ind w:left="3445" w:hanging="936"/>
      </w:pPr>
      <w:rPr>
        <w:rFonts w:hint="default"/>
      </w:rPr>
    </w:lvl>
    <w:lvl w:ilvl="6">
      <w:start w:val="1"/>
      <w:numFmt w:val="decimal"/>
      <w:lvlText w:val="%1.%2.%3.%4.%5.%6.%7."/>
      <w:lvlJc w:val="left"/>
      <w:pPr>
        <w:ind w:left="3949" w:hanging="1080"/>
      </w:pPr>
      <w:rPr>
        <w:rFonts w:hint="default"/>
      </w:rPr>
    </w:lvl>
    <w:lvl w:ilvl="7">
      <w:start w:val="1"/>
      <w:numFmt w:val="decimal"/>
      <w:lvlText w:val="%1.%2.%3.%4.%5.%6.%7.%8."/>
      <w:lvlJc w:val="left"/>
      <w:pPr>
        <w:ind w:left="4453" w:hanging="1224"/>
      </w:pPr>
      <w:rPr>
        <w:rFonts w:hint="default"/>
      </w:rPr>
    </w:lvl>
    <w:lvl w:ilvl="8">
      <w:start w:val="1"/>
      <w:numFmt w:val="decimal"/>
      <w:lvlText w:val="%1.%2.%3.%4.%5.%6.%7.%8.%9."/>
      <w:lvlJc w:val="left"/>
      <w:pPr>
        <w:ind w:left="5029" w:hanging="1440"/>
      </w:pPr>
      <w:rPr>
        <w:rFonts w:hint="default"/>
      </w:rPr>
    </w:lvl>
  </w:abstractNum>
  <w:abstractNum w:abstractNumId="73" w15:restartNumberingAfterBreak="0">
    <w:nsid w:val="5AF4048F"/>
    <w:multiLevelType w:val="hybridMultilevel"/>
    <w:tmpl w:val="0F162D7C"/>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4" w15:restartNumberingAfterBreak="0">
    <w:nsid w:val="5B395AAA"/>
    <w:multiLevelType w:val="singleLevel"/>
    <w:tmpl w:val="96D02E8A"/>
    <w:name w:val="Bullet 1"/>
    <w:lvl w:ilvl="0">
      <w:start w:val="1"/>
      <w:numFmt w:val="bullet"/>
      <w:lvlRestart w:val="0"/>
      <w:lvlText w:val=""/>
      <w:lvlJc w:val="left"/>
      <w:pPr>
        <w:tabs>
          <w:tab w:val="num" w:pos="1417"/>
        </w:tabs>
        <w:ind w:left="1417" w:hanging="567"/>
      </w:pPr>
      <w:rPr>
        <w:rFonts w:ascii="Symbol" w:hAnsi="Symbol" w:hint="default"/>
      </w:rPr>
    </w:lvl>
  </w:abstractNum>
  <w:abstractNum w:abstractNumId="75" w15:restartNumberingAfterBreak="0">
    <w:nsid w:val="5B64631D"/>
    <w:multiLevelType w:val="hybridMultilevel"/>
    <w:tmpl w:val="21D2F482"/>
    <w:lvl w:ilvl="0" w:tplc="CA500D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5BAC1872"/>
    <w:multiLevelType w:val="hybridMultilevel"/>
    <w:tmpl w:val="038C80B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7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79" w15:restartNumberingAfterBreak="0">
    <w:nsid w:val="5D9146BF"/>
    <w:multiLevelType w:val="hybridMultilevel"/>
    <w:tmpl w:val="AC7815AC"/>
    <w:lvl w:ilvl="0" w:tplc="C0783926">
      <w:start w:val="1"/>
      <w:numFmt w:val="lowerLetter"/>
      <w:lvlText w:val="%1)"/>
      <w:lvlJc w:val="left"/>
      <w:pPr>
        <w:ind w:left="720" w:hanging="360"/>
      </w:pPr>
    </w:lvl>
    <w:lvl w:ilvl="1" w:tplc="E4BC9010">
      <w:start w:val="1"/>
      <w:numFmt w:val="lowerLetter"/>
      <w:lvlText w:val="%2."/>
      <w:lvlJc w:val="left"/>
      <w:pPr>
        <w:ind w:left="1440" w:hanging="360"/>
      </w:pPr>
    </w:lvl>
    <w:lvl w:ilvl="2" w:tplc="3C12D61E">
      <w:start w:val="1"/>
      <w:numFmt w:val="lowerRoman"/>
      <w:lvlText w:val="%3."/>
      <w:lvlJc w:val="right"/>
      <w:pPr>
        <w:ind w:left="2160" w:hanging="180"/>
      </w:pPr>
    </w:lvl>
    <w:lvl w:ilvl="3" w:tplc="CB0C2A58">
      <w:start w:val="1"/>
      <w:numFmt w:val="decimal"/>
      <w:lvlText w:val="%4."/>
      <w:lvlJc w:val="left"/>
      <w:pPr>
        <w:ind w:left="2880" w:hanging="360"/>
      </w:pPr>
    </w:lvl>
    <w:lvl w:ilvl="4" w:tplc="F794989E">
      <w:start w:val="1"/>
      <w:numFmt w:val="lowerLetter"/>
      <w:lvlText w:val="%5."/>
      <w:lvlJc w:val="left"/>
      <w:pPr>
        <w:ind w:left="3600" w:hanging="360"/>
      </w:pPr>
    </w:lvl>
    <w:lvl w:ilvl="5" w:tplc="7ED09848">
      <w:start w:val="1"/>
      <w:numFmt w:val="lowerRoman"/>
      <w:lvlText w:val="%6."/>
      <w:lvlJc w:val="right"/>
      <w:pPr>
        <w:ind w:left="4320" w:hanging="180"/>
      </w:pPr>
    </w:lvl>
    <w:lvl w:ilvl="6" w:tplc="70062D02">
      <w:start w:val="1"/>
      <w:numFmt w:val="decimal"/>
      <w:lvlText w:val="%7."/>
      <w:lvlJc w:val="left"/>
      <w:pPr>
        <w:ind w:left="5040" w:hanging="360"/>
      </w:pPr>
    </w:lvl>
    <w:lvl w:ilvl="7" w:tplc="04AC7232">
      <w:start w:val="1"/>
      <w:numFmt w:val="lowerLetter"/>
      <w:lvlText w:val="%8."/>
      <w:lvlJc w:val="left"/>
      <w:pPr>
        <w:ind w:left="5760" w:hanging="360"/>
      </w:pPr>
    </w:lvl>
    <w:lvl w:ilvl="8" w:tplc="7096A056">
      <w:start w:val="1"/>
      <w:numFmt w:val="lowerRoman"/>
      <w:lvlText w:val="%9."/>
      <w:lvlJc w:val="right"/>
      <w:pPr>
        <w:ind w:left="6480" w:hanging="180"/>
      </w:pPr>
    </w:lvl>
  </w:abstractNum>
  <w:abstractNum w:abstractNumId="80" w15:restartNumberingAfterBreak="0">
    <w:nsid w:val="5E7A38C9"/>
    <w:multiLevelType w:val="hybridMultilevel"/>
    <w:tmpl w:val="803E5998"/>
    <w:lvl w:ilvl="0" w:tplc="DBB419B2">
      <w:start w:val="1"/>
      <w:numFmt w:val="lowerRoman"/>
      <w:lvlText w:val="%1)"/>
      <w:lvlJc w:val="left"/>
      <w:pPr>
        <w:ind w:left="720" w:hanging="360"/>
      </w:pPr>
      <w:rPr>
        <w:rFonts w:cstheme="minorHAns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1" w15:restartNumberingAfterBreak="0">
    <w:nsid w:val="5E7E5E94"/>
    <w:multiLevelType w:val="hybridMultilevel"/>
    <w:tmpl w:val="2E748758"/>
    <w:lvl w:ilvl="0" w:tplc="C038967A">
      <w:start w:val="1"/>
      <w:numFmt w:val="lowerLetter"/>
      <w:lvlText w:val="%1)"/>
      <w:lvlJc w:val="left"/>
      <w:pPr>
        <w:ind w:left="720" w:hanging="360"/>
      </w:pPr>
    </w:lvl>
    <w:lvl w:ilvl="1" w:tplc="4F2E2A1C">
      <w:start w:val="1"/>
      <w:numFmt w:val="lowerLetter"/>
      <w:lvlText w:val="%2."/>
      <w:lvlJc w:val="left"/>
      <w:pPr>
        <w:ind w:left="1440" w:hanging="360"/>
      </w:pPr>
    </w:lvl>
    <w:lvl w:ilvl="2" w:tplc="DF72AF06">
      <w:start w:val="1"/>
      <w:numFmt w:val="lowerRoman"/>
      <w:lvlText w:val="%3."/>
      <w:lvlJc w:val="right"/>
      <w:pPr>
        <w:ind w:left="2160" w:hanging="180"/>
      </w:pPr>
    </w:lvl>
    <w:lvl w:ilvl="3" w:tplc="E46A6ED8">
      <w:start w:val="1"/>
      <w:numFmt w:val="decimal"/>
      <w:lvlText w:val="%4."/>
      <w:lvlJc w:val="left"/>
      <w:pPr>
        <w:ind w:left="2880" w:hanging="360"/>
      </w:pPr>
    </w:lvl>
    <w:lvl w:ilvl="4" w:tplc="E5C6A08E">
      <w:start w:val="1"/>
      <w:numFmt w:val="lowerLetter"/>
      <w:lvlText w:val="%5."/>
      <w:lvlJc w:val="left"/>
      <w:pPr>
        <w:ind w:left="3600" w:hanging="360"/>
      </w:pPr>
    </w:lvl>
    <w:lvl w:ilvl="5" w:tplc="D04ED214">
      <w:start w:val="1"/>
      <w:numFmt w:val="lowerRoman"/>
      <w:lvlText w:val="%6."/>
      <w:lvlJc w:val="right"/>
      <w:pPr>
        <w:ind w:left="4320" w:hanging="180"/>
      </w:pPr>
    </w:lvl>
    <w:lvl w:ilvl="6" w:tplc="BEDC77E0">
      <w:start w:val="1"/>
      <w:numFmt w:val="decimal"/>
      <w:lvlText w:val="%7."/>
      <w:lvlJc w:val="left"/>
      <w:pPr>
        <w:ind w:left="5040" w:hanging="360"/>
      </w:pPr>
    </w:lvl>
    <w:lvl w:ilvl="7" w:tplc="3612B16E">
      <w:start w:val="1"/>
      <w:numFmt w:val="lowerLetter"/>
      <w:lvlText w:val="%8."/>
      <w:lvlJc w:val="left"/>
      <w:pPr>
        <w:ind w:left="5760" w:hanging="360"/>
      </w:pPr>
    </w:lvl>
    <w:lvl w:ilvl="8" w:tplc="7FBA642E">
      <w:start w:val="1"/>
      <w:numFmt w:val="lowerRoman"/>
      <w:lvlText w:val="%9."/>
      <w:lvlJc w:val="right"/>
      <w:pPr>
        <w:ind w:left="6480" w:hanging="180"/>
      </w:pPr>
    </w:lvl>
  </w:abstractNum>
  <w:abstractNum w:abstractNumId="82" w15:restartNumberingAfterBreak="0">
    <w:nsid w:val="5FBC7EC2"/>
    <w:multiLevelType w:val="hybridMultilevel"/>
    <w:tmpl w:val="3CC47E80"/>
    <w:lvl w:ilvl="0" w:tplc="55B2F1B4">
      <w:start w:val="1"/>
      <w:numFmt w:val="lowerLetter"/>
      <w:lvlText w:val="%1)"/>
      <w:lvlJc w:val="left"/>
      <w:pPr>
        <w:ind w:left="720" w:hanging="360"/>
      </w:pPr>
    </w:lvl>
    <w:lvl w:ilvl="1" w:tplc="38545C34">
      <w:start w:val="1"/>
      <w:numFmt w:val="lowerLetter"/>
      <w:lvlText w:val="%2)"/>
      <w:lvlJc w:val="left"/>
      <w:pPr>
        <w:ind w:left="720" w:hanging="360"/>
      </w:pPr>
    </w:lvl>
    <w:lvl w:ilvl="2" w:tplc="B89A6B54">
      <w:start w:val="1"/>
      <w:numFmt w:val="lowerLetter"/>
      <w:lvlText w:val="%3)"/>
      <w:lvlJc w:val="left"/>
      <w:pPr>
        <w:ind w:left="720" w:hanging="360"/>
      </w:pPr>
    </w:lvl>
    <w:lvl w:ilvl="3" w:tplc="F12A7E88">
      <w:start w:val="1"/>
      <w:numFmt w:val="lowerLetter"/>
      <w:lvlText w:val="%4)"/>
      <w:lvlJc w:val="left"/>
      <w:pPr>
        <w:ind w:left="720" w:hanging="360"/>
      </w:pPr>
    </w:lvl>
    <w:lvl w:ilvl="4" w:tplc="B60C5C58">
      <w:start w:val="1"/>
      <w:numFmt w:val="lowerLetter"/>
      <w:lvlText w:val="%5)"/>
      <w:lvlJc w:val="left"/>
      <w:pPr>
        <w:ind w:left="720" w:hanging="360"/>
      </w:pPr>
    </w:lvl>
    <w:lvl w:ilvl="5" w:tplc="23745AFA">
      <w:start w:val="1"/>
      <w:numFmt w:val="lowerLetter"/>
      <w:lvlText w:val="%6)"/>
      <w:lvlJc w:val="left"/>
      <w:pPr>
        <w:ind w:left="720" w:hanging="360"/>
      </w:pPr>
    </w:lvl>
    <w:lvl w:ilvl="6" w:tplc="A46437FA">
      <w:start w:val="1"/>
      <w:numFmt w:val="lowerLetter"/>
      <w:lvlText w:val="%7)"/>
      <w:lvlJc w:val="left"/>
      <w:pPr>
        <w:ind w:left="720" w:hanging="360"/>
      </w:pPr>
    </w:lvl>
    <w:lvl w:ilvl="7" w:tplc="CEE60988">
      <w:start w:val="1"/>
      <w:numFmt w:val="lowerLetter"/>
      <w:lvlText w:val="%8)"/>
      <w:lvlJc w:val="left"/>
      <w:pPr>
        <w:ind w:left="720" w:hanging="360"/>
      </w:pPr>
    </w:lvl>
    <w:lvl w:ilvl="8" w:tplc="F82A1C8A">
      <w:start w:val="1"/>
      <w:numFmt w:val="lowerLetter"/>
      <w:lvlText w:val="%9)"/>
      <w:lvlJc w:val="left"/>
      <w:pPr>
        <w:ind w:left="720" w:hanging="360"/>
      </w:pPr>
    </w:lvl>
  </w:abstractNum>
  <w:abstractNum w:abstractNumId="83" w15:restartNumberingAfterBreak="0">
    <w:nsid w:val="6009DF27"/>
    <w:multiLevelType w:val="hybridMultilevel"/>
    <w:tmpl w:val="EFC853F0"/>
    <w:lvl w:ilvl="0" w:tplc="AB847F50">
      <w:start w:val="1"/>
      <w:numFmt w:val="bullet"/>
      <w:lvlText w:val="-"/>
      <w:lvlJc w:val="left"/>
      <w:pPr>
        <w:ind w:left="720" w:hanging="360"/>
      </w:pPr>
      <w:rPr>
        <w:rFonts w:ascii="&quot;Arial Narrow&quot;,sans-serif" w:hAnsi="&quot;Arial Narrow&quot;,sans-serif" w:hint="default"/>
      </w:rPr>
    </w:lvl>
    <w:lvl w:ilvl="1" w:tplc="AF84D4EC">
      <w:start w:val="1"/>
      <w:numFmt w:val="bullet"/>
      <w:lvlText w:val="o"/>
      <w:lvlJc w:val="left"/>
      <w:pPr>
        <w:ind w:left="1440" w:hanging="360"/>
      </w:pPr>
      <w:rPr>
        <w:rFonts w:ascii="Courier New" w:hAnsi="Courier New" w:hint="default"/>
      </w:rPr>
    </w:lvl>
    <w:lvl w:ilvl="2" w:tplc="EE561B04">
      <w:start w:val="1"/>
      <w:numFmt w:val="bullet"/>
      <w:lvlText w:val=""/>
      <w:lvlJc w:val="left"/>
      <w:pPr>
        <w:ind w:left="2160" w:hanging="360"/>
      </w:pPr>
      <w:rPr>
        <w:rFonts w:ascii="Wingdings" w:hAnsi="Wingdings" w:hint="default"/>
      </w:rPr>
    </w:lvl>
    <w:lvl w:ilvl="3" w:tplc="B1C8EBE0">
      <w:start w:val="1"/>
      <w:numFmt w:val="bullet"/>
      <w:lvlText w:val=""/>
      <w:lvlJc w:val="left"/>
      <w:pPr>
        <w:ind w:left="2880" w:hanging="360"/>
      </w:pPr>
      <w:rPr>
        <w:rFonts w:ascii="Symbol" w:hAnsi="Symbol" w:hint="default"/>
      </w:rPr>
    </w:lvl>
    <w:lvl w:ilvl="4" w:tplc="B978E6FC">
      <w:start w:val="1"/>
      <w:numFmt w:val="bullet"/>
      <w:lvlText w:val="o"/>
      <w:lvlJc w:val="left"/>
      <w:pPr>
        <w:ind w:left="3600" w:hanging="360"/>
      </w:pPr>
      <w:rPr>
        <w:rFonts w:ascii="Courier New" w:hAnsi="Courier New" w:hint="default"/>
      </w:rPr>
    </w:lvl>
    <w:lvl w:ilvl="5" w:tplc="F126E1DE">
      <w:start w:val="1"/>
      <w:numFmt w:val="bullet"/>
      <w:lvlText w:val=""/>
      <w:lvlJc w:val="left"/>
      <w:pPr>
        <w:ind w:left="4320" w:hanging="360"/>
      </w:pPr>
      <w:rPr>
        <w:rFonts w:ascii="Wingdings" w:hAnsi="Wingdings" w:hint="default"/>
      </w:rPr>
    </w:lvl>
    <w:lvl w:ilvl="6" w:tplc="B9DA4E48">
      <w:start w:val="1"/>
      <w:numFmt w:val="bullet"/>
      <w:lvlText w:val=""/>
      <w:lvlJc w:val="left"/>
      <w:pPr>
        <w:ind w:left="5040" w:hanging="360"/>
      </w:pPr>
      <w:rPr>
        <w:rFonts w:ascii="Symbol" w:hAnsi="Symbol" w:hint="default"/>
      </w:rPr>
    </w:lvl>
    <w:lvl w:ilvl="7" w:tplc="71648DAE">
      <w:start w:val="1"/>
      <w:numFmt w:val="bullet"/>
      <w:lvlText w:val="o"/>
      <w:lvlJc w:val="left"/>
      <w:pPr>
        <w:ind w:left="5760" w:hanging="360"/>
      </w:pPr>
      <w:rPr>
        <w:rFonts w:ascii="Courier New" w:hAnsi="Courier New" w:hint="default"/>
      </w:rPr>
    </w:lvl>
    <w:lvl w:ilvl="8" w:tplc="B00420A6">
      <w:start w:val="1"/>
      <w:numFmt w:val="bullet"/>
      <w:lvlText w:val=""/>
      <w:lvlJc w:val="left"/>
      <w:pPr>
        <w:ind w:left="6480" w:hanging="360"/>
      </w:pPr>
      <w:rPr>
        <w:rFonts w:ascii="Wingdings" w:hAnsi="Wingdings" w:hint="default"/>
      </w:rPr>
    </w:lvl>
  </w:abstractNum>
  <w:abstractNum w:abstractNumId="84" w15:restartNumberingAfterBreak="0">
    <w:nsid w:val="619D04FB"/>
    <w:multiLevelType w:val="hybridMultilevel"/>
    <w:tmpl w:val="92763622"/>
    <w:lvl w:ilvl="0" w:tplc="3ED27ADC">
      <w:start w:val="1"/>
      <w:numFmt w:val="bullet"/>
      <w:lvlText w:val="-"/>
      <w:lvlJc w:val="left"/>
      <w:pPr>
        <w:ind w:left="720" w:hanging="360"/>
      </w:pPr>
      <w:rPr>
        <w:rFonts w:ascii="Calibri" w:hAnsi="Calibri" w:hint="default"/>
      </w:rPr>
    </w:lvl>
    <w:lvl w:ilvl="1" w:tplc="B854E73C">
      <w:start w:val="1"/>
      <w:numFmt w:val="bullet"/>
      <w:lvlText w:val="o"/>
      <w:lvlJc w:val="left"/>
      <w:pPr>
        <w:ind w:left="1440" w:hanging="360"/>
      </w:pPr>
      <w:rPr>
        <w:rFonts w:ascii="Courier New" w:hAnsi="Courier New" w:hint="default"/>
      </w:rPr>
    </w:lvl>
    <w:lvl w:ilvl="2" w:tplc="9146BEB8">
      <w:start w:val="1"/>
      <w:numFmt w:val="bullet"/>
      <w:lvlText w:val=""/>
      <w:lvlJc w:val="left"/>
      <w:pPr>
        <w:ind w:left="2160" w:hanging="360"/>
      </w:pPr>
      <w:rPr>
        <w:rFonts w:ascii="Wingdings" w:hAnsi="Wingdings" w:hint="default"/>
      </w:rPr>
    </w:lvl>
    <w:lvl w:ilvl="3" w:tplc="327E56E4">
      <w:start w:val="1"/>
      <w:numFmt w:val="bullet"/>
      <w:lvlText w:val=""/>
      <w:lvlJc w:val="left"/>
      <w:pPr>
        <w:ind w:left="2880" w:hanging="360"/>
      </w:pPr>
      <w:rPr>
        <w:rFonts w:ascii="Symbol" w:hAnsi="Symbol" w:hint="default"/>
      </w:rPr>
    </w:lvl>
    <w:lvl w:ilvl="4" w:tplc="CF78A566">
      <w:start w:val="1"/>
      <w:numFmt w:val="bullet"/>
      <w:lvlText w:val="o"/>
      <w:lvlJc w:val="left"/>
      <w:pPr>
        <w:ind w:left="3600" w:hanging="360"/>
      </w:pPr>
      <w:rPr>
        <w:rFonts w:ascii="Courier New" w:hAnsi="Courier New" w:hint="default"/>
      </w:rPr>
    </w:lvl>
    <w:lvl w:ilvl="5" w:tplc="DD581F56">
      <w:start w:val="1"/>
      <w:numFmt w:val="bullet"/>
      <w:lvlText w:val=""/>
      <w:lvlJc w:val="left"/>
      <w:pPr>
        <w:ind w:left="4320" w:hanging="360"/>
      </w:pPr>
      <w:rPr>
        <w:rFonts w:ascii="Wingdings" w:hAnsi="Wingdings" w:hint="default"/>
      </w:rPr>
    </w:lvl>
    <w:lvl w:ilvl="6" w:tplc="6BD4FD90">
      <w:start w:val="1"/>
      <w:numFmt w:val="bullet"/>
      <w:lvlText w:val=""/>
      <w:lvlJc w:val="left"/>
      <w:pPr>
        <w:ind w:left="5040" w:hanging="360"/>
      </w:pPr>
      <w:rPr>
        <w:rFonts w:ascii="Symbol" w:hAnsi="Symbol" w:hint="default"/>
      </w:rPr>
    </w:lvl>
    <w:lvl w:ilvl="7" w:tplc="0B146826">
      <w:start w:val="1"/>
      <w:numFmt w:val="bullet"/>
      <w:lvlText w:val="o"/>
      <w:lvlJc w:val="left"/>
      <w:pPr>
        <w:ind w:left="5760" w:hanging="360"/>
      </w:pPr>
      <w:rPr>
        <w:rFonts w:ascii="Courier New" w:hAnsi="Courier New" w:hint="default"/>
      </w:rPr>
    </w:lvl>
    <w:lvl w:ilvl="8" w:tplc="00D41976">
      <w:start w:val="1"/>
      <w:numFmt w:val="bullet"/>
      <w:lvlText w:val=""/>
      <w:lvlJc w:val="left"/>
      <w:pPr>
        <w:ind w:left="6480" w:hanging="360"/>
      </w:pPr>
      <w:rPr>
        <w:rFonts w:ascii="Wingdings" w:hAnsi="Wingdings" w:hint="default"/>
      </w:rPr>
    </w:lvl>
  </w:abstractNum>
  <w:abstractNum w:abstractNumId="85" w15:restartNumberingAfterBreak="0">
    <w:nsid w:val="633A6A5B"/>
    <w:multiLevelType w:val="hybridMultilevel"/>
    <w:tmpl w:val="DA86CC6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6" w15:restartNumberingAfterBreak="0">
    <w:nsid w:val="64A12FA4"/>
    <w:multiLevelType w:val="multilevel"/>
    <w:tmpl w:val="BC1C158C"/>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b/>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7" w15:restartNumberingAfterBreak="0">
    <w:nsid w:val="65787A72"/>
    <w:multiLevelType w:val="hybridMultilevel"/>
    <w:tmpl w:val="52726FA6"/>
    <w:lvl w:ilvl="0" w:tplc="CA1054A4">
      <w:start w:val="1"/>
      <w:numFmt w:val="lowerLetter"/>
      <w:lvlText w:val="%1)"/>
      <w:lvlJc w:val="left"/>
      <w:pPr>
        <w:ind w:left="720" w:hanging="360"/>
      </w:pPr>
    </w:lvl>
    <w:lvl w:ilvl="1" w:tplc="88F6DBC2">
      <w:start w:val="1"/>
      <w:numFmt w:val="lowerLetter"/>
      <w:lvlText w:val="%2."/>
      <w:lvlJc w:val="left"/>
      <w:pPr>
        <w:ind w:left="1440" w:hanging="360"/>
      </w:pPr>
    </w:lvl>
    <w:lvl w:ilvl="2" w:tplc="484ACFE4">
      <w:start w:val="1"/>
      <w:numFmt w:val="lowerRoman"/>
      <w:lvlText w:val="%3."/>
      <w:lvlJc w:val="right"/>
      <w:pPr>
        <w:ind w:left="2160" w:hanging="180"/>
      </w:pPr>
    </w:lvl>
    <w:lvl w:ilvl="3" w:tplc="F482B5E4">
      <w:start w:val="1"/>
      <w:numFmt w:val="decimal"/>
      <w:lvlText w:val="%4."/>
      <w:lvlJc w:val="left"/>
      <w:pPr>
        <w:ind w:left="2880" w:hanging="360"/>
      </w:pPr>
    </w:lvl>
    <w:lvl w:ilvl="4" w:tplc="602E53DA">
      <w:start w:val="1"/>
      <w:numFmt w:val="lowerLetter"/>
      <w:lvlText w:val="%5."/>
      <w:lvlJc w:val="left"/>
      <w:pPr>
        <w:ind w:left="3600" w:hanging="360"/>
      </w:pPr>
    </w:lvl>
    <w:lvl w:ilvl="5" w:tplc="38905AAE">
      <w:start w:val="1"/>
      <w:numFmt w:val="lowerRoman"/>
      <w:lvlText w:val="%6."/>
      <w:lvlJc w:val="right"/>
      <w:pPr>
        <w:ind w:left="4320" w:hanging="180"/>
      </w:pPr>
    </w:lvl>
    <w:lvl w:ilvl="6" w:tplc="2D06C216">
      <w:start w:val="1"/>
      <w:numFmt w:val="decimal"/>
      <w:lvlText w:val="%7."/>
      <w:lvlJc w:val="left"/>
      <w:pPr>
        <w:ind w:left="5040" w:hanging="360"/>
      </w:pPr>
    </w:lvl>
    <w:lvl w:ilvl="7" w:tplc="78E465E6">
      <w:start w:val="1"/>
      <w:numFmt w:val="lowerLetter"/>
      <w:lvlText w:val="%8."/>
      <w:lvlJc w:val="left"/>
      <w:pPr>
        <w:ind w:left="5760" w:hanging="360"/>
      </w:pPr>
    </w:lvl>
    <w:lvl w:ilvl="8" w:tplc="B3FC57C4">
      <w:start w:val="1"/>
      <w:numFmt w:val="lowerRoman"/>
      <w:lvlText w:val="%9."/>
      <w:lvlJc w:val="right"/>
      <w:pPr>
        <w:ind w:left="6480" w:hanging="180"/>
      </w:pPr>
    </w:lvl>
  </w:abstractNum>
  <w:abstractNum w:abstractNumId="88" w15:restartNumberingAfterBreak="0">
    <w:nsid w:val="657F08F2"/>
    <w:multiLevelType w:val="hybridMultilevel"/>
    <w:tmpl w:val="662AD40E"/>
    <w:lvl w:ilvl="0" w:tplc="9698AEB0">
      <w:start w:val="1"/>
      <w:numFmt w:val="lowerLetter"/>
      <w:lvlText w:val="%1)"/>
      <w:lvlJc w:val="left"/>
      <w:pPr>
        <w:ind w:left="720" w:hanging="360"/>
      </w:pPr>
      <w:rPr>
        <w:sz w:val="16"/>
        <w:szCs w:val="16"/>
      </w:rPr>
    </w:lvl>
    <w:lvl w:ilvl="1" w:tplc="0C78B67E">
      <w:start w:val="1"/>
      <w:numFmt w:val="lowerLetter"/>
      <w:lvlText w:val="%2."/>
      <w:lvlJc w:val="left"/>
      <w:pPr>
        <w:ind w:left="1440" w:hanging="360"/>
      </w:pPr>
    </w:lvl>
    <w:lvl w:ilvl="2" w:tplc="AAA88234">
      <w:start w:val="1"/>
      <w:numFmt w:val="lowerRoman"/>
      <w:lvlText w:val="%3."/>
      <w:lvlJc w:val="right"/>
      <w:pPr>
        <w:ind w:left="2160" w:hanging="180"/>
      </w:pPr>
    </w:lvl>
    <w:lvl w:ilvl="3" w:tplc="7B862072">
      <w:start w:val="1"/>
      <w:numFmt w:val="decimal"/>
      <w:lvlText w:val="%4."/>
      <w:lvlJc w:val="left"/>
      <w:pPr>
        <w:ind w:left="2880" w:hanging="360"/>
      </w:pPr>
    </w:lvl>
    <w:lvl w:ilvl="4" w:tplc="005E5176">
      <w:start w:val="1"/>
      <w:numFmt w:val="lowerLetter"/>
      <w:lvlText w:val="%5."/>
      <w:lvlJc w:val="left"/>
      <w:pPr>
        <w:ind w:left="3600" w:hanging="360"/>
      </w:pPr>
    </w:lvl>
    <w:lvl w:ilvl="5" w:tplc="906CE2E6">
      <w:start w:val="1"/>
      <w:numFmt w:val="lowerRoman"/>
      <w:lvlText w:val="%6."/>
      <w:lvlJc w:val="right"/>
      <w:pPr>
        <w:ind w:left="4320" w:hanging="180"/>
      </w:pPr>
    </w:lvl>
    <w:lvl w:ilvl="6" w:tplc="50C883AE">
      <w:start w:val="1"/>
      <w:numFmt w:val="decimal"/>
      <w:lvlText w:val="%7."/>
      <w:lvlJc w:val="left"/>
      <w:pPr>
        <w:ind w:left="5040" w:hanging="360"/>
      </w:pPr>
    </w:lvl>
    <w:lvl w:ilvl="7" w:tplc="24D08FD6">
      <w:start w:val="1"/>
      <w:numFmt w:val="lowerLetter"/>
      <w:lvlText w:val="%8."/>
      <w:lvlJc w:val="left"/>
      <w:pPr>
        <w:ind w:left="5760" w:hanging="360"/>
      </w:pPr>
    </w:lvl>
    <w:lvl w:ilvl="8" w:tplc="90EC4ACC">
      <w:start w:val="1"/>
      <w:numFmt w:val="lowerRoman"/>
      <w:lvlText w:val="%9."/>
      <w:lvlJc w:val="right"/>
      <w:pPr>
        <w:ind w:left="6480" w:hanging="180"/>
      </w:pPr>
    </w:lvl>
  </w:abstractNum>
  <w:abstractNum w:abstractNumId="89" w15:restartNumberingAfterBreak="0">
    <w:nsid w:val="665F0843"/>
    <w:multiLevelType w:val="hybridMultilevel"/>
    <w:tmpl w:val="52D8A83C"/>
    <w:lvl w:ilvl="0" w:tplc="85CC5F72">
      <w:start w:val="1"/>
      <w:numFmt w:val="lowerLetter"/>
      <w:lvlText w:val="%1)"/>
      <w:lvlJc w:val="left"/>
      <w:pPr>
        <w:ind w:left="720" w:hanging="360"/>
      </w:pPr>
    </w:lvl>
    <w:lvl w:ilvl="1" w:tplc="358EF612">
      <w:start w:val="1"/>
      <w:numFmt w:val="lowerLetter"/>
      <w:lvlText w:val="%2)"/>
      <w:lvlJc w:val="left"/>
      <w:pPr>
        <w:ind w:left="720" w:hanging="360"/>
      </w:pPr>
    </w:lvl>
    <w:lvl w:ilvl="2" w:tplc="B7001AEC">
      <w:start w:val="1"/>
      <w:numFmt w:val="lowerLetter"/>
      <w:lvlText w:val="%3)"/>
      <w:lvlJc w:val="left"/>
      <w:pPr>
        <w:ind w:left="720" w:hanging="360"/>
      </w:pPr>
    </w:lvl>
    <w:lvl w:ilvl="3" w:tplc="50181EF0">
      <w:start w:val="1"/>
      <w:numFmt w:val="lowerLetter"/>
      <w:lvlText w:val="%4)"/>
      <w:lvlJc w:val="left"/>
      <w:pPr>
        <w:ind w:left="720" w:hanging="360"/>
      </w:pPr>
    </w:lvl>
    <w:lvl w:ilvl="4" w:tplc="49C2EBCC">
      <w:start w:val="1"/>
      <w:numFmt w:val="lowerLetter"/>
      <w:lvlText w:val="%5)"/>
      <w:lvlJc w:val="left"/>
      <w:pPr>
        <w:ind w:left="720" w:hanging="360"/>
      </w:pPr>
    </w:lvl>
    <w:lvl w:ilvl="5" w:tplc="80DC1CF8">
      <w:start w:val="1"/>
      <w:numFmt w:val="lowerLetter"/>
      <w:lvlText w:val="%6)"/>
      <w:lvlJc w:val="left"/>
      <w:pPr>
        <w:ind w:left="720" w:hanging="360"/>
      </w:pPr>
    </w:lvl>
    <w:lvl w:ilvl="6" w:tplc="D4CAFBC8">
      <w:start w:val="1"/>
      <w:numFmt w:val="lowerLetter"/>
      <w:lvlText w:val="%7)"/>
      <w:lvlJc w:val="left"/>
      <w:pPr>
        <w:ind w:left="720" w:hanging="360"/>
      </w:pPr>
    </w:lvl>
    <w:lvl w:ilvl="7" w:tplc="A9F256F4">
      <w:start w:val="1"/>
      <w:numFmt w:val="lowerLetter"/>
      <w:lvlText w:val="%8)"/>
      <w:lvlJc w:val="left"/>
      <w:pPr>
        <w:ind w:left="720" w:hanging="360"/>
      </w:pPr>
    </w:lvl>
    <w:lvl w:ilvl="8" w:tplc="488454B4">
      <w:start w:val="1"/>
      <w:numFmt w:val="lowerLetter"/>
      <w:lvlText w:val="%9)"/>
      <w:lvlJc w:val="left"/>
      <w:pPr>
        <w:ind w:left="720" w:hanging="360"/>
      </w:pPr>
    </w:lvl>
  </w:abstractNum>
  <w:abstractNum w:abstractNumId="90"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91" w15:restartNumberingAfterBreak="0">
    <w:nsid w:val="6A4C6629"/>
    <w:multiLevelType w:val="hybridMultilevel"/>
    <w:tmpl w:val="FFFFFFFF"/>
    <w:lvl w:ilvl="0" w:tplc="89307A54">
      <w:start w:val="1"/>
      <w:numFmt w:val="bullet"/>
      <w:lvlText w:val="-"/>
      <w:lvlJc w:val="left"/>
      <w:pPr>
        <w:ind w:left="720" w:hanging="360"/>
      </w:pPr>
      <w:rPr>
        <w:rFonts w:ascii="Calibri" w:hAnsi="Calibri" w:hint="default"/>
      </w:rPr>
    </w:lvl>
    <w:lvl w:ilvl="1" w:tplc="493CF938">
      <w:start w:val="1"/>
      <w:numFmt w:val="bullet"/>
      <w:lvlText w:val="o"/>
      <w:lvlJc w:val="left"/>
      <w:pPr>
        <w:ind w:left="1440" w:hanging="360"/>
      </w:pPr>
      <w:rPr>
        <w:rFonts w:ascii="Courier New" w:hAnsi="Courier New" w:hint="default"/>
      </w:rPr>
    </w:lvl>
    <w:lvl w:ilvl="2" w:tplc="94A64D3E">
      <w:start w:val="1"/>
      <w:numFmt w:val="bullet"/>
      <w:lvlText w:val=""/>
      <w:lvlJc w:val="left"/>
      <w:pPr>
        <w:ind w:left="2160" w:hanging="360"/>
      </w:pPr>
      <w:rPr>
        <w:rFonts w:ascii="Wingdings" w:hAnsi="Wingdings" w:hint="default"/>
      </w:rPr>
    </w:lvl>
    <w:lvl w:ilvl="3" w:tplc="9AFE81CA">
      <w:start w:val="1"/>
      <w:numFmt w:val="bullet"/>
      <w:lvlText w:val=""/>
      <w:lvlJc w:val="left"/>
      <w:pPr>
        <w:ind w:left="2880" w:hanging="360"/>
      </w:pPr>
      <w:rPr>
        <w:rFonts w:ascii="Symbol" w:hAnsi="Symbol" w:hint="default"/>
      </w:rPr>
    </w:lvl>
    <w:lvl w:ilvl="4" w:tplc="C0D66E70">
      <w:start w:val="1"/>
      <w:numFmt w:val="bullet"/>
      <w:lvlText w:val="o"/>
      <w:lvlJc w:val="left"/>
      <w:pPr>
        <w:ind w:left="3600" w:hanging="360"/>
      </w:pPr>
      <w:rPr>
        <w:rFonts w:ascii="Courier New" w:hAnsi="Courier New" w:hint="default"/>
      </w:rPr>
    </w:lvl>
    <w:lvl w:ilvl="5" w:tplc="462456D6">
      <w:start w:val="1"/>
      <w:numFmt w:val="bullet"/>
      <w:lvlText w:val=""/>
      <w:lvlJc w:val="left"/>
      <w:pPr>
        <w:ind w:left="4320" w:hanging="360"/>
      </w:pPr>
      <w:rPr>
        <w:rFonts w:ascii="Wingdings" w:hAnsi="Wingdings" w:hint="default"/>
      </w:rPr>
    </w:lvl>
    <w:lvl w:ilvl="6" w:tplc="BBAC25C6">
      <w:start w:val="1"/>
      <w:numFmt w:val="bullet"/>
      <w:lvlText w:val=""/>
      <w:lvlJc w:val="left"/>
      <w:pPr>
        <w:ind w:left="5040" w:hanging="360"/>
      </w:pPr>
      <w:rPr>
        <w:rFonts w:ascii="Symbol" w:hAnsi="Symbol" w:hint="default"/>
      </w:rPr>
    </w:lvl>
    <w:lvl w:ilvl="7" w:tplc="7ED8A0B2">
      <w:start w:val="1"/>
      <w:numFmt w:val="bullet"/>
      <w:lvlText w:val="o"/>
      <w:lvlJc w:val="left"/>
      <w:pPr>
        <w:ind w:left="5760" w:hanging="360"/>
      </w:pPr>
      <w:rPr>
        <w:rFonts w:ascii="Courier New" w:hAnsi="Courier New" w:hint="default"/>
      </w:rPr>
    </w:lvl>
    <w:lvl w:ilvl="8" w:tplc="3E7EE974">
      <w:start w:val="1"/>
      <w:numFmt w:val="bullet"/>
      <w:lvlText w:val=""/>
      <w:lvlJc w:val="left"/>
      <w:pPr>
        <w:ind w:left="6480" w:hanging="360"/>
      </w:pPr>
      <w:rPr>
        <w:rFonts w:ascii="Wingdings" w:hAnsi="Wingdings" w:hint="default"/>
      </w:rPr>
    </w:lvl>
  </w:abstractNum>
  <w:abstractNum w:abstractNumId="92" w15:restartNumberingAfterBreak="0">
    <w:nsid w:val="6A911487"/>
    <w:multiLevelType w:val="hybridMultilevel"/>
    <w:tmpl w:val="4F7E21AE"/>
    <w:lvl w:ilvl="0" w:tplc="543CF2A2">
      <w:start w:val="1"/>
      <w:numFmt w:val="lowerLetter"/>
      <w:lvlText w:val="%1)"/>
      <w:lvlJc w:val="left"/>
      <w:pPr>
        <w:ind w:left="720" w:hanging="360"/>
      </w:pPr>
    </w:lvl>
    <w:lvl w:ilvl="1" w:tplc="C276C082">
      <w:start w:val="1"/>
      <w:numFmt w:val="lowerLetter"/>
      <w:lvlText w:val="%2."/>
      <w:lvlJc w:val="left"/>
      <w:pPr>
        <w:ind w:left="1440" w:hanging="360"/>
      </w:pPr>
    </w:lvl>
    <w:lvl w:ilvl="2" w:tplc="CE308822">
      <w:start w:val="1"/>
      <w:numFmt w:val="lowerRoman"/>
      <w:lvlText w:val="%3."/>
      <w:lvlJc w:val="right"/>
      <w:pPr>
        <w:ind w:left="2160" w:hanging="180"/>
      </w:pPr>
    </w:lvl>
    <w:lvl w:ilvl="3" w:tplc="F9EA3266">
      <w:start w:val="1"/>
      <w:numFmt w:val="decimal"/>
      <w:lvlText w:val="%4."/>
      <w:lvlJc w:val="left"/>
      <w:pPr>
        <w:ind w:left="2880" w:hanging="360"/>
      </w:pPr>
    </w:lvl>
    <w:lvl w:ilvl="4" w:tplc="EAEAD62A">
      <w:start w:val="1"/>
      <w:numFmt w:val="lowerLetter"/>
      <w:lvlText w:val="%5."/>
      <w:lvlJc w:val="left"/>
      <w:pPr>
        <w:ind w:left="3600" w:hanging="360"/>
      </w:pPr>
    </w:lvl>
    <w:lvl w:ilvl="5" w:tplc="9E4406F4">
      <w:start w:val="1"/>
      <w:numFmt w:val="lowerRoman"/>
      <w:lvlText w:val="%6."/>
      <w:lvlJc w:val="right"/>
      <w:pPr>
        <w:ind w:left="4320" w:hanging="180"/>
      </w:pPr>
    </w:lvl>
    <w:lvl w:ilvl="6" w:tplc="3ADA3C5E">
      <w:start w:val="1"/>
      <w:numFmt w:val="decimal"/>
      <w:lvlText w:val="%7."/>
      <w:lvlJc w:val="left"/>
      <w:pPr>
        <w:ind w:left="5040" w:hanging="360"/>
      </w:pPr>
    </w:lvl>
    <w:lvl w:ilvl="7" w:tplc="65E45598">
      <w:start w:val="1"/>
      <w:numFmt w:val="lowerLetter"/>
      <w:lvlText w:val="%8."/>
      <w:lvlJc w:val="left"/>
      <w:pPr>
        <w:ind w:left="5760" w:hanging="360"/>
      </w:pPr>
    </w:lvl>
    <w:lvl w:ilvl="8" w:tplc="2CE4A9A2">
      <w:start w:val="1"/>
      <w:numFmt w:val="lowerRoman"/>
      <w:lvlText w:val="%9."/>
      <w:lvlJc w:val="right"/>
      <w:pPr>
        <w:ind w:left="6480" w:hanging="180"/>
      </w:pPr>
    </w:lvl>
  </w:abstractNum>
  <w:abstractNum w:abstractNumId="93" w15:restartNumberingAfterBreak="0">
    <w:nsid w:val="6B492597"/>
    <w:multiLevelType w:val="hybridMultilevel"/>
    <w:tmpl w:val="A096406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6CC9DB83"/>
    <w:multiLevelType w:val="hybridMultilevel"/>
    <w:tmpl w:val="78E2FE66"/>
    <w:lvl w:ilvl="0" w:tplc="56C63DFA">
      <w:start w:val="1"/>
      <w:numFmt w:val="bullet"/>
      <w:lvlText w:val="-"/>
      <w:lvlJc w:val="left"/>
      <w:pPr>
        <w:ind w:left="720" w:hanging="360"/>
      </w:pPr>
      <w:rPr>
        <w:rFonts w:ascii="&quot;Arial Narrow&quot;,sans-serif" w:hAnsi="&quot;Arial Narrow&quot;,sans-serif" w:hint="default"/>
      </w:rPr>
    </w:lvl>
    <w:lvl w:ilvl="1" w:tplc="21AE533E">
      <w:start w:val="1"/>
      <w:numFmt w:val="bullet"/>
      <w:lvlText w:val="o"/>
      <w:lvlJc w:val="left"/>
      <w:pPr>
        <w:ind w:left="1440" w:hanging="360"/>
      </w:pPr>
      <w:rPr>
        <w:rFonts w:ascii="Courier New" w:hAnsi="Courier New" w:hint="default"/>
      </w:rPr>
    </w:lvl>
    <w:lvl w:ilvl="2" w:tplc="F210DF5C">
      <w:start w:val="1"/>
      <w:numFmt w:val="bullet"/>
      <w:lvlText w:val=""/>
      <w:lvlJc w:val="left"/>
      <w:pPr>
        <w:ind w:left="2160" w:hanging="360"/>
      </w:pPr>
      <w:rPr>
        <w:rFonts w:ascii="Wingdings" w:hAnsi="Wingdings" w:hint="default"/>
      </w:rPr>
    </w:lvl>
    <w:lvl w:ilvl="3" w:tplc="8458BBAC">
      <w:start w:val="1"/>
      <w:numFmt w:val="bullet"/>
      <w:lvlText w:val=""/>
      <w:lvlJc w:val="left"/>
      <w:pPr>
        <w:ind w:left="2880" w:hanging="360"/>
      </w:pPr>
      <w:rPr>
        <w:rFonts w:ascii="Symbol" w:hAnsi="Symbol" w:hint="default"/>
      </w:rPr>
    </w:lvl>
    <w:lvl w:ilvl="4" w:tplc="62C0C1C8">
      <w:start w:val="1"/>
      <w:numFmt w:val="bullet"/>
      <w:lvlText w:val="o"/>
      <w:lvlJc w:val="left"/>
      <w:pPr>
        <w:ind w:left="3600" w:hanging="360"/>
      </w:pPr>
      <w:rPr>
        <w:rFonts w:ascii="Courier New" w:hAnsi="Courier New" w:hint="default"/>
      </w:rPr>
    </w:lvl>
    <w:lvl w:ilvl="5" w:tplc="A370B1F8">
      <w:start w:val="1"/>
      <w:numFmt w:val="bullet"/>
      <w:lvlText w:val=""/>
      <w:lvlJc w:val="left"/>
      <w:pPr>
        <w:ind w:left="4320" w:hanging="360"/>
      </w:pPr>
      <w:rPr>
        <w:rFonts w:ascii="Wingdings" w:hAnsi="Wingdings" w:hint="default"/>
      </w:rPr>
    </w:lvl>
    <w:lvl w:ilvl="6" w:tplc="EE501896">
      <w:start w:val="1"/>
      <w:numFmt w:val="bullet"/>
      <w:lvlText w:val=""/>
      <w:lvlJc w:val="left"/>
      <w:pPr>
        <w:ind w:left="5040" w:hanging="360"/>
      </w:pPr>
      <w:rPr>
        <w:rFonts w:ascii="Symbol" w:hAnsi="Symbol" w:hint="default"/>
      </w:rPr>
    </w:lvl>
    <w:lvl w:ilvl="7" w:tplc="93942AD6">
      <w:start w:val="1"/>
      <w:numFmt w:val="bullet"/>
      <w:lvlText w:val="o"/>
      <w:lvlJc w:val="left"/>
      <w:pPr>
        <w:ind w:left="5760" w:hanging="360"/>
      </w:pPr>
      <w:rPr>
        <w:rFonts w:ascii="Courier New" w:hAnsi="Courier New" w:hint="default"/>
      </w:rPr>
    </w:lvl>
    <w:lvl w:ilvl="8" w:tplc="9F26EE92">
      <w:start w:val="1"/>
      <w:numFmt w:val="bullet"/>
      <w:lvlText w:val=""/>
      <w:lvlJc w:val="left"/>
      <w:pPr>
        <w:ind w:left="6480" w:hanging="360"/>
      </w:pPr>
      <w:rPr>
        <w:rFonts w:ascii="Wingdings" w:hAnsi="Wingdings" w:hint="default"/>
      </w:rPr>
    </w:lvl>
  </w:abstractNum>
  <w:abstractNum w:abstractNumId="95" w15:restartNumberingAfterBreak="0">
    <w:nsid w:val="6D104D23"/>
    <w:multiLevelType w:val="hybridMultilevel"/>
    <w:tmpl w:val="B13282E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6D884436"/>
    <w:multiLevelType w:val="hybridMultilevel"/>
    <w:tmpl w:val="3E0CA65A"/>
    <w:lvl w:ilvl="0" w:tplc="612657B6">
      <w:start w:val="1"/>
      <w:numFmt w:val="lowerLetter"/>
      <w:lvlText w:val="%1)"/>
      <w:lvlJc w:val="left"/>
      <w:pPr>
        <w:ind w:left="720" w:hanging="360"/>
      </w:pPr>
    </w:lvl>
    <w:lvl w:ilvl="1" w:tplc="52446B42">
      <w:start w:val="1"/>
      <w:numFmt w:val="lowerLetter"/>
      <w:lvlText w:val="%2."/>
      <w:lvlJc w:val="left"/>
      <w:pPr>
        <w:ind w:left="1440" w:hanging="360"/>
      </w:pPr>
    </w:lvl>
    <w:lvl w:ilvl="2" w:tplc="43E623F0">
      <w:start w:val="1"/>
      <w:numFmt w:val="lowerRoman"/>
      <w:lvlText w:val="%3."/>
      <w:lvlJc w:val="right"/>
      <w:pPr>
        <w:ind w:left="2160" w:hanging="180"/>
      </w:pPr>
    </w:lvl>
    <w:lvl w:ilvl="3" w:tplc="0EA2D7FE">
      <w:start w:val="1"/>
      <w:numFmt w:val="decimal"/>
      <w:lvlText w:val="%4."/>
      <w:lvlJc w:val="left"/>
      <w:pPr>
        <w:ind w:left="2880" w:hanging="360"/>
      </w:pPr>
    </w:lvl>
    <w:lvl w:ilvl="4" w:tplc="CDEEC6E4">
      <w:start w:val="1"/>
      <w:numFmt w:val="lowerLetter"/>
      <w:lvlText w:val="%5."/>
      <w:lvlJc w:val="left"/>
      <w:pPr>
        <w:ind w:left="3600" w:hanging="360"/>
      </w:pPr>
    </w:lvl>
    <w:lvl w:ilvl="5" w:tplc="BE123DFA">
      <w:start w:val="1"/>
      <w:numFmt w:val="lowerRoman"/>
      <w:lvlText w:val="%6."/>
      <w:lvlJc w:val="right"/>
      <w:pPr>
        <w:ind w:left="4320" w:hanging="180"/>
      </w:pPr>
    </w:lvl>
    <w:lvl w:ilvl="6" w:tplc="1E529F8E">
      <w:start w:val="1"/>
      <w:numFmt w:val="decimal"/>
      <w:lvlText w:val="%7."/>
      <w:lvlJc w:val="left"/>
      <w:pPr>
        <w:ind w:left="5040" w:hanging="360"/>
      </w:pPr>
    </w:lvl>
    <w:lvl w:ilvl="7" w:tplc="AB78CE72">
      <w:start w:val="1"/>
      <w:numFmt w:val="lowerLetter"/>
      <w:lvlText w:val="%8."/>
      <w:lvlJc w:val="left"/>
      <w:pPr>
        <w:ind w:left="5760" w:hanging="360"/>
      </w:pPr>
    </w:lvl>
    <w:lvl w:ilvl="8" w:tplc="94F87C08">
      <w:start w:val="1"/>
      <w:numFmt w:val="lowerRoman"/>
      <w:lvlText w:val="%9."/>
      <w:lvlJc w:val="right"/>
      <w:pPr>
        <w:ind w:left="6480" w:hanging="180"/>
      </w:pPr>
    </w:lvl>
  </w:abstractNum>
  <w:abstractNum w:abstractNumId="97" w15:restartNumberingAfterBreak="0">
    <w:nsid w:val="6D9F3959"/>
    <w:multiLevelType w:val="hybridMultilevel"/>
    <w:tmpl w:val="2E1A1360"/>
    <w:lvl w:ilvl="0" w:tplc="EDBE2B30">
      <w:start w:val="1"/>
      <w:numFmt w:val="lowerLetter"/>
      <w:lvlText w:val="%1)"/>
      <w:lvlJc w:val="left"/>
      <w:pPr>
        <w:ind w:left="720" w:hanging="360"/>
      </w:pPr>
    </w:lvl>
    <w:lvl w:ilvl="1" w:tplc="29481230">
      <w:start w:val="1"/>
      <w:numFmt w:val="lowerLetter"/>
      <w:lvlText w:val="%2."/>
      <w:lvlJc w:val="left"/>
      <w:pPr>
        <w:ind w:left="1440" w:hanging="360"/>
      </w:pPr>
    </w:lvl>
    <w:lvl w:ilvl="2" w:tplc="1FA4332A">
      <w:start w:val="1"/>
      <w:numFmt w:val="lowerRoman"/>
      <w:lvlText w:val="%3."/>
      <w:lvlJc w:val="right"/>
      <w:pPr>
        <w:ind w:left="2160" w:hanging="180"/>
      </w:pPr>
    </w:lvl>
    <w:lvl w:ilvl="3" w:tplc="4D4E13E8">
      <w:start w:val="1"/>
      <w:numFmt w:val="decimal"/>
      <w:lvlText w:val="%4."/>
      <w:lvlJc w:val="left"/>
      <w:pPr>
        <w:ind w:left="2880" w:hanging="360"/>
      </w:pPr>
    </w:lvl>
    <w:lvl w:ilvl="4" w:tplc="09928646">
      <w:start w:val="1"/>
      <w:numFmt w:val="lowerLetter"/>
      <w:lvlText w:val="%5."/>
      <w:lvlJc w:val="left"/>
      <w:pPr>
        <w:ind w:left="3600" w:hanging="360"/>
      </w:pPr>
    </w:lvl>
    <w:lvl w:ilvl="5" w:tplc="A6325A86">
      <w:start w:val="1"/>
      <w:numFmt w:val="lowerRoman"/>
      <w:lvlText w:val="%6."/>
      <w:lvlJc w:val="right"/>
      <w:pPr>
        <w:ind w:left="4320" w:hanging="180"/>
      </w:pPr>
    </w:lvl>
    <w:lvl w:ilvl="6" w:tplc="17FC7F5C">
      <w:start w:val="1"/>
      <w:numFmt w:val="decimal"/>
      <w:lvlText w:val="%7."/>
      <w:lvlJc w:val="left"/>
      <w:pPr>
        <w:ind w:left="5040" w:hanging="360"/>
      </w:pPr>
    </w:lvl>
    <w:lvl w:ilvl="7" w:tplc="6E30988E">
      <w:start w:val="1"/>
      <w:numFmt w:val="lowerLetter"/>
      <w:lvlText w:val="%8."/>
      <w:lvlJc w:val="left"/>
      <w:pPr>
        <w:ind w:left="5760" w:hanging="360"/>
      </w:pPr>
    </w:lvl>
    <w:lvl w:ilvl="8" w:tplc="03FC2844">
      <w:start w:val="1"/>
      <w:numFmt w:val="lowerRoman"/>
      <w:lvlText w:val="%9."/>
      <w:lvlJc w:val="right"/>
      <w:pPr>
        <w:ind w:left="6480" w:hanging="180"/>
      </w:pPr>
    </w:lvl>
  </w:abstractNum>
  <w:abstractNum w:abstractNumId="98" w15:restartNumberingAfterBreak="0">
    <w:nsid w:val="6ECF44D0"/>
    <w:multiLevelType w:val="hybridMultilevel"/>
    <w:tmpl w:val="4BB6159A"/>
    <w:lvl w:ilvl="0" w:tplc="04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6F264838"/>
    <w:multiLevelType w:val="hybridMultilevel"/>
    <w:tmpl w:val="A5EE2890"/>
    <w:lvl w:ilvl="0" w:tplc="282470FA">
      <w:start w:val="1"/>
      <w:numFmt w:val="decimal"/>
      <w:lvlText w:val="%1."/>
      <w:lvlJc w:val="left"/>
      <w:pPr>
        <w:ind w:left="6456" w:hanging="360"/>
      </w:pPr>
      <w:rPr>
        <w:rFonts w:hint="default"/>
      </w:rPr>
    </w:lvl>
    <w:lvl w:ilvl="1" w:tplc="04260019" w:tentative="1">
      <w:start w:val="1"/>
      <w:numFmt w:val="lowerLetter"/>
      <w:lvlText w:val="%2."/>
      <w:lvlJc w:val="left"/>
      <w:pPr>
        <w:ind w:left="7176" w:hanging="360"/>
      </w:pPr>
    </w:lvl>
    <w:lvl w:ilvl="2" w:tplc="0426001B" w:tentative="1">
      <w:start w:val="1"/>
      <w:numFmt w:val="lowerRoman"/>
      <w:lvlText w:val="%3."/>
      <w:lvlJc w:val="right"/>
      <w:pPr>
        <w:ind w:left="7896" w:hanging="180"/>
      </w:pPr>
    </w:lvl>
    <w:lvl w:ilvl="3" w:tplc="0426000F" w:tentative="1">
      <w:start w:val="1"/>
      <w:numFmt w:val="decimal"/>
      <w:lvlText w:val="%4."/>
      <w:lvlJc w:val="left"/>
      <w:pPr>
        <w:ind w:left="8616" w:hanging="360"/>
      </w:pPr>
    </w:lvl>
    <w:lvl w:ilvl="4" w:tplc="04260019" w:tentative="1">
      <w:start w:val="1"/>
      <w:numFmt w:val="lowerLetter"/>
      <w:lvlText w:val="%5."/>
      <w:lvlJc w:val="left"/>
      <w:pPr>
        <w:ind w:left="9336" w:hanging="360"/>
      </w:pPr>
    </w:lvl>
    <w:lvl w:ilvl="5" w:tplc="0426001B" w:tentative="1">
      <w:start w:val="1"/>
      <w:numFmt w:val="lowerRoman"/>
      <w:lvlText w:val="%6."/>
      <w:lvlJc w:val="right"/>
      <w:pPr>
        <w:ind w:left="10056" w:hanging="180"/>
      </w:pPr>
    </w:lvl>
    <w:lvl w:ilvl="6" w:tplc="0426000F" w:tentative="1">
      <w:start w:val="1"/>
      <w:numFmt w:val="decimal"/>
      <w:lvlText w:val="%7."/>
      <w:lvlJc w:val="left"/>
      <w:pPr>
        <w:ind w:left="10776" w:hanging="360"/>
      </w:pPr>
    </w:lvl>
    <w:lvl w:ilvl="7" w:tplc="04260019" w:tentative="1">
      <w:start w:val="1"/>
      <w:numFmt w:val="lowerLetter"/>
      <w:lvlText w:val="%8."/>
      <w:lvlJc w:val="left"/>
      <w:pPr>
        <w:ind w:left="11496" w:hanging="360"/>
      </w:pPr>
    </w:lvl>
    <w:lvl w:ilvl="8" w:tplc="0426001B" w:tentative="1">
      <w:start w:val="1"/>
      <w:numFmt w:val="lowerRoman"/>
      <w:lvlText w:val="%9."/>
      <w:lvlJc w:val="right"/>
      <w:pPr>
        <w:ind w:left="12216" w:hanging="180"/>
      </w:pPr>
    </w:lvl>
  </w:abstractNum>
  <w:abstractNum w:abstractNumId="100" w15:restartNumberingAfterBreak="0">
    <w:nsid w:val="702C04C3"/>
    <w:multiLevelType w:val="hybridMultilevel"/>
    <w:tmpl w:val="FDA89F5C"/>
    <w:lvl w:ilvl="0" w:tplc="8D522C0A">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1" w15:restartNumberingAfterBreak="0">
    <w:nsid w:val="70816639"/>
    <w:multiLevelType w:val="hybridMultilevel"/>
    <w:tmpl w:val="DA86CC6E"/>
    <w:lvl w:ilvl="0" w:tplc="E5A48188">
      <w:start w:val="1"/>
      <w:numFmt w:val="lowerLetter"/>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102" w15:restartNumberingAfterBreak="0">
    <w:nsid w:val="72946F4B"/>
    <w:multiLevelType w:val="hybridMultilevel"/>
    <w:tmpl w:val="ADC4BE4A"/>
    <w:lvl w:ilvl="0" w:tplc="98A47908">
      <w:start w:val="1"/>
      <w:numFmt w:val="bullet"/>
      <w:lvlText w:val=""/>
      <w:lvlJc w:val="left"/>
      <w:pPr>
        <w:ind w:left="1480" w:hanging="360"/>
      </w:pPr>
      <w:rPr>
        <w:rFonts w:ascii="Symbol" w:hAnsi="Symbol"/>
      </w:rPr>
    </w:lvl>
    <w:lvl w:ilvl="1" w:tplc="9D94C544">
      <w:start w:val="1"/>
      <w:numFmt w:val="bullet"/>
      <w:lvlText w:val=""/>
      <w:lvlJc w:val="left"/>
      <w:pPr>
        <w:ind w:left="1480" w:hanging="360"/>
      </w:pPr>
      <w:rPr>
        <w:rFonts w:ascii="Symbol" w:hAnsi="Symbol"/>
      </w:rPr>
    </w:lvl>
    <w:lvl w:ilvl="2" w:tplc="372013DA">
      <w:start w:val="1"/>
      <w:numFmt w:val="bullet"/>
      <w:lvlText w:val=""/>
      <w:lvlJc w:val="left"/>
      <w:pPr>
        <w:ind w:left="1480" w:hanging="360"/>
      </w:pPr>
      <w:rPr>
        <w:rFonts w:ascii="Symbol" w:hAnsi="Symbol"/>
      </w:rPr>
    </w:lvl>
    <w:lvl w:ilvl="3" w:tplc="DD6E7CCE">
      <w:start w:val="1"/>
      <w:numFmt w:val="bullet"/>
      <w:lvlText w:val=""/>
      <w:lvlJc w:val="left"/>
      <w:pPr>
        <w:ind w:left="1480" w:hanging="360"/>
      </w:pPr>
      <w:rPr>
        <w:rFonts w:ascii="Symbol" w:hAnsi="Symbol"/>
      </w:rPr>
    </w:lvl>
    <w:lvl w:ilvl="4" w:tplc="6DCC89DC">
      <w:start w:val="1"/>
      <w:numFmt w:val="bullet"/>
      <w:lvlText w:val=""/>
      <w:lvlJc w:val="left"/>
      <w:pPr>
        <w:ind w:left="1480" w:hanging="360"/>
      </w:pPr>
      <w:rPr>
        <w:rFonts w:ascii="Symbol" w:hAnsi="Symbol"/>
      </w:rPr>
    </w:lvl>
    <w:lvl w:ilvl="5" w:tplc="47E8FCF8">
      <w:start w:val="1"/>
      <w:numFmt w:val="bullet"/>
      <w:lvlText w:val=""/>
      <w:lvlJc w:val="left"/>
      <w:pPr>
        <w:ind w:left="1480" w:hanging="360"/>
      </w:pPr>
      <w:rPr>
        <w:rFonts w:ascii="Symbol" w:hAnsi="Symbol"/>
      </w:rPr>
    </w:lvl>
    <w:lvl w:ilvl="6" w:tplc="7FBCCF34">
      <w:start w:val="1"/>
      <w:numFmt w:val="bullet"/>
      <w:lvlText w:val=""/>
      <w:lvlJc w:val="left"/>
      <w:pPr>
        <w:ind w:left="1480" w:hanging="360"/>
      </w:pPr>
      <w:rPr>
        <w:rFonts w:ascii="Symbol" w:hAnsi="Symbol"/>
      </w:rPr>
    </w:lvl>
    <w:lvl w:ilvl="7" w:tplc="BCA453E6">
      <w:start w:val="1"/>
      <w:numFmt w:val="bullet"/>
      <w:lvlText w:val=""/>
      <w:lvlJc w:val="left"/>
      <w:pPr>
        <w:ind w:left="1480" w:hanging="360"/>
      </w:pPr>
      <w:rPr>
        <w:rFonts w:ascii="Symbol" w:hAnsi="Symbol"/>
      </w:rPr>
    </w:lvl>
    <w:lvl w:ilvl="8" w:tplc="310845F8">
      <w:start w:val="1"/>
      <w:numFmt w:val="bullet"/>
      <w:lvlText w:val=""/>
      <w:lvlJc w:val="left"/>
      <w:pPr>
        <w:ind w:left="1480" w:hanging="360"/>
      </w:pPr>
      <w:rPr>
        <w:rFonts w:ascii="Symbol" w:hAnsi="Symbol"/>
      </w:rPr>
    </w:lvl>
  </w:abstractNum>
  <w:abstractNum w:abstractNumId="103" w15:restartNumberingAfterBreak="0">
    <w:nsid w:val="72A56DAE"/>
    <w:multiLevelType w:val="hybridMultilevel"/>
    <w:tmpl w:val="83DCFAF6"/>
    <w:lvl w:ilvl="0" w:tplc="D46CC7C6">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04" w15:restartNumberingAfterBreak="0">
    <w:nsid w:val="73137E6B"/>
    <w:multiLevelType w:val="hybridMultilevel"/>
    <w:tmpl w:val="2248984E"/>
    <w:lvl w:ilvl="0" w:tplc="5602E7CA">
      <w:start w:val="1"/>
      <w:numFmt w:val="lowerLetter"/>
      <w:lvlText w:val="%1)"/>
      <w:lvlJc w:val="left"/>
      <w:pPr>
        <w:ind w:left="720" w:hanging="360"/>
      </w:pPr>
    </w:lvl>
    <w:lvl w:ilvl="1" w:tplc="CE8EC574">
      <w:start w:val="1"/>
      <w:numFmt w:val="lowerLetter"/>
      <w:lvlText w:val="%2)"/>
      <w:lvlJc w:val="left"/>
      <w:pPr>
        <w:ind w:left="720" w:hanging="360"/>
      </w:pPr>
    </w:lvl>
    <w:lvl w:ilvl="2" w:tplc="98183AA2">
      <w:start w:val="1"/>
      <w:numFmt w:val="lowerLetter"/>
      <w:lvlText w:val="%3)"/>
      <w:lvlJc w:val="left"/>
      <w:pPr>
        <w:ind w:left="720" w:hanging="360"/>
      </w:pPr>
    </w:lvl>
    <w:lvl w:ilvl="3" w:tplc="AF889076">
      <w:start w:val="1"/>
      <w:numFmt w:val="lowerLetter"/>
      <w:lvlText w:val="%4)"/>
      <w:lvlJc w:val="left"/>
      <w:pPr>
        <w:ind w:left="720" w:hanging="360"/>
      </w:pPr>
    </w:lvl>
    <w:lvl w:ilvl="4" w:tplc="71DED4C4">
      <w:start w:val="1"/>
      <w:numFmt w:val="lowerLetter"/>
      <w:lvlText w:val="%5)"/>
      <w:lvlJc w:val="left"/>
      <w:pPr>
        <w:ind w:left="720" w:hanging="360"/>
      </w:pPr>
    </w:lvl>
    <w:lvl w:ilvl="5" w:tplc="028CF532">
      <w:start w:val="1"/>
      <w:numFmt w:val="lowerLetter"/>
      <w:lvlText w:val="%6)"/>
      <w:lvlJc w:val="left"/>
      <w:pPr>
        <w:ind w:left="720" w:hanging="360"/>
      </w:pPr>
    </w:lvl>
    <w:lvl w:ilvl="6" w:tplc="45148590">
      <w:start w:val="1"/>
      <w:numFmt w:val="lowerLetter"/>
      <w:lvlText w:val="%7)"/>
      <w:lvlJc w:val="left"/>
      <w:pPr>
        <w:ind w:left="720" w:hanging="360"/>
      </w:pPr>
    </w:lvl>
    <w:lvl w:ilvl="7" w:tplc="7A80FB76">
      <w:start w:val="1"/>
      <w:numFmt w:val="lowerLetter"/>
      <w:lvlText w:val="%8)"/>
      <w:lvlJc w:val="left"/>
      <w:pPr>
        <w:ind w:left="720" w:hanging="360"/>
      </w:pPr>
    </w:lvl>
    <w:lvl w:ilvl="8" w:tplc="8EB2ACE0">
      <w:start w:val="1"/>
      <w:numFmt w:val="lowerLetter"/>
      <w:lvlText w:val="%9)"/>
      <w:lvlJc w:val="left"/>
      <w:pPr>
        <w:ind w:left="720" w:hanging="360"/>
      </w:pPr>
    </w:lvl>
  </w:abstractNum>
  <w:abstractNum w:abstractNumId="105" w15:restartNumberingAfterBreak="0">
    <w:nsid w:val="74744D0B"/>
    <w:multiLevelType w:val="hybridMultilevel"/>
    <w:tmpl w:val="A784FA3A"/>
    <w:lvl w:ilvl="0" w:tplc="18090017">
      <w:start w:val="1"/>
      <w:numFmt w:val="lowerLetter"/>
      <w:lvlText w:val="%1)"/>
      <w:lvlJc w:val="left"/>
      <w:pPr>
        <w:ind w:left="643"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6" w15:restartNumberingAfterBreak="0">
    <w:nsid w:val="7702659F"/>
    <w:multiLevelType w:val="hybridMultilevel"/>
    <w:tmpl w:val="83DCFAF6"/>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7" w15:restartNumberingAfterBreak="0">
    <w:nsid w:val="773C7C6D"/>
    <w:multiLevelType w:val="hybridMultilevel"/>
    <w:tmpl w:val="4F329A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8" w15:restartNumberingAfterBreak="0">
    <w:nsid w:val="774610A6"/>
    <w:multiLevelType w:val="hybridMultilevel"/>
    <w:tmpl w:val="41FA9686"/>
    <w:lvl w:ilvl="0" w:tplc="17F8CA56">
      <w:start w:val="1"/>
      <w:numFmt w:val="lowerLetter"/>
      <w:lvlText w:val="(%1)"/>
      <w:lvlJc w:val="left"/>
      <w:pPr>
        <w:ind w:left="1080" w:hanging="360"/>
      </w:pPr>
      <w:rPr>
        <w:rFonts w:hint="default"/>
        <w:lang w:val="en-GB"/>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9" w15:restartNumberingAfterBreak="0">
    <w:nsid w:val="77AD78D9"/>
    <w:multiLevelType w:val="hybridMultilevel"/>
    <w:tmpl w:val="46BE49AA"/>
    <w:lvl w:ilvl="0" w:tplc="61A67196">
      <w:start w:val="1"/>
      <w:numFmt w:val="decimal"/>
      <w:lvlText w:val="%1."/>
      <w:lvlJc w:val="left"/>
      <w:pPr>
        <w:ind w:left="720" w:hanging="720"/>
      </w:pPr>
      <w:rPr>
        <w:rFonts w:hint="default"/>
        <w:b/>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0" w15:restartNumberingAfterBreak="0">
    <w:nsid w:val="782E4753"/>
    <w:multiLevelType w:val="hybridMultilevel"/>
    <w:tmpl w:val="06D20BF6"/>
    <w:lvl w:ilvl="0" w:tplc="2ECE18CC">
      <w:start w:val="1"/>
      <w:numFmt w:val="decimal"/>
      <w:lvlText w:val="(%1)"/>
      <w:lvlJc w:val="left"/>
      <w:pPr>
        <w:ind w:left="720" w:hanging="360"/>
      </w:pPr>
      <w:rPr>
        <w:rFonts w:ascii="Times New Roman" w:hAnsi="Times New Roman"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1" w15:restartNumberingAfterBreak="0">
    <w:nsid w:val="7AD05F3F"/>
    <w:multiLevelType w:val="hybridMultilevel"/>
    <w:tmpl w:val="8D022870"/>
    <w:lvl w:ilvl="0" w:tplc="DDF24886">
      <w:start w:val="1"/>
      <w:numFmt w:val="lowerLetter"/>
      <w:lvlText w:val="%1)"/>
      <w:lvlJc w:val="left"/>
      <w:pPr>
        <w:ind w:left="720" w:hanging="360"/>
      </w:pPr>
    </w:lvl>
    <w:lvl w:ilvl="1" w:tplc="91E8F46C">
      <w:start w:val="1"/>
      <w:numFmt w:val="lowerLetter"/>
      <w:lvlText w:val="%2."/>
      <w:lvlJc w:val="left"/>
      <w:pPr>
        <w:ind w:left="1440" w:hanging="360"/>
      </w:pPr>
    </w:lvl>
    <w:lvl w:ilvl="2" w:tplc="57281850">
      <w:start w:val="1"/>
      <w:numFmt w:val="lowerRoman"/>
      <w:lvlText w:val="%3."/>
      <w:lvlJc w:val="right"/>
      <w:pPr>
        <w:ind w:left="2160" w:hanging="180"/>
      </w:pPr>
    </w:lvl>
    <w:lvl w:ilvl="3" w:tplc="1856F0F6">
      <w:start w:val="1"/>
      <w:numFmt w:val="decimal"/>
      <w:lvlText w:val="%4."/>
      <w:lvlJc w:val="left"/>
      <w:pPr>
        <w:ind w:left="2880" w:hanging="360"/>
      </w:pPr>
    </w:lvl>
    <w:lvl w:ilvl="4" w:tplc="BC08188E">
      <w:start w:val="1"/>
      <w:numFmt w:val="lowerLetter"/>
      <w:lvlText w:val="%5."/>
      <w:lvlJc w:val="left"/>
      <w:pPr>
        <w:ind w:left="3600" w:hanging="360"/>
      </w:pPr>
    </w:lvl>
    <w:lvl w:ilvl="5" w:tplc="7DBE806C">
      <w:start w:val="1"/>
      <w:numFmt w:val="lowerRoman"/>
      <w:lvlText w:val="%6."/>
      <w:lvlJc w:val="right"/>
      <w:pPr>
        <w:ind w:left="4320" w:hanging="180"/>
      </w:pPr>
    </w:lvl>
    <w:lvl w:ilvl="6" w:tplc="34E0D498">
      <w:start w:val="1"/>
      <w:numFmt w:val="decimal"/>
      <w:lvlText w:val="%7."/>
      <w:lvlJc w:val="left"/>
      <w:pPr>
        <w:ind w:left="5040" w:hanging="360"/>
      </w:pPr>
    </w:lvl>
    <w:lvl w:ilvl="7" w:tplc="841489E0">
      <w:start w:val="1"/>
      <w:numFmt w:val="lowerLetter"/>
      <w:lvlText w:val="%8."/>
      <w:lvlJc w:val="left"/>
      <w:pPr>
        <w:ind w:left="5760" w:hanging="360"/>
      </w:pPr>
    </w:lvl>
    <w:lvl w:ilvl="8" w:tplc="B9360040">
      <w:start w:val="1"/>
      <w:numFmt w:val="lowerRoman"/>
      <w:lvlText w:val="%9."/>
      <w:lvlJc w:val="right"/>
      <w:pPr>
        <w:ind w:left="6480" w:hanging="180"/>
      </w:pPr>
    </w:lvl>
  </w:abstractNum>
  <w:abstractNum w:abstractNumId="112"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abstractNum w:abstractNumId="113" w15:restartNumberingAfterBreak="0">
    <w:nsid w:val="7F2F45F4"/>
    <w:multiLevelType w:val="hybridMultilevel"/>
    <w:tmpl w:val="5420D4A2"/>
    <w:lvl w:ilvl="0" w:tplc="CB02B65E">
      <w:start w:val="1"/>
      <w:numFmt w:val="decimal"/>
      <w:lvlText w:val="%1)"/>
      <w:lvlJc w:val="left"/>
      <w:pPr>
        <w:ind w:left="720" w:hanging="360"/>
      </w:pPr>
    </w:lvl>
    <w:lvl w:ilvl="1" w:tplc="DFBE0C16">
      <w:start w:val="1"/>
      <w:numFmt w:val="lowerLetter"/>
      <w:lvlText w:val="%2."/>
      <w:lvlJc w:val="left"/>
      <w:pPr>
        <w:ind w:left="1440" w:hanging="360"/>
      </w:pPr>
    </w:lvl>
    <w:lvl w:ilvl="2" w:tplc="F8989FE0">
      <w:start w:val="1"/>
      <w:numFmt w:val="lowerRoman"/>
      <w:lvlText w:val="%3."/>
      <w:lvlJc w:val="right"/>
      <w:pPr>
        <w:ind w:left="2160" w:hanging="180"/>
      </w:pPr>
    </w:lvl>
    <w:lvl w:ilvl="3" w:tplc="F764748E">
      <w:start w:val="1"/>
      <w:numFmt w:val="decimal"/>
      <w:lvlText w:val="%4."/>
      <w:lvlJc w:val="left"/>
      <w:pPr>
        <w:ind w:left="2880" w:hanging="360"/>
      </w:pPr>
    </w:lvl>
    <w:lvl w:ilvl="4" w:tplc="C5ECA036">
      <w:start w:val="1"/>
      <w:numFmt w:val="lowerLetter"/>
      <w:lvlText w:val="%5."/>
      <w:lvlJc w:val="left"/>
      <w:pPr>
        <w:ind w:left="3600" w:hanging="360"/>
      </w:pPr>
    </w:lvl>
    <w:lvl w:ilvl="5" w:tplc="C79052B0">
      <w:start w:val="1"/>
      <w:numFmt w:val="lowerRoman"/>
      <w:lvlText w:val="%6."/>
      <w:lvlJc w:val="right"/>
      <w:pPr>
        <w:ind w:left="4320" w:hanging="180"/>
      </w:pPr>
    </w:lvl>
    <w:lvl w:ilvl="6" w:tplc="89560AA6">
      <w:start w:val="1"/>
      <w:numFmt w:val="decimal"/>
      <w:lvlText w:val="%7."/>
      <w:lvlJc w:val="left"/>
      <w:pPr>
        <w:ind w:left="5040" w:hanging="360"/>
      </w:pPr>
    </w:lvl>
    <w:lvl w:ilvl="7" w:tplc="05805312">
      <w:start w:val="1"/>
      <w:numFmt w:val="lowerLetter"/>
      <w:lvlText w:val="%8."/>
      <w:lvlJc w:val="left"/>
      <w:pPr>
        <w:ind w:left="5760" w:hanging="360"/>
      </w:pPr>
    </w:lvl>
    <w:lvl w:ilvl="8" w:tplc="3BFEDE78">
      <w:start w:val="1"/>
      <w:numFmt w:val="lowerRoman"/>
      <w:lvlText w:val="%9."/>
      <w:lvlJc w:val="right"/>
      <w:pPr>
        <w:ind w:left="6480" w:hanging="180"/>
      </w:pPr>
    </w:lvl>
  </w:abstractNum>
  <w:abstractNum w:abstractNumId="114" w15:restartNumberingAfterBreak="0">
    <w:nsid w:val="7F356E84"/>
    <w:multiLevelType w:val="hybridMultilevel"/>
    <w:tmpl w:val="DA86CC6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5" w15:restartNumberingAfterBreak="0">
    <w:nsid w:val="7F90074D"/>
    <w:multiLevelType w:val="hybridMultilevel"/>
    <w:tmpl w:val="75D636E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1655642845">
    <w:abstractNumId w:val="13"/>
  </w:num>
  <w:num w:numId="2" w16cid:durableId="738868430">
    <w:abstractNumId w:val="66"/>
  </w:num>
  <w:num w:numId="3" w16cid:durableId="1406755463">
    <w:abstractNumId w:val="113"/>
  </w:num>
  <w:num w:numId="4" w16cid:durableId="958413408">
    <w:abstractNumId w:val="94"/>
  </w:num>
  <w:num w:numId="5" w16cid:durableId="1282810476">
    <w:abstractNumId w:val="83"/>
  </w:num>
  <w:num w:numId="6" w16cid:durableId="1234042890">
    <w:abstractNumId w:val="43"/>
  </w:num>
  <w:num w:numId="7" w16cid:durableId="15813234">
    <w:abstractNumId w:val="12"/>
  </w:num>
  <w:num w:numId="8" w16cid:durableId="1234194143">
    <w:abstractNumId w:val="60"/>
  </w:num>
  <w:num w:numId="9" w16cid:durableId="25371894">
    <w:abstractNumId w:val="32"/>
  </w:num>
  <w:num w:numId="10" w16cid:durableId="2046638290">
    <w:abstractNumId w:val="8"/>
  </w:num>
  <w:num w:numId="11" w16cid:durableId="1888491533">
    <w:abstractNumId w:val="75"/>
  </w:num>
  <w:num w:numId="12" w16cid:durableId="514534985">
    <w:abstractNumId w:val="109"/>
  </w:num>
  <w:num w:numId="13" w16cid:durableId="895042762">
    <w:abstractNumId w:val="19"/>
  </w:num>
  <w:num w:numId="14" w16cid:durableId="285546233">
    <w:abstractNumId w:val="72"/>
  </w:num>
  <w:num w:numId="15" w16cid:durableId="1141191739">
    <w:abstractNumId w:val="78"/>
  </w:num>
  <w:num w:numId="16" w16cid:durableId="220798735">
    <w:abstractNumId w:val="51"/>
  </w:num>
  <w:num w:numId="17" w16cid:durableId="2086678847">
    <w:abstractNumId w:val="90"/>
  </w:num>
  <w:num w:numId="18" w16cid:durableId="1791364043">
    <w:abstractNumId w:val="42"/>
  </w:num>
  <w:num w:numId="19" w16cid:durableId="1170023138">
    <w:abstractNumId w:val="53"/>
  </w:num>
  <w:num w:numId="20" w16cid:durableId="44254420">
    <w:abstractNumId w:val="34"/>
  </w:num>
  <w:num w:numId="21" w16cid:durableId="1898973235">
    <w:abstractNumId w:val="27"/>
  </w:num>
  <w:num w:numId="22" w16cid:durableId="1407386598">
    <w:abstractNumId w:val="55"/>
  </w:num>
  <w:num w:numId="23" w16cid:durableId="1195658298">
    <w:abstractNumId w:val="77"/>
  </w:num>
  <w:num w:numId="24" w16cid:durableId="440222898">
    <w:abstractNumId w:val="40"/>
  </w:num>
  <w:num w:numId="25" w16cid:durableId="2070570865">
    <w:abstractNumId w:val="67"/>
  </w:num>
  <w:num w:numId="26" w16cid:durableId="1948733608">
    <w:abstractNumId w:val="3"/>
  </w:num>
  <w:num w:numId="27" w16cid:durableId="1107314543">
    <w:abstractNumId w:val="2"/>
  </w:num>
  <w:num w:numId="28" w16cid:durableId="447361934">
    <w:abstractNumId w:val="1"/>
  </w:num>
  <w:num w:numId="29" w16cid:durableId="546474">
    <w:abstractNumId w:val="0"/>
  </w:num>
  <w:num w:numId="30" w16cid:durableId="1536188867">
    <w:abstractNumId w:val="84"/>
  </w:num>
  <w:num w:numId="31" w16cid:durableId="1923026984">
    <w:abstractNumId w:val="10"/>
  </w:num>
  <w:num w:numId="32" w16cid:durableId="591667341">
    <w:abstractNumId w:val="98"/>
  </w:num>
  <w:num w:numId="33" w16cid:durableId="1130050203">
    <w:abstractNumId w:val="70"/>
  </w:num>
  <w:num w:numId="34" w16cid:durableId="267783368">
    <w:abstractNumId w:val="48"/>
  </w:num>
  <w:num w:numId="35" w16cid:durableId="1187986489">
    <w:abstractNumId w:val="96"/>
  </w:num>
  <w:num w:numId="36" w16cid:durableId="895705205">
    <w:abstractNumId w:val="92"/>
  </w:num>
  <w:num w:numId="37" w16cid:durableId="192811246">
    <w:abstractNumId w:val="28"/>
  </w:num>
  <w:num w:numId="38" w16cid:durableId="736978299">
    <w:abstractNumId w:val="79"/>
  </w:num>
  <w:num w:numId="39" w16cid:durableId="956908691">
    <w:abstractNumId w:val="58"/>
  </w:num>
  <w:num w:numId="40" w16cid:durableId="449865112">
    <w:abstractNumId w:val="56"/>
  </w:num>
  <w:num w:numId="41" w16cid:durableId="722798127">
    <w:abstractNumId w:val="50"/>
  </w:num>
  <w:num w:numId="42" w16cid:durableId="669450590">
    <w:abstractNumId w:val="5"/>
  </w:num>
  <w:num w:numId="43" w16cid:durableId="1482842960">
    <w:abstractNumId w:val="7"/>
  </w:num>
  <w:num w:numId="44" w16cid:durableId="1679499883">
    <w:abstractNumId w:val="41"/>
  </w:num>
  <w:num w:numId="45" w16cid:durableId="960960320">
    <w:abstractNumId w:val="16"/>
  </w:num>
  <w:num w:numId="46" w16cid:durableId="902562917">
    <w:abstractNumId w:val="39"/>
  </w:num>
  <w:num w:numId="47" w16cid:durableId="580255904">
    <w:abstractNumId w:val="33"/>
  </w:num>
  <w:num w:numId="48" w16cid:durableId="1772891401">
    <w:abstractNumId w:val="14"/>
  </w:num>
  <w:num w:numId="49" w16cid:durableId="1924338360">
    <w:abstractNumId w:val="88"/>
  </w:num>
  <w:num w:numId="50" w16cid:durableId="1150513281">
    <w:abstractNumId w:val="59"/>
  </w:num>
  <w:num w:numId="51" w16cid:durableId="2035226590">
    <w:abstractNumId w:val="97"/>
  </w:num>
  <w:num w:numId="52" w16cid:durableId="1124231114">
    <w:abstractNumId w:val="25"/>
  </w:num>
  <w:num w:numId="53" w16cid:durableId="445855721">
    <w:abstractNumId w:val="81"/>
  </w:num>
  <w:num w:numId="54" w16cid:durableId="1874461863">
    <w:abstractNumId w:val="57"/>
  </w:num>
  <w:num w:numId="55" w16cid:durableId="2124954687">
    <w:abstractNumId w:val="30"/>
  </w:num>
  <w:num w:numId="56" w16cid:durableId="505479873">
    <w:abstractNumId w:val="69"/>
  </w:num>
  <w:num w:numId="57" w16cid:durableId="824860792">
    <w:abstractNumId w:val="87"/>
  </w:num>
  <w:num w:numId="58" w16cid:durableId="802041750">
    <w:abstractNumId w:val="9"/>
  </w:num>
  <w:num w:numId="59" w16cid:durableId="142966308">
    <w:abstractNumId w:val="20"/>
  </w:num>
  <w:num w:numId="60" w16cid:durableId="871651634">
    <w:abstractNumId w:val="95"/>
  </w:num>
  <w:num w:numId="61" w16cid:durableId="1475757453">
    <w:abstractNumId w:val="64"/>
  </w:num>
  <w:num w:numId="62" w16cid:durableId="906645147">
    <w:abstractNumId w:val="61"/>
  </w:num>
  <w:num w:numId="63" w16cid:durableId="148714347">
    <w:abstractNumId w:val="111"/>
  </w:num>
  <w:num w:numId="64" w16cid:durableId="1749575648">
    <w:abstractNumId w:val="68"/>
  </w:num>
  <w:num w:numId="65" w16cid:durableId="1063019771">
    <w:abstractNumId w:val="26"/>
  </w:num>
  <w:num w:numId="66" w16cid:durableId="1497191135">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658272835">
    <w:abstractNumId w:val="37"/>
  </w:num>
  <w:num w:numId="68" w16cid:durableId="1493375005">
    <w:abstractNumId w:val="93"/>
  </w:num>
  <w:num w:numId="69" w16cid:durableId="2112505671">
    <w:abstractNumId w:val="22"/>
  </w:num>
  <w:num w:numId="70" w16cid:durableId="1701666120">
    <w:abstractNumId w:val="35"/>
  </w:num>
  <w:num w:numId="71" w16cid:durableId="1934436476">
    <w:abstractNumId w:val="65"/>
  </w:num>
  <w:num w:numId="72" w16cid:durableId="1234193593">
    <w:abstractNumId w:val="63"/>
  </w:num>
  <w:num w:numId="73" w16cid:durableId="1229149815">
    <w:abstractNumId w:val="52"/>
  </w:num>
  <w:num w:numId="74" w16cid:durableId="972250462">
    <w:abstractNumId w:val="49"/>
  </w:num>
  <w:num w:numId="75" w16cid:durableId="1680305928">
    <w:abstractNumId w:val="23"/>
  </w:num>
  <w:num w:numId="76" w16cid:durableId="264074834">
    <w:abstractNumId w:val="80"/>
  </w:num>
  <w:num w:numId="77" w16cid:durableId="978848310">
    <w:abstractNumId w:val="29"/>
  </w:num>
  <w:num w:numId="78" w16cid:durableId="368456914">
    <w:abstractNumId w:val="73"/>
  </w:num>
  <w:num w:numId="79" w16cid:durableId="1102384566">
    <w:abstractNumId w:val="47"/>
  </w:num>
  <w:num w:numId="80" w16cid:durableId="911815558">
    <w:abstractNumId w:val="38"/>
  </w:num>
  <w:num w:numId="81" w16cid:durableId="1675255945">
    <w:abstractNumId w:val="100"/>
  </w:num>
  <w:num w:numId="82" w16cid:durableId="1120951702">
    <w:abstractNumId w:val="103"/>
  </w:num>
  <w:num w:numId="83" w16cid:durableId="9915168">
    <w:abstractNumId w:val="106"/>
  </w:num>
  <w:num w:numId="84" w16cid:durableId="1272472959">
    <w:abstractNumId w:val="101"/>
  </w:num>
  <w:num w:numId="85" w16cid:durableId="1047682782">
    <w:abstractNumId w:val="36"/>
  </w:num>
  <w:num w:numId="86" w16cid:durableId="217980464">
    <w:abstractNumId w:val="108"/>
  </w:num>
  <w:num w:numId="87" w16cid:durableId="884802314">
    <w:abstractNumId w:val="6"/>
  </w:num>
  <w:num w:numId="88" w16cid:durableId="934435848">
    <w:abstractNumId w:val="110"/>
  </w:num>
  <w:num w:numId="89" w16cid:durableId="362900725">
    <w:abstractNumId w:val="112"/>
  </w:num>
  <w:num w:numId="90" w16cid:durableId="434054722">
    <w:abstractNumId w:val="62"/>
  </w:num>
  <w:num w:numId="91" w16cid:durableId="1450473021">
    <w:abstractNumId w:val="85"/>
  </w:num>
  <w:num w:numId="92" w16cid:durableId="1030881898">
    <w:abstractNumId w:val="114"/>
  </w:num>
  <w:num w:numId="93" w16cid:durableId="660232313">
    <w:abstractNumId w:val="21"/>
  </w:num>
  <w:num w:numId="94" w16cid:durableId="64495373">
    <w:abstractNumId w:val="4"/>
  </w:num>
  <w:num w:numId="95" w16cid:durableId="1853955135">
    <w:abstractNumId w:val="31"/>
  </w:num>
  <w:num w:numId="96" w16cid:durableId="1829205591">
    <w:abstractNumId w:val="105"/>
  </w:num>
  <w:num w:numId="97" w16cid:durableId="18090315">
    <w:abstractNumId w:val="107"/>
  </w:num>
  <w:num w:numId="98" w16cid:durableId="1387948354">
    <w:abstractNumId w:val="115"/>
  </w:num>
  <w:num w:numId="99" w16cid:durableId="78408737">
    <w:abstractNumId w:val="91"/>
  </w:num>
  <w:num w:numId="100" w16cid:durableId="1107770636">
    <w:abstractNumId w:val="102"/>
  </w:num>
  <w:num w:numId="101" w16cid:durableId="348220989">
    <w:abstractNumId w:val="24"/>
  </w:num>
  <w:num w:numId="102" w16cid:durableId="920598561">
    <w:abstractNumId w:val="15"/>
  </w:num>
  <w:num w:numId="103" w16cid:durableId="1380594987">
    <w:abstractNumId w:val="89"/>
  </w:num>
  <w:num w:numId="104" w16cid:durableId="326907830">
    <w:abstractNumId w:val="45"/>
  </w:num>
  <w:num w:numId="105" w16cid:durableId="575356982">
    <w:abstractNumId w:val="44"/>
  </w:num>
  <w:num w:numId="106" w16cid:durableId="1387797737">
    <w:abstractNumId w:val="46"/>
  </w:num>
  <w:num w:numId="107" w16cid:durableId="1081949904">
    <w:abstractNumId w:val="82"/>
  </w:num>
  <w:num w:numId="108" w16cid:durableId="315837126">
    <w:abstractNumId w:val="104"/>
  </w:num>
  <w:num w:numId="109" w16cid:durableId="920990558">
    <w:abstractNumId w:val="18"/>
  </w:num>
  <w:num w:numId="110" w16cid:durableId="112940224">
    <w:abstractNumId w:val="76"/>
  </w:num>
  <w:num w:numId="111" w16cid:durableId="146166212">
    <w:abstractNumId w:val="11"/>
  </w:num>
  <w:num w:numId="112" w16cid:durableId="1880047697">
    <w:abstractNumId w:val="54"/>
  </w:num>
  <w:num w:numId="113" w16cid:durableId="110974100">
    <w:abstractNumId w:val="71"/>
  </w:num>
  <w:num w:numId="114" w16cid:durableId="1201942012">
    <w:abstractNumId w:val="17"/>
  </w:num>
  <w:num w:numId="115" w16cid:durableId="420877997">
    <w:abstractNumId w:val="99"/>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removePersonalInformation/>
  <w:removeDateAndTime/>
  <w:activeWritingStyle w:appName="MSWord" w:lang="fr-BE" w:vendorID="64" w:dllVersion="0" w:nlCheck="1" w:checkStyle="0"/>
  <w:activeWritingStyle w:appName="MSWord" w:lang="it-IT"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fr-FR" w:vendorID="64" w:dllVersion="0" w:nlCheck="1" w:checkStyle="0"/>
  <w:activeWritingStyle w:appName="MSWord" w:lang="da-DK" w:vendorID="64" w:dllVersion="0" w:nlCheck="1" w:checkStyle="0"/>
  <w:defaultTabStop w:val="720"/>
  <w:hyphenationZone w:val="425"/>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EPKit_DocumentHasBeenSaved" w:val="true"/>
    <w:docVar w:name="LW_ACCOMPAGNANT.CP" w:val="to the "/>
    <w:docVar w:name="LW_ANNEX_NBR_FIRST" w:val="1"/>
    <w:docVar w:name="LW_ANNEX_NBR_LAST" w:val="2"/>
    <w:docVar w:name="LW_ANNEX_UNIQUE" w:val="0"/>
    <w:docVar w:name="LW_CORRIGENDUM" w:val="&lt;UNUSED&gt;"/>
    <w:docVar w:name="LW_COVERPAGE_EXISTS" w:val="True"/>
    <w:docVar w:name="LW_COVERPAGE_GUID" w:val="52E9E6B9-2B37-4150-ACB1-FC7073E676E1"/>
    <w:docVar w:name="LW_COVERPAGE_TYPE" w:val="1"/>
    <w:docVar w:name="LW_CROSSREFERENCE" w:val="&lt;UNUSED&gt;"/>
    <w:docVar w:name="LW_DocType" w:val="NORMAL"/>
    <w:docVar w:name="LW_EMISSION" w:val="21.3.2024"/>
    <w:docVar w:name="LW_EMISSION_ISODATE" w:val="2024-03-21"/>
    <w:docVar w:name="LW_EMISSION_LOCATION" w:val="BRX"/>
    <w:docVar w:name="LW_EMISSION_PREFIX" w:val="Brussels, "/>
    <w:docVar w:name="LW_EMISSION_SUFFIX" w:val=" "/>
    <w:docVar w:name="LW_ID_DOCTYPE_NONLW" w:val="CP-038"/>
    <w:docVar w:name="LW_LANGUE" w:val="EN"/>
    <w:docVar w:name="LW_LEVEL_OF_SENSITIVITY" w:val="Sensitive treatment"/>
    <w:docVar w:name="LW_NOM.INST" w:val="EUROPEAN COMMISSION"/>
    <w:docVar w:name="LW_NOM.INST_JOINTDOC" w:val="&lt;EMPTY&gt;"/>
    <w:docVar w:name="LW_OBJETACTEPRINCIPAL.CP" w:val="approving the modifications to the Operational Arrangements between the Commission and Latvia pursuant to Regulation (EU) 2021/241"/>
    <w:docVar w:name="LW_PART_NBR" w:val="&lt;UNUSED&gt;"/>
    <w:docVar w:name="LW_PART_NBR_TOTAL" w:val="&lt;UNUSED&gt;"/>
    <w:docVar w:name="LW_REF.INST.NEW" w:val="C"/>
    <w:docVar w:name="LW_REF.INST.NEW_ADOPTED" w:val="final"/>
    <w:docVar w:name="LW_REF.INST.NEW_TEXT" w:val="(2024) 1948"/>
    <w:docVar w:name="LW_REF.INTERNE" w:val="&lt;UNUSED&gt;"/>
    <w:docVar w:name="LW_SENSITIVITY" w:val="&lt;?xml version=&quot;1.0&quot; encoding=&quot;utf-8&quot;?&gt;_x000d__x000a_&lt;SensitivityLevel xmlns:xsd=&quot;http://www.w3.org/2001/XMLSchema&quot; xmlns:xsi=&quot;http://www.w3.org/2001/XMLSchema-instance&quot; id=&quot;sensitive&quot;&gt;_x000d__x000a_  &lt;nicename EN=&quot;Sensitive treatment&quot; FR=&quot;Traitement sensible&quot; /&gt;_x000d__x000a_  &lt;documentProperty&gt;Sensitive treatment&lt;/documentProperty&gt;_x000d__x000a_  &lt;markingConfig isAvailable=&quot;true&quot; isMandatory=&quot;tru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sensitiveHeaderTextSee=&quot;Sensitive&quot; specialHeaderTextSee=&quot;SpecialHandling&quot; /&gt;_x000d__x000a_  &lt;chosenMainMarking markingType=&quot;Sensitive&quot; displayInHeader=&quot;false&quot;&gt;_x000d__x000a_    &lt;distributionMarking xsi:nil=&quot;true&quot; /&gt;_x000d__x000a_    &lt;text&gt;&amp;lt;FMT:Bold&amp;gt;SENSITIVE&amp;lt;/FMT&amp;gt;&amp;lt;FMT:customFN=*&amp;gt;* Distribution only on a \u8216?Need to know\u8217? basis - Do not read or carry openly in public places. Must be stored securely and encrypted in storage and transmission. Destroy copies by shredding or secure deletion. Full handling instructions &amp;lt;FMT:Style_Hyperlink&amp;gt;https://europa.eu/!db43PX&amp;lt;/FMT&amp;gt;&amp;lt;/FMT:FN&amp;gt;&lt;/text&gt;_x000d__x000a_    &lt;footnoteText&gt;Distribution only on a \u8216?Need to know\u8217? basis - Do not read or carry openly in public places. Must be stored securely and encrypted in storage and transmission. Destroy copies by shredding or secure deletion. Full handling instructions &amp;lt;FMT:Style_Hyperlink&amp;gt;https://europa.eu/!db43PX&amp;lt;/FMT&amp;gt;&lt;/footnoteText&gt;_x000d__x000a_  &lt;/chosenMainMarking&gt;_x000d__x000a_  &lt;dateMarking xsi:nil=&quot;true&quot; /&gt;_x000d__x000a_  &lt;releasableToConfig isAvailable=&quot;tru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S_x000b_"/>
    <w:docVar w:name="LW_TYPEACTEPRINCIPAL.CP" w:val="COMMISSION DECISION"/>
    <w:docVar w:name="LwApiVersions" w:val="LW4CoDe 1.24.5.0; LW 9.0, Build 20240221"/>
  </w:docVars>
  <w:rsids>
    <w:rsidRoot w:val="006D1D68"/>
    <w:rsid w:val="000000E1"/>
    <w:rsid w:val="0000078B"/>
    <w:rsid w:val="0000090C"/>
    <w:rsid w:val="00001366"/>
    <w:rsid w:val="000018C7"/>
    <w:rsid w:val="00001DE8"/>
    <w:rsid w:val="000021C1"/>
    <w:rsid w:val="0000224F"/>
    <w:rsid w:val="00002334"/>
    <w:rsid w:val="0000299B"/>
    <w:rsid w:val="00002B6A"/>
    <w:rsid w:val="00002CC1"/>
    <w:rsid w:val="00002D40"/>
    <w:rsid w:val="00002D51"/>
    <w:rsid w:val="000031C6"/>
    <w:rsid w:val="0000328D"/>
    <w:rsid w:val="00003502"/>
    <w:rsid w:val="0000351B"/>
    <w:rsid w:val="000038B8"/>
    <w:rsid w:val="00003AEE"/>
    <w:rsid w:val="00004058"/>
    <w:rsid w:val="000040FF"/>
    <w:rsid w:val="000047AB"/>
    <w:rsid w:val="000048B1"/>
    <w:rsid w:val="000050A4"/>
    <w:rsid w:val="000055CC"/>
    <w:rsid w:val="00005AEC"/>
    <w:rsid w:val="00005B8C"/>
    <w:rsid w:val="00005CC9"/>
    <w:rsid w:val="00005D17"/>
    <w:rsid w:val="0000643C"/>
    <w:rsid w:val="0000661D"/>
    <w:rsid w:val="000068A3"/>
    <w:rsid w:val="00006E5B"/>
    <w:rsid w:val="00006EC3"/>
    <w:rsid w:val="0000704B"/>
    <w:rsid w:val="0000717F"/>
    <w:rsid w:val="00007339"/>
    <w:rsid w:val="0000790F"/>
    <w:rsid w:val="00007927"/>
    <w:rsid w:val="00007B87"/>
    <w:rsid w:val="0001099E"/>
    <w:rsid w:val="00010AC2"/>
    <w:rsid w:val="00010B87"/>
    <w:rsid w:val="00011061"/>
    <w:rsid w:val="0001138C"/>
    <w:rsid w:val="000113AE"/>
    <w:rsid w:val="00011538"/>
    <w:rsid w:val="000115FD"/>
    <w:rsid w:val="000117C1"/>
    <w:rsid w:val="00011CAF"/>
    <w:rsid w:val="00012089"/>
    <w:rsid w:val="000123A5"/>
    <w:rsid w:val="0001291D"/>
    <w:rsid w:val="0001299E"/>
    <w:rsid w:val="00012DC8"/>
    <w:rsid w:val="00012FD2"/>
    <w:rsid w:val="0001310C"/>
    <w:rsid w:val="0001315D"/>
    <w:rsid w:val="00013453"/>
    <w:rsid w:val="000137E4"/>
    <w:rsid w:val="00013861"/>
    <w:rsid w:val="000138CA"/>
    <w:rsid w:val="00013A86"/>
    <w:rsid w:val="00014315"/>
    <w:rsid w:val="0001435B"/>
    <w:rsid w:val="000148A0"/>
    <w:rsid w:val="00014AA9"/>
    <w:rsid w:val="00014E4A"/>
    <w:rsid w:val="00015062"/>
    <w:rsid w:val="000155D1"/>
    <w:rsid w:val="00015665"/>
    <w:rsid w:val="00015D40"/>
    <w:rsid w:val="00015DFE"/>
    <w:rsid w:val="00015EEA"/>
    <w:rsid w:val="00015FA5"/>
    <w:rsid w:val="000163B3"/>
    <w:rsid w:val="00016441"/>
    <w:rsid w:val="00016597"/>
    <w:rsid w:val="00016BD2"/>
    <w:rsid w:val="00016D33"/>
    <w:rsid w:val="0001703A"/>
    <w:rsid w:val="00017192"/>
    <w:rsid w:val="00017334"/>
    <w:rsid w:val="000173DB"/>
    <w:rsid w:val="00017D2C"/>
    <w:rsid w:val="00017E6C"/>
    <w:rsid w:val="00017F6E"/>
    <w:rsid w:val="000201F8"/>
    <w:rsid w:val="00020355"/>
    <w:rsid w:val="000209EB"/>
    <w:rsid w:val="00020AD2"/>
    <w:rsid w:val="00020DE6"/>
    <w:rsid w:val="00020F49"/>
    <w:rsid w:val="00021393"/>
    <w:rsid w:val="00021D26"/>
    <w:rsid w:val="000222B3"/>
    <w:rsid w:val="0002242F"/>
    <w:rsid w:val="000226AB"/>
    <w:rsid w:val="00022716"/>
    <w:rsid w:val="0002276F"/>
    <w:rsid w:val="00022833"/>
    <w:rsid w:val="00022A4F"/>
    <w:rsid w:val="00022AF2"/>
    <w:rsid w:val="00022F0A"/>
    <w:rsid w:val="00022F4D"/>
    <w:rsid w:val="000238B5"/>
    <w:rsid w:val="00024156"/>
    <w:rsid w:val="000241B3"/>
    <w:rsid w:val="000241CA"/>
    <w:rsid w:val="000244B7"/>
    <w:rsid w:val="000244C1"/>
    <w:rsid w:val="000249BC"/>
    <w:rsid w:val="00024A49"/>
    <w:rsid w:val="00024C30"/>
    <w:rsid w:val="000257A5"/>
    <w:rsid w:val="00025CE5"/>
    <w:rsid w:val="00026D61"/>
    <w:rsid w:val="000271CE"/>
    <w:rsid w:val="000274DF"/>
    <w:rsid w:val="00027FD5"/>
    <w:rsid w:val="000300EA"/>
    <w:rsid w:val="00030178"/>
    <w:rsid w:val="000301C1"/>
    <w:rsid w:val="00030BEE"/>
    <w:rsid w:val="00030C45"/>
    <w:rsid w:val="00030C5E"/>
    <w:rsid w:val="00030D34"/>
    <w:rsid w:val="00030EA1"/>
    <w:rsid w:val="00031536"/>
    <w:rsid w:val="000315F9"/>
    <w:rsid w:val="000317CA"/>
    <w:rsid w:val="0003191B"/>
    <w:rsid w:val="00031A0C"/>
    <w:rsid w:val="00031A6A"/>
    <w:rsid w:val="00031A71"/>
    <w:rsid w:val="00031CEA"/>
    <w:rsid w:val="00031DA1"/>
    <w:rsid w:val="000323BB"/>
    <w:rsid w:val="000324DB"/>
    <w:rsid w:val="000326E6"/>
    <w:rsid w:val="00032A83"/>
    <w:rsid w:val="00032C9C"/>
    <w:rsid w:val="00033150"/>
    <w:rsid w:val="0003330A"/>
    <w:rsid w:val="000333B5"/>
    <w:rsid w:val="0003351C"/>
    <w:rsid w:val="00033CDC"/>
    <w:rsid w:val="0003403C"/>
    <w:rsid w:val="0003409A"/>
    <w:rsid w:val="000346CD"/>
    <w:rsid w:val="00035D95"/>
    <w:rsid w:val="000363A7"/>
    <w:rsid w:val="0003691C"/>
    <w:rsid w:val="00036962"/>
    <w:rsid w:val="000371AC"/>
    <w:rsid w:val="000375A7"/>
    <w:rsid w:val="000379A6"/>
    <w:rsid w:val="00037ED1"/>
    <w:rsid w:val="00040081"/>
    <w:rsid w:val="0004018C"/>
    <w:rsid w:val="0004034E"/>
    <w:rsid w:val="000403AB"/>
    <w:rsid w:val="00040438"/>
    <w:rsid w:val="000409B7"/>
    <w:rsid w:val="00040B14"/>
    <w:rsid w:val="000412E8"/>
    <w:rsid w:val="00041CE1"/>
    <w:rsid w:val="00041D31"/>
    <w:rsid w:val="00042004"/>
    <w:rsid w:val="00042009"/>
    <w:rsid w:val="0004218B"/>
    <w:rsid w:val="00042279"/>
    <w:rsid w:val="0004243B"/>
    <w:rsid w:val="000427A3"/>
    <w:rsid w:val="00042BC6"/>
    <w:rsid w:val="00042D93"/>
    <w:rsid w:val="000432F6"/>
    <w:rsid w:val="000435BC"/>
    <w:rsid w:val="000438D6"/>
    <w:rsid w:val="00043C46"/>
    <w:rsid w:val="00043D9A"/>
    <w:rsid w:val="00043E72"/>
    <w:rsid w:val="00044AB4"/>
    <w:rsid w:val="00044ADB"/>
    <w:rsid w:val="00044B31"/>
    <w:rsid w:val="00044B9D"/>
    <w:rsid w:val="00044E6F"/>
    <w:rsid w:val="00045133"/>
    <w:rsid w:val="00045643"/>
    <w:rsid w:val="000458EC"/>
    <w:rsid w:val="00045C25"/>
    <w:rsid w:val="00045C93"/>
    <w:rsid w:val="00046153"/>
    <w:rsid w:val="00046456"/>
    <w:rsid w:val="00046466"/>
    <w:rsid w:val="000464C3"/>
    <w:rsid w:val="00046899"/>
    <w:rsid w:val="00047335"/>
    <w:rsid w:val="0004743F"/>
    <w:rsid w:val="000476DE"/>
    <w:rsid w:val="00047A91"/>
    <w:rsid w:val="00047B9B"/>
    <w:rsid w:val="0005027F"/>
    <w:rsid w:val="00050430"/>
    <w:rsid w:val="00050AFB"/>
    <w:rsid w:val="00050BA0"/>
    <w:rsid w:val="00050BA6"/>
    <w:rsid w:val="00050D09"/>
    <w:rsid w:val="000511F7"/>
    <w:rsid w:val="00051253"/>
    <w:rsid w:val="0005138B"/>
    <w:rsid w:val="000514F0"/>
    <w:rsid w:val="00051F92"/>
    <w:rsid w:val="00052735"/>
    <w:rsid w:val="00052B6C"/>
    <w:rsid w:val="00053392"/>
    <w:rsid w:val="00053486"/>
    <w:rsid w:val="0005357E"/>
    <w:rsid w:val="00053620"/>
    <w:rsid w:val="00053633"/>
    <w:rsid w:val="000538B8"/>
    <w:rsid w:val="000543C3"/>
    <w:rsid w:val="00054435"/>
    <w:rsid w:val="00054641"/>
    <w:rsid w:val="00054BEB"/>
    <w:rsid w:val="0005554C"/>
    <w:rsid w:val="00055F75"/>
    <w:rsid w:val="0005601B"/>
    <w:rsid w:val="000560F0"/>
    <w:rsid w:val="00056305"/>
    <w:rsid w:val="0005672B"/>
    <w:rsid w:val="00056A1F"/>
    <w:rsid w:val="00056D4A"/>
    <w:rsid w:val="00056FF7"/>
    <w:rsid w:val="000570EC"/>
    <w:rsid w:val="000573A7"/>
    <w:rsid w:val="0005789A"/>
    <w:rsid w:val="00057B50"/>
    <w:rsid w:val="00057CCC"/>
    <w:rsid w:val="00060126"/>
    <w:rsid w:val="0006055E"/>
    <w:rsid w:val="0006084B"/>
    <w:rsid w:val="000609B5"/>
    <w:rsid w:val="00060BD3"/>
    <w:rsid w:val="00061534"/>
    <w:rsid w:val="00061973"/>
    <w:rsid w:val="00061F4C"/>
    <w:rsid w:val="000625B0"/>
    <w:rsid w:val="00062707"/>
    <w:rsid w:val="00062A2F"/>
    <w:rsid w:val="00062CAE"/>
    <w:rsid w:val="00062D11"/>
    <w:rsid w:val="00062E6D"/>
    <w:rsid w:val="00062FAD"/>
    <w:rsid w:val="0006334F"/>
    <w:rsid w:val="000633CB"/>
    <w:rsid w:val="000635A8"/>
    <w:rsid w:val="000636D3"/>
    <w:rsid w:val="00063D16"/>
    <w:rsid w:val="00063D88"/>
    <w:rsid w:val="00064382"/>
    <w:rsid w:val="00064CF2"/>
    <w:rsid w:val="00064F78"/>
    <w:rsid w:val="00064FF1"/>
    <w:rsid w:val="00065043"/>
    <w:rsid w:val="0006537B"/>
    <w:rsid w:val="000653B1"/>
    <w:rsid w:val="0006548A"/>
    <w:rsid w:val="0006562B"/>
    <w:rsid w:val="000657C8"/>
    <w:rsid w:val="000659C9"/>
    <w:rsid w:val="00065A5F"/>
    <w:rsid w:val="00065C2A"/>
    <w:rsid w:val="00065E88"/>
    <w:rsid w:val="00065F49"/>
    <w:rsid w:val="000660DC"/>
    <w:rsid w:val="000660E8"/>
    <w:rsid w:val="0006639B"/>
    <w:rsid w:val="00066524"/>
    <w:rsid w:val="000668A2"/>
    <w:rsid w:val="000668E3"/>
    <w:rsid w:val="00066F76"/>
    <w:rsid w:val="000672E8"/>
    <w:rsid w:val="00067602"/>
    <w:rsid w:val="00067A32"/>
    <w:rsid w:val="00067ACD"/>
    <w:rsid w:val="00067C2F"/>
    <w:rsid w:val="00067F39"/>
    <w:rsid w:val="00070058"/>
    <w:rsid w:val="0007036C"/>
    <w:rsid w:val="0007067C"/>
    <w:rsid w:val="000706C9"/>
    <w:rsid w:val="00070A77"/>
    <w:rsid w:val="00070AD4"/>
    <w:rsid w:val="00070B0D"/>
    <w:rsid w:val="00070D8F"/>
    <w:rsid w:val="00071460"/>
    <w:rsid w:val="0007148A"/>
    <w:rsid w:val="000716A3"/>
    <w:rsid w:val="00071AE3"/>
    <w:rsid w:val="00071C09"/>
    <w:rsid w:val="000723C8"/>
    <w:rsid w:val="0007253C"/>
    <w:rsid w:val="000725A3"/>
    <w:rsid w:val="000727D9"/>
    <w:rsid w:val="000729A8"/>
    <w:rsid w:val="00072A89"/>
    <w:rsid w:val="00072ABE"/>
    <w:rsid w:val="00072F6A"/>
    <w:rsid w:val="00073167"/>
    <w:rsid w:val="0007318C"/>
    <w:rsid w:val="000733B5"/>
    <w:rsid w:val="00073604"/>
    <w:rsid w:val="0007369A"/>
    <w:rsid w:val="00073B62"/>
    <w:rsid w:val="00073ED8"/>
    <w:rsid w:val="00074345"/>
    <w:rsid w:val="00074413"/>
    <w:rsid w:val="00074762"/>
    <w:rsid w:val="00075A2B"/>
    <w:rsid w:val="00076219"/>
    <w:rsid w:val="00076B18"/>
    <w:rsid w:val="00077448"/>
    <w:rsid w:val="000775D0"/>
    <w:rsid w:val="00077EE9"/>
    <w:rsid w:val="00080365"/>
    <w:rsid w:val="00080A8E"/>
    <w:rsid w:val="00080D9C"/>
    <w:rsid w:val="000813A0"/>
    <w:rsid w:val="0008148B"/>
    <w:rsid w:val="00081C0A"/>
    <w:rsid w:val="00082465"/>
    <w:rsid w:val="00082A80"/>
    <w:rsid w:val="00082E13"/>
    <w:rsid w:val="0008314C"/>
    <w:rsid w:val="00083707"/>
    <w:rsid w:val="000840FF"/>
    <w:rsid w:val="000843F9"/>
    <w:rsid w:val="00084785"/>
    <w:rsid w:val="000849E5"/>
    <w:rsid w:val="00084A45"/>
    <w:rsid w:val="00084B05"/>
    <w:rsid w:val="000858D5"/>
    <w:rsid w:val="00085BD4"/>
    <w:rsid w:val="00085D00"/>
    <w:rsid w:val="000860F9"/>
    <w:rsid w:val="000863E0"/>
    <w:rsid w:val="00086FBE"/>
    <w:rsid w:val="00087370"/>
    <w:rsid w:val="000875B5"/>
    <w:rsid w:val="00087D73"/>
    <w:rsid w:val="00087EFE"/>
    <w:rsid w:val="000902EE"/>
    <w:rsid w:val="00090410"/>
    <w:rsid w:val="000908AA"/>
    <w:rsid w:val="00090A75"/>
    <w:rsid w:val="00090C13"/>
    <w:rsid w:val="00091115"/>
    <w:rsid w:val="0009181F"/>
    <w:rsid w:val="00091AD8"/>
    <w:rsid w:val="00091B5C"/>
    <w:rsid w:val="00091CFB"/>
    <w:rsid w:val="00092987"/>
    <w:rsid w:val="00092A64"/>
    <w:rsid w:val="00092E6E"/>
    <w:rsid w:val="000930F5"/>
    <w:rsid w:val="0009379C"/>
    <w:rsid w:val="00093C34"/>
    <w:rsid w:val="0009428D"/>
    <w:rsid w:val="00094413"/>
    <w:rsid w:val="000945DB"/>
    <w:rsid w:val="0009464B"/>
    <w:rsid w:val="00094928"/>
    <w:rsid w:val="00094B7A"/>
    <w:rsid w:val="00094FBE"/>
    <w:rsid w:val="000950DE"/>
    <w:rsid w:val="00095253"/>
    <w:rsid w:val="000954BD"/>
    <w:rsid w:val="000954E0"/>
    <w:rsid w:val="00095554"/>
    <w:rsid w:val="0009559D"/>
    <w:rsid w:val="000955E7"/>
    <w:rsid w:val="000958ED"/>
    <w:rsid w:val="00095EBE"/>
    <w:rsid w:val="00095EDE"/>
    <w:rsid w:val="00095F4B"/>
    <w:rsid w:val="000969BC"/>
    <w:rsid w:val="00096DB2"/>
    <w:rsid w:val="00097328"/>
    <w:rsid w:val="00097580"/>
    <w:rsid w:val="000975B5"/>
    <w:rsid w:val="00097676"/>
    <w:rsid w:val="0009767B"/>
    <w:rsid w:val="0009789E"/>
    <w:rsid w:val="000A00F9"/>
    <w:rsid w:val="000A1637"/>
    <w:rsid w:val="000A1A8A"/>
    <w:rsid w:val="000A1CDC"/>
    <w:rsid w:val="000A24F8"/>
    <w:rsid w:val="000A2762"/>
    <w:rsid w:val="000A2983"/>
    <w:rsid w:val="000A2B29"/>
    <w:rsid w:val="000A3030"/>
    <w:rsid w:val="000A3339"/>
    <w:rsid w:val="000A36B2"/>
    <w:rsid w:val="000A4AE5"/>
    <w:rsid w:val="000A4B41"/>
    <w:rsid w:val="000A4BFC"/>
    <w:rsid w:val="000A4DA5"/>
    <w:rsid w:val="000A4F9D"/>
    <w:rsid w:val="000A5274"/>
    <w:rsid w:val="000A564E"/>
    <w:rsid w:val="000A5F8A"/>
    <w:rsid w:val="000A638E"/>
    <w:rsid w:val="000A7421"/>
    <w:rsid w:val="000A7877"/>
    <w:rsid w:val="000A788B"/>
    <w:rsid w:val="000A7891"/>
    <w:rsid w:val="000A7C80"/>
    <w:rsid w:val="000B009C"/>
    <w:rsid w:val="000B0551"/>
    <w:rsid w:val="000B06A2"/>
    <w:rsid w:val="000B074C"/>
    <w:rsid w:val="000B169F"/>
    <w:rsid w:val="000B1877"/>
    <w:rsid w:val="000B1F99"/>
    <w:rsid w:val="000B2484"/>
    <w:rsid w:val="000B26AE"/>
    <w:rsid w:val="000B3047"/>
    <w:rsid w:val="000B33A6"/>
    <w:rsid w:val="000B3576"/>
    <w:rsid w:val="000B3673"/>
    <w:rsid w:val="000B38DD"/>
    <w:rsid w:val="000B38FE"/>
    <w:rsid w:val="000B3DC6"/>
    <w:rsid w:val="000B3EE6"/>
    <w:rsid w:val="000B414C"/>
    <w:rsid w:val="000B4798"/>
    <w:rsid w:val="000B489F"/>
    <w:rsid w:val="000B4983"/>
    <w:rsid w:val="000B50D0"/>
    <w:rsid w:val="000B5C33"/>
    <w:rsid w:val="000B5D43"/>
    <w:rsid w:val="000B6033"/>
    <w:rsid w:val="000B6075"/>
    <w:rsid w:val="000B6A0B"/>
    <w:rsid w:val="000B6E8D"/>
    <w:rsid w:val="000B7577"/>
    <w:rsid w:val="000B79E1"/>
    <w:rsid w:val="000B7D87"/>
    <w:rsid w:val="000B7ECB"/>
    <w:rsid w:val="000C0339"/>
    <w:rsid w:val="000C06A1"/>
    <w:rsid w:val="000C07CE"/>
    <w:rsid w:val="000C0B73"/>
    <w:rsid w:val="000C0FC9"/>
    <w:rsid w:val="000C1126"/>
    <w:rsid w:val="000C12F9"/>
    <w:rsid w:val="000C1474"/>
    <w:rsid w:val="000C1643"/>
    <w:rsid w:val="000C1A60"/>
    <w:rsid w:val="000C1F0A"/>
    <w:rsid w:val="000C2003"/>
    <w:rsid w:val="000C20F6"/>
    <w:rsid w:val="000C216B"/>
    <w:rsid w:val="000C2383"/>
    <w:rsid w:val="000C24A8"/>
    <w:rsid w:val="000C2882"/>
    <w:rsid w:val="000C29C7"/>
    <w:rsid w:val="000C2A41"/>
    <w:rsid w:val="000C2A79"/>
    <w:rsid w:val="000C303B"/>
    <w:rsid w:val="000C30FD"/>
    <w:rsid w:val="000C3946"/>
    <w:rsid w:val="000C3B1A"/>
    <w:rsid w:val="000C3FFC"/>
    <w:rsid w:val="000C421E"/>
    <w:rsid w:val="000C470C"/>
    <w:rsid w:val="000C4871"/>
    <w:rsid w:val="000C4E14"/>
    <w:rsid w:val="000C5240"/>
    <w:rsid w:val="000C5493"/>
    <w:rsid w:val="000C54BD"/>
    <w:rsid w:val="000C616A"/>
    <w:rsid w:val="000C6DF2"/>
    <w:rsid w:val="000C7150"/>
    <w:rsid w:val="000C794D"/>
    <w:rsid w:val="000C79B5"/>
    <w:rsid w:val="000C7ECD"/>
    <w:rsid w:val="000D010B"/>
    <w:rsid w:val="000D0377"/>
    <w:rsid w:val="000D0EDC"/>
    <w:rsid w:val="000D1138"/>
    <w:rsid w:val="000D15AC"/>
    <w:rsid w:val="000D1805"/>
    <w:rsid w:val="000D1A99"/>
    <w:rsid w:val="000D2719"/>
    <w:rsid w:val="000D2845"/>
    <w:rsid w:val="000D2BBA"/>
    <w:rsid w:val="000D2C5E"/>
    <w:rsid w:val="000D2DAE"/>
    <w:rsid w:val="000D3241"/>
    <w:rsid w:val="000D348D"/>
    <w:rsid w:val="000D34CC"/>
    <w:rsid w:val="000D39BD"/>
    <w:rsid w:val="000D39F4"/>
    <w:rsid w:val="000D406F"/>
    <w:rsid w:val="000D42EE"/>
    <w:rsid w:val="000D464B"/>
    <w:rsid w:val="000D489C"/>
    <w:rsid w:val="000D504A"/>
    <w:rsid w:val="000D50A3"/>
    <w:rsid w:val="000D52CE"/>
    <w:rsid w:val="000D5584"/>
    <w:rsid w:val="000D5830"/>
    <w:rsid w:val="000D59B7"/>
    <w:rsid w:val="000D5DF0"/>
    <w:rsid w:val="000D67D5"/>
    <w:rsid w:val="000D6829"/>
    <w:rsid w:val="000D6D21"/>
    <w:rsid w:val="000D6D44"/>
    <w:rsid w:val="000D6D9B"/>
    <w:rsid w:val="000D6FDE"/>
    <w:rsid w:val="000D772F"/>
    <w:rsid w:val="000D7C7F"/>
    <w:rsid w:val="000D7D9A"/>
    <w:rsid w:val="000D7D9F"/>
    <w:rsid w:val="000E0890"/>
    <w:rsid w:val="000E0AFB"/>
    <w:rsid w:val="000E136D"/>
    <w:rsid w:val="000E13E0"/>
    <w:rsid w:val="000E16A6"/>
    <w:rsid w:val="000E1C2D"/>
    <w:rsid w:val="000E232D"/>
    <w:rsid w:val="000E24BF"/>
    <w:rsid w:val="000E3728"/>
    <w:rsid w:val="000E37BD"/>
    <w:rsid w:val="000E3FFE"/>
    <w:rsid w:val="000E4136"/>
    <w:rsid w:val="000E4361"/>
    <w:rsid w:val="000E4808"/>
    <w:rsid w:val="000E4A78"/>
    <w:rsid w:val="000E4C48"/>
    <w:rsid w:val="000E4D18"/>
    <w:rsid w:val="000E4DE0"/>
    <w:rsid w:val="000E5085"/>
    <w:rsid w:val="000E512C"/>
    <w:rsid w:val="000E587D"/>
    <w:rsid w:val="000E589F"/>
    <w:rsid w:val="000E5A41"/>
    <w:rsid w:val="000E62E3"/>
    <w:rsid w:val="000E6439"/>
    <w:rsid w:val="000E6445"/>
    <w:rsid w:val="000E6587"/>
    <w:rsid w:val="000E68AE"/>
    <w:rsid w:val="000E692B"/>
    <w:rsid w:val="000E6B3A"/>
    <w:rsid w:val="000E6B72"/>
    <w:rsid w:val="000E74E1"/>
    <w:rsid w:val="000E7BFF"/>
    <w:rsid w:val="000E7C66"/>
    <w:rsid w:val="000E7D52"/>
    <w:rsid w:val="000F0053"/>
    <w:rsid w:val="000F033B"/>
    <w:rsid w:val="000F0391"/>
    <w:rsid w:val="000F0403"/>
    <w:rsid w:val="000F07F2"/>
    <w:rsid w:val="000F1004"/>
    <w:rsid w:val="000F107F"/>
    <w:rsid w:val="000F10B4"/>
    <w:rsid w:val="000F12EE"/>
    <w:rsid w:val="000F12F0"/>
    <w:rsid w:val="000F1472"/>
    <w:rsid w:val="000F14B5"/>
    <w:rsid w:val="000F161F"/>
    <w:rsid w:val="000F17E6"/>
    <w:rsid w:val="000F196C"/>
    <w:rsid w:val="000F2A1E"/>
    <w:rsid w:val="000F2E6B"/>
    <w:rsid w:val="000F2F62"/>
    <w:rsid w:val="000F354B"/>
    <w:rsid w:val="000F3826"/>
    <w:rsid w:val="000F3865"/>
    <w:rsid w:val="000F392C"/>
    <w:rsid w:val="000F39A3"/>
    <w:rsid w:val="000F3BA2"/>
    <w:rsid w:val="000F4040"/>
    <w:rsid w:val="000F4078"/>
    <w:rsid w:val="000F5022"/>
    <w:rsid w:val="000F50C6"/>
    <w:rsid w:val="000F50D5"/>
    <w:rsid w:val="000F528A"/>
    <w:rsid w:val="000F5369"/>
    <w:rsid w:val="000F589C"/>
    <w:rsid w:val="000F58FB"/>
    <w:rsid w:val="000F6143"/>
    <w:rsid w:val="000F652D"/>
    <w:rsid w:val="000F685C"/>
    <w:rsid w:val="000F6CE8"/>
    <w:rsid w:val="000F7406"/>
    <w:rsid w:val="000F76FB"/>
    <w:rsid w:val="000F7795"/>
    <w:rsid w:val="001003CB"/>
    <w:rsid w:val="001004EE"/>
    <w:rsid w:val="00100567"/>
    <w:rsid w:val="00100647"/>
    <w:rsid w:val="0010064F"/>
    <w:rsid w:val="00100BC6"/>
    <w:rsid w:val="0010102C"/>
    <w:rsid w:val="00101184"/>
    <w:rsid w:val="00101357"/>
    <w:rsid w:val="00101621"/>
    <w:rsid w:val="0010170E"/>
    <w:rsid w:val="00101A42"/>
    <w:rsid w:val="0010229C"/>
    <w:rsid w:val="00102301"/>
    <w:rsid w:val="001024C3"/>
    <w:rsid w:val="00102E4E"/>
    <w:rsid w:val="001036CB"/>
    <w:rsid w:val="00103CB1"/>
    <w:rsid w:val="0010406E"/>
    <w:rsid w:val="00104214"/>
    <w:rsid w:val="00104F19"/>
    <w:rsid w:val="0010588B"/>
    <w:rsid w:val="0010593D"/>
    <w:rsid w:val="00106B17"/>
    <w:rsid w:val="00106D15"/>
    <w:rsid w:val="00106DCE"/>
    <w:rsid w:val="00107074"/>
    <w:rsid w:val="00107816"/>
    <w:rsid w:val="00107B3F"/>
    <w:rsid w:val="00107B65"/>
    <w:rsid w:val="00107C11"/>
    <w:rsid w:val="00107D9C"/>
    <w:rsid w:val="00107F40"/>
    <w:rsid w:val="00110302"/>
    <w:rsid w:val="0011075D"/>
    <w:rsid w:val="00110A35"/>
    <w:rsid w:val="00110CB0"/>
    <w:rsid w:val="001113F4"/>
    <w:rsid w:val="001114E3"/>
    <w:rsid w:val="00111CDE"/>
    <w:rsid w:val="0011254C"/>
    <w:rsid w:val="00112600"/>
    <w:rsid w:val="00112764"/>
    <w:rsid w:val="00112AD7"/>
    <w:rsid w:val="00112C47"/>
    <w:rsid w:val="001130D7"/>
    <w:rsid w:val="0011313C"/>
    <w:rsid w:val="0011356D"/>
    <w:rsid w:val="00113AD8"/>
    <w:rsid w:val="00113D01"/>
    <w:rsid w:val="0011455B"/>
    <w:rsid w:val="00115AF7"/>
    <w:rsid w:val="001171AA"/>
    <w:rsid w:val="0011755F"/>
    <w:rsid w:val="00117837"/>
    <w:rsid w:val="00117CA5"/>
    <w:rsid w:val="00117D6D"/>
    <w:rsid w:val="00120097"/>
    <w:rsid w:val="00120099"/>
    <w:rsid w:val="00120162"/>
    <w:rsid w:val="001202E5"/>
    <w:rsid w:val="001202F9"/>
    <w:rsid w:val="0012036B"/>
    <w:rsid w:val="0012037C"/>
    <w:rsid w:val="0012043E"/>
    <w:rsid w:val="00120D0D"/>
    <w:rsid w:val="001218F0"/>
    <w:rsid w:val="00122204"/>
    <w:rsid w:val="0012249E"/>
    <w:rsid w:val="00122576"/>
    <w:rsid w:val="0012267A"/>
    <w:rsid w:val="00122949"/>
    <w:rsid w:val="00122E7F"/>
    <w:rsid w:val="00123306"/>
    <w:rsid w:val="00123678"/>
    <w:rsid w:val="001241E6"/>
    <w:rsid w:val="001246AD"/>
    <w:rsid w:val="00124804"/>
    <w:rsid w:val="0012490B"/>
    <w:rsid w:val="00125DBC"/>
    <w:rsid w:val="0012626A"/>
    <w:rsid w:val="001262F8"/>
    <w:rsid w:val="00126465"/>
    <w:rsid w:val="00126B5C"/>
    <w:rsid w:val="001274D8"/>
    <w:rsid w:val="00127500"/>
    <w:rsid w:val="001278AD"/>
    <w:rsid w:val="00127945"/>
    <w:rsid w:val="00127ED7"/>
    <w:rsid w:val="00127EFF"/>
    <w:rsid w:val="00127F25"/>
    <w:rsid w:val="00130157"/>
    <w:rsid w:val="0013044F"/>
    <w:rsid w:val="00130798"/>
    <w:rsid w:val="00130A2D"/>
    <w:rsid w:val="00131204"/>
    <w:rsid w:val="00131A05"/>
    <w:rsid w:val="00131C82"/>
    <w:rsid w:val="00131D07"/>
    <w:rsid w:val="00132159"/>
    <w:rsid w:val="0013218E"/>
    <w:rsid w:val="0013246D"/>
    <w:rsid w:val="00132D22"/>
    <w:rsid w:val="00133205"/>
    <w:rsid w:val="00133426"/>
    <w:rsid w:val="00133FE8"/>
    <w:rsid w:val="00134185"/>
    <w:rsid w:val="00134717"/>
    <w:rsid w:val="00134A5E"/>
    <w:rsid w:val="00134B1D"/>
    <w:rsid w:val="00134E9D"/>
    <w:rsid w:val="0013524F"/>
    <w:rsid w:val="001357FF"/>
    <w:rsid w:val="00135A4B"/>
    <w:rsid w:val="00135B60"/>
    <w:rsid w:val="00135EE3"/>
    <w:rsid w:val="00135EF2"/>
    <w:rsid w:val="00135FD3"/>
    <w:rsid w:val="001363D1"/>
    <w:rsid w:val="0013649E"/>
    <w:rsid w:val="001368D7"/>
    <w:rsid w:val="00136A09"/>
    <w:rsid w:val="00136B45"/>
    <w:rsid w:val="00136BD0"/>
    <w:rsid w:val="001370BB"/>
    <w:rsid w:val="0013766D"/>
    <w:rsid w:val="00137726"/>
    <w:rsid w:val="001377A7"/>
    <w:rsid w:val="00137B9E"/>
    <w:rsid w:val="001400EC"/>
    <w:rsid w:val="001408F5"/>
    <w:rsid w:val="001409D5"/>
    <w:rsid w:val="00140D09"/>
    <w:rsid w:val="001412E7"/>
    <w:rsid w:val="0014134D"/>
    <w:rsid w:val="001415F4"/>
    <w:rsid w:val="00141684"/>
    <w:rsid w:val="00141829"/>
    <w:rsid w:val="001425A9"/>
    <w:rsid w:val="00142E1F"/>
    <w:rsid w:val="001434C9"/>
    <w:rsid w:val="0014350A"/>
    <w:rsid w:val="00143F14"/>
    <w:rsid w:val="00143FB0"/>
    <w:rsid w:val="00144403"/>
    <w:rsid w:val="00144A35"/>
    <w:rsid w:val="00144AAE"/>
    <w:rsid w:val="00144B4C"/>
    <w:rsid w:val="00144B69"/>
    <w:rsid w:val="0014543B"/>
    <w:rsid w:val="00145633"/>
    <w:rsid w:val="001463C3"/>
    <w:rsid w:val="00146635"/>
    <w:rsid w:val="00146C1F"/>
    <w:rsid w:val="00146E4D"/>
    <w:rsid w:val="00147050"/>
    <w:rsid w:val="001470AD"/>
    <w:rsid w:val="00147533"/>
    <w:rsid w:val="00147584"/>
    <w:rsid w:val="00147678"/>
    <w:rsid w:val="00150157"/>
    <w:rsid w:val="00150A8E"/>
    <w:rsid w:val="001512A8"/>
    <w:rsid w:val="00151357"/>
    <w:rsid w:val="001514A2"/>
    <w:rsid w:val="001514CF"/>
    <w:rsid w:val="001516F0"/>
    <w:rsid w:val="0015172C"/>
    <w:rsid w:val="00151955"/>
    <w:rsid w:val="00151A4F"/>
    <w:rsid w:val="00151BB0"/>
    <w:rsid w:val="00151C44"/>
    <w:rsid w:val="0015219E"/>
    <w:rsid w:val="001527C6"/>
    <w:rsid w:val="00152D5D"/>
    <w:rsid w:val="001541D6"/>
    <w:rsid w:val="00154252"/>
    <w:rsid w:val="001547EE"/>
    <w:rsid w:val="00154F8D"/>
    <w:rsid w:val="00155099"/>
    <w:rsid w:val="0015586C"/>
    <w:rsid w:val="00155886"/>
    <w:rsid w:val="00155A29"/>
    <w:rsid w:val="00155C36"/>
    <w:rsid w:val="00155FC5"/>
    <w:rsid w:val="00156557"/>
    <w:rsid w:val="001568C3"/>
    <w:rsid w:val="00156C0A"/>
    <w:rsid w:val="00156F92"/>
    <w:rsid w:val="00157BBB"/>
    <w:rsid w:val="00157BE2"/>
    <w:rsid w:val="00157D46"/>
    <w:rsid w:val="00157D90"/>
    <w:rsid w:val="00157DD1"/>
    <w:rsid w:val="00157E3B"/>
    <w:rsid w:val="00160107"/>
    <w:rsid w:val="001604C2"/>
    <w:rsid w:val="001608CD"/>
    <w:rsid w:val="00160B05"/>
    <w:rsid w:val="00161111"/>
    <w:rsid w:val="00161617"/>
    <w:rsid w:val="00161692"/>
    <w:rsid w:val="001619DC"/>
    <w:rsid w:val="0016243D"/>
    <w:rsid w:val="00162568"/>
    <w:rsid w:val="001625C0"/>
    <w:rsid w:val="00162707"/>
    <w:rsid w:val="001627C7"/>
    <w:rsid w:val="00162C1D"/>
    <w:rsid w:val="0016336A"/>
    <w:rsid w:val="0016344F"/>
    <w:rsid w:val="0016380B"/>
    <w:rsid w:val="00163C76"/>
    <w:rsid w:val="00163DEB"/>
    <w:rsid w:val="001640DE"/>
    <w:rsid w:val="001646B7"/>
    <w:rsid w:val="001646DB"/>
    <w:rsid w:val="0016491C"/>
    <w:rsid w:val="00164929"/>
    <w:rsid w:val="00164930"/>
    <w:rsid w:val="001649E9"/>
    <w:rsid w:val="00164B83"/>
    <w:rsid w:val="00165632"/>
    <w:rsid w:val="00165F15"/>
    <w:rsid w:val="00166299"/>
    <w:rsid w:val="0016632E"/>
    <w:rsid w:val="001664F9"/>
    <w:rsid w:val="00166657"/>
    <w:rsid w:val="00166751"/>
    <w:rsid w:val="00166B35"/>
    <w:rsid w:val="00166F33"/>
    <w:rsid w:val="0016750D"/>
    <w:rsid w:val="001678B2"/>
    <w:rsid w:val="00167BCF"/>
    <w:rsid w:val="00167CB1"/>
    <w:rsid w:val="0017005B"/>
    <w:rsid w:val="001702A6"/>
    <w:rsid w:val="00170B39"/>
    <w:rsid w:val="00170C18"/>
    <w:rsid w:val="00170CEA"/>
    <w:rsid w:val="00171090"/>
    <w:rsid w:val="001710DA"/>
    <w:rsid w:val="0017162A"/>
    <w:rsid w:val="001717A7"/>
    <w:rsid w:val="0017180C"/>
    <w:rsid w:val="00172261"/>
    <w:rsid w:val="00172354"/>
    <w:rsid w:val="001725FD"/>
    <w:rsid w:val="00172A19"/>
    <w:rsid w:val="00172BF8"/>
    <w:rsid w:val="00172C22"/>
    <w:rsid w:val="00172D9A"/>
    <w:rsid w:val="00172F2E"/>
    <w:rsid w:val="00172FEB"/>
    <w:rsid w:val="0017341D"/>
    <w:rsid w:val="0017359B"/>
    <w:rsid w:val="001735F0"/>
    <w:rsid w:val="00173745"/>
    <w:rsid w:val="00173946"/>
    <w:rsid w:val="00173BBA"/>
    <w:rsid w:val="00173C9F"/>
    <w:rsid w:val="001742AC"/>
    <w:rsid w:val="0017433C"/>
    <w:rsid w:val="00174EA9"/>
    <w:rsid w:val="00175955"/>
    <w:rsid w:val="00175F43"/>
    <w:rsid w:val="001762A9"/>
    <w:rsid w:val="00176546"/>
    <w:rsid w:val="00176CD3"/>
    <w:rsid w:val="00176DF1"/>
    <w:rsid w:val="0017706F"/>
    <w:rsid w:val="0017717F"/>
    <w:rsid w:val="001807BA"/>
    <w:rsid w:val="001809F0"/>
    <w:rsid w:val="001812D0"/>
    <w:rsid w:val="001813C6"/>
    <w:rsid w:val="001815B4"/>
    <w:rsid w:val="001819EA"/>
    <w:rsid w:val="001824DE"/>
    <w:rsid w:val="00183026"/>
    <w:rsid w:val="0018359B"/>
    <w:rsid w:val="0018377B"/>
    <w:rsid w:val="0018395B"/>
    <w:rsid w:val="001839D2"/>
    <w:rsid w:val="00183A9C"/>
    <w:rsid w:val="001841CB"/>
    <w:rsid w:val="0018435E"/>
    <w:rsid w:val="00184396"/>
    <w:rsid w:val="00184938"/>
    <w:rsid w:val="00184B74"/>
    <w:rsid w:val="00184BDC"/>
    <w:rsid w:val="001852CB"/>
    <w:rsid w:val="001853CF"/>
    <w:rsid w:val="00185844"/>
    <w:rsid w:val="00185875"/>
    <w:rsid w:val="00185B92"/>
    <w:rsid w:val="00185D96"/>
    <w:rsid w:val="00186792"/>
    <w:rsid w:val="00187A71"/>
    <w:rsid w:val="00187BA3"/>
    <w:rsid w:val="00187CBE"/>
    <w:rsid w:val="001900AA"/>
    <w:rsid w:val="001901BD"/>
    <w:rsid w:val="001902A0"/>
    <w:rsid w:val="00190615"/>
    <w:rsid w:val="00190A8C"/>
    <w:rsid w:val="00190A97"/>
    <w:rsid w:val="00191063"/>
    <w:rsid w:val="001918E9"/>
    <w:rsid w:val="00191959"/>
    <w:rsid w:val="00191A5D"/>
    <w:rsid w:val="001926D6"/>
    <w:rsid w:val="0019282B"/>
    <w:rsid w:val="001928C4"/>
    <w:rsid w:val="00192C1E"/>
    <w:rsid w:val="0019301C"/>
    <w:rsid w:val="001938E9"/>
    <w:rsid w:val="00193A13"/>
    <w:rsid w:val="00193A9D"/>
    <w:rsid w:val="00193C7D"/>
    <w:rsid w:val="00193D9D"/>
    <w:rsid w:val="001940D7"/>
    <w:rsid w:val="00194304"/>
    <w:rsid w:val="00194962"/>
    <w:rsid w:val="001951B9"/>
    <w:rsid w:val="001959E8"/>
    <w:rsid w:val="00195E33"/>
    <w:rsid w:val="00195EA7"/>
    <w:rsid w:val="00196113"/>
    <w:rsid w:val="0019614A"/>
    <w:rsid w:val="001968EB"/>
    <w:rsid w:val="00196F02"/>
    <w:rsid w:val="00197281"/>
    <w:rsid w:val="00197369"/>
    <w:rsid w:val="00197AB2"/>
    <w:rsid w:val="00197D9E"/>
    <w:rsid w:val="00197F51"/>
    <w:rsid w:val="00197F8D"/>
    <w:rsid w:val="001A02D0"/>
    <w:rsid w:val="001A0582"/>
    <w:rsid w:val="001A05BF"/>
    <w:rsid w:val="001A071D"/>
    <w:rsid w:val="001A07A5"/>
    <w:rsid w:val="001A07B0"/>
    <w:rsid w:val="001A07B5"/>
    <w:rsid w:val="001A0C96"/>
    <w:rsid w:val="001A0DA2"/>
    <w:rsid w:val="001A1380"/>
    <w:rsid w:val="001A14D3"/>
    <w:rsid w:val="001A1FF7"/>
    <w:rsid w:val="001A21CD"/>
    <w:rsid w:val="001A2277"/>
    <w:rsid w:val="001A22E9"/>
    <w:rsid w:val="001A2AB2"/>
    <w:rsid w:val="001A2B2E"/>
    <w:rsid w:val="001A2E34"/>
    <w:rsid w:val="001A2E50"/>
    <w:rsid w:val="001A3235"/>
    <w:rsid w:val="001A3449"/>
    <w:rsid w:val="001A38DE"/>
    <w:rsid w:val="001A3B4F"/>
    <w:rsid w:val="001A3BD9"/>
    <w:rsid w:val="001A3E6F"/>
    <w:rsid w:val="001A42C5"/>
    <w:rsid w:val="001A4421"/>
    <w:rsid w:val="001A452D"/>
    <w:rsid w:val="001A4674"/>
    <w:rsid w:val="001A4751"/>
    <w:rsid w:val="001A4907"/>
    <w:rsid w:val="001A4EAD"/>
    <w:rsid w:val="001A554E"/>
    <w:rsid w:val="001A5887"/>
    <w:rsid w:val="001A5FF6"/>
    <w:rsid w:val="001A6593"/>
    <w:rsid w:val="001A6DB6"/>
    <w:rsid w:val="001A7518"/>
    <w:rsid w:val="001A7B1E"/>
    <w:rsid w:val="001B03F5"/>
    <w:rsid w:val="001B059F"/>
    <w:rsid w:val="001B08A5"/>
    <w:rsid w:val="001B0D6E"/>
    <w:rsid w:val="001B104A"/>
    <w:rsid w:val="001B116D"/>
    <w:rsid w:val="001B1274"/>
    <w:rsid w:val="001B1759"/>
    <w:rsid w:val="001B1831"/>
    <w:rsid w:val="001B1AA1"/>
    <w:rsid w:val="001B1B78"/>
    <w:rsid w:val="001B21CA"/>
    <w:rsid w:val="001B2B51"/>
    <w:rsid w:val="001B2CB7"/>
    <w:rsid w:val="001B2D09"/>
    <w:rsid w:val="001B316D"/>
    <w:rsid w:val="001B3A81"/>
    <w:rsid w:val="001B4088"/>
    <w:rsid w:val="001B40A7"/>
    <w:rsid w:val="001B4178"/>
    <w:rsid w:val="001B4424"/>
    <w:rsid w:val="001B4599"/>
    <w:rsid w:val="001B46BE"/>
    <w:rsid w:val="001B493B"/>
    <w:rsid w:val="001B4C31"/>
    <w:rsid w:val="001B56A9"/>
    <w:rsid w:val="001B5B67"/>
    <w:rsid w:val="001B5BD5"/>
    <w:rsid w:val="001B6471"/>
    <w:rsid w:val="001B6BF7"/>
    <w:rsid w:val="001B6E0F"/>
    <w:rsid w:val="001B7172"/>
    <w:rsid w:val="001B73D7"/>
    <w:rsid w:val="001B7740"/>
    <w:rsid w:val="001C00F7"/>
    <w:rsid w:val="001C07D1"/>
    <w:rsid w:val="001C0B03"/>
    <w:rsid w:val="001C0DB4"/>
    <w:rsid w:val="001C10B7"/>
    <w:rsid w:val="001C1298"/>
    <w:rsid w:val="001C1B95"/>
    <w:rsid w:val="001C2418"/>
    <w:rsid w:val="001C26A7"/>
    <w:rsid w:val="001C282F"/>
    <w:rsid w:val="001C292C"/>
    <w:rsid w:val="001C2C77"/>
    <w:rsid w:val="001C2E6A"/>
    <w:rsid w:val="001C3AB6"/>
    <w:rsid w:val="001C3E06"/>
    <w:rsid w:val="001C5454"/>
    <w:rsid w:val="001C5BCA"/>
    <w:rsid w:val="001C5C36"/>
    <w:rsid w:val="001C691D"/>
    <w:rsid w:val="001C6CEF"/>
    <w:rsid w:val="001C6E0F"/>
    <w:rsid w:val="001C72F4"/>
    <w:rsid w:val="001C7964"/>
    <w:rsid w:val="001C7A4E"/>
    <w:rsid w:val="001C7CE4"/>
    <w:rsid w:val="001C7D1A"/>
    <w:rsid w:val="001D00A0"/>
    <w:rsid w:val="001D00D0"/>
    <w:rsid w:val="001D04AA"/>
    <w:rsid w:val="001D057A"/>
    <w:rsid w:val="001D0619"/>
    <w:rsid w:val="001D0846"/>
    <w:rsid w:val="001D0B6C"/>
    <w:rsid w:val="001D1132"/>
    <w:rsid w:val="001D1F89"/>
    <w:rsid w:val="001D2215"/>
    <w:rsid w:val="001D24A7"/>
    <w:rsid w:val="001D2B5E"/>
    <w:rsid w:val="001D2CB9"/>
    <w:rsid w:val="001D2F37"/>
    <w:rsid w:val="001D32D5"/>
    <w:rsid w:val="001D355C"/>
    <w:rsid w:val="001D3675"/>
    <w:rsid w:val="001D42D9"/>
    <w:rsid w:val="001D44F1"/>
    <w:rsid w:val="001D45E6"/>
    <w:rsid w:val="001D4A09"/>
    <w:rsid w:val="001D4FEE"/>
    <w:rsid w:val="001D5042"/>
    <w:rsid w:val="001D5427"/>
    <w:rsid w:val="001D5473"/>
    <w:rsid w:val="001D569F"/>
    <w:rsid w:val="001D57BD"/>
    <w:rsid w:val="001D5883"/>
    <w:rsid w:val="001D609A"/>
    <w:rsid w:val="001D6D81"/>
    <w:rsid w:val="001D6E65"/>
    <w:rsid w:val="001D7023"/>
    <w:rsid w:val="001D73F5"/>
    <w:rsid w:val="001D7A18"/>
    <w:rsid w:val="001D7CE6"/>
    <w:rsid w:val="001D7DA8"/>
    <w:rsid w:val="001E0237"/>
    <w:rsid w:val="001E0CC6"/>
    <w:rsid w:val="001E102E"/>
    <w:rsid w:val="001E1220"/>
    <w:rsid w:val="001E122C"/>
    <w:rsid w:val="001E12EA"/>
    <w:rsid w:val="001E1607"/>
    <w:rsid w:val="001E276A"/>
    <w:rsid w:val="001E2779"/>
    <w:rsid w:val="001E2C47"/>
    <w:rsid w:val="001E2E2E"/>
    <w:rsid w:val="001E2F9F"/>
    <w:rsid w:val="001E3034"/>
    <w:rsid w:val="001E31AE"/>
    <w:rsid w:val="001E3241"/>
    <w:rsid w:val="001E33D1"/>
    <w:rsid w:val="001E3434"/>
    <w:rsid w:val="001E36B7"/>
    <w:rsid w:val="001E3B7B"/>
    <w:rsid w:val="001E3BD7"/>
    <w:rsid w:val="001E3D57"/>
    <w:rsid w:val="001E4170"/>
    <w:rsid w:val="001E4273"/>
    <w:rsid w:val="001E437A"/>
    <w:rsid w:val="001E4899"/>
    <w:rsid w:val="001E4A8E"/>
    <w:rsid w:val="001E517C"/>
    <w:rsid w:val="001E58C4"/>
    <w:rsid w:val="001E61A4"/>
    <w:rsid w:val="001E61CB"/>
    <w:rsid w:val="001E6313"/>
    <w:rsid w:val="001E676D"/>
    <w:rsid w:val="001E6A11"/>
    <w:rsid w:val="001E701A"/>
    <w:rsid w:val="001E75F7"/>
    <w:rsid w:val="001E7957"/>
    <w:rsid w:val="001E7EF5"/>
    <w:rsid w:val="001E7F87"/>
    <w:rsid w:val="001F0126"/>
    <w:rsid w:val="001F0174"/>
    <w:rsid w:val="001F09A2"/>
    <w:rsid w:val="001F0A8C"/>
    <w:rsid w:val="001F0BD6"/>
    <w:rsid w:val="001F12C0"/>
    <w:rsid w:val="001F1301"/>
    <w:rsid w:val="001F1DCF"/>
    <w:rsid w:val="001F1EB9"/>
    <w:rsid w:val="001F20B7"/>
    <w:rsid w:val="001F20DD"/>
    <w:rsid w:val="001F226C"/>
    <w:rsid w:val="001F22E4"/>
    <w:rsid w:val="001F27B2"/>
    <w:rsid w:val="001F27D5"/>
    <w:rsid w:val="001F29F1"/>
    <w:rsid w:val="001F2D25"/>
    <w:rsid w:val="001F2E3F"/>
    <w:rsid w:val="001F2E43"/>
    <w:rsid w:val="001F2FB8"/>
    <w:rsid w:val="001F31BE"/>
    <w:rsid w:val="001F3218"/>
    <w:rsid w:val="001F3384"/>
    <w:rsid w:val="001F357D"/>
    <w:rsid w:val="001F3CDD"/>
    <w:rsid w:val="001F3E52"/>
    <w:rsid w:val="001F3F5A"/>
    <w:rsid w:val="001F4630"/>
    <w:rsid w:val="001F4970"/>
    <w:rsid w:val="001F5066"/>
    <w:rsid w:val="001F5248"/>
    <w:rsid w:val="001F59F9"/>
    <w:rsid w:val="001F5BF2"/>
    <w:rsid w:val="001F5E51"/>
    <w:rsid w:val="001F674F"/>
    <w:rsid w:val="001F6885"/>
    <w:rsid w:val="001F6A51"/>
    <w:rsid w:val="001F6FCE"/>
    <w:rsid w:val="001F7114"/>
    <w:rsid w:val="001F71A5"/>
    <w:rsid w:val="001F771E"/>
    <w:rsid w:val="001F78B7"/>
    <w:rsid w:val="001F7BE1"/>
    <w:rsid w:val="001F7BF2"/>
    <w:rsid w:val="001F7F75"/>
    <w:rsid w:val="00200677"/>
    <w:rsid w:val="00200B51"/>
    <w:rsid w:val="00201039"/>
    <w:rsid w:val="0020150D"/>
    <w:rsid w:val="002017E8"/>
    <w:rsid w:val="00201AE4"/>
    <w:rsid w:val="00201C46"/>
    <w:rsid w:val="00201E12"/>
    <w:rsid w:val="00202544"/>
    <w:rsid w:val="00202768"/>
    <w:rsid w:val="002027C8"/>
    <w:rsid w:val="00202D45"/>
    <w:rsid w:val="00202F8E"/>
    <w:rsid w:val="00202FC9"/>
    <w:rsid w:val="00203074"/>
    <w:rsid w:val="002032C3"/>
    <w:rsid w:val="00203945"/>
    <w:rsid w:val="00203C57"/>
    <w:rsid w:val="00203E90"/>
    <w:rsid w:val="00204095"/>
    <w:rsid w:val="00204551"/>
    <w:rsid w:val="00204589"/>
    <w:rsid w:val="00204917"/>
    <w:rsid w:val="00204EAE"/>
    <w:rsid w:val="002050FC"/>
    <w:rsid w:val="002051A4"/>
    <w:rsid w:val="002056C7"/>
    <w:rsid w:val="00205BBD"/>
    <w:rsid w:val="00205D83"/>
    <w:rsid w:val="00205E63"/>
    <w:rsid w:val="00206263"/>
    <w:rsid w:val="00206407"/>
    <w:rsid w:val="00206624"/>
    <w:rsid w:val="00206D2E"/>
    <w:rsid w:val="00206E19"/>
    <w:rsid w:val="00206F0A"/>
    <w:rsid w:val="00206F57"/>
    <w:rsid w:val="00207673"/>
    <w:rsid w:val="002077E2"/>
    <w:rsid w:val="00210095"/>
    <w:rsid w:val="00210293"/>
    <w:rsid w:val="002106EB"/>
    <w:rsid w:val="002106FE"/>
    <w:rsid w:val="00210E2F"/>
    <w:rsid w:val="002115B1"/>
    <w:rsid w:val="00211D87"/>
    <w:rsid w:val="002126A1"/>
    <w:rsid w:val="002127BF"/>
    <w:rsid w:val="00212942"/>
    <w:rsid w:val="0021328C"/>
    <w:rsid w:val="0021340D"/>
    <w:rsid w:val="00213B1B"/>
    <w:rsid w:val="00213D70"/>
    <w:rsid w:val="00213EE6"/>
    <w:rsid w:val="002140FC"/>
    <w:rsid w:val="002142FF"/>
    <w:rsid w:val="002145A5"/>
    <w:rsid w:val="00214BF7"/>
    <w:rsid w:val="00214D89"/>
    <w:rsid w:val="00215285"/>
    <w:rsid w:val="002153E6"/>
    <w:rsid w:val="002155D7"/>
    <w:rsid w:val="00215AFD"/>
    <w:rsid w:val="00215B8C"/>
    <w:rsid w:val="00215FC6"/>
    <w:rsid w:val="00216056"/>
    <w:rsid w:val="002166A1"/>
    <w:rsid w:val="002167BE"/>
    <w:rsid w:val="00216947"/>
    <w:rsid w:val="0021730B"/>
    <w:rsid w:val="002175A7"/>
    <w:rsid w:val="00217683"/>
    <w:rsid w:val="002177B4"/>
    <w:rsid w:val="002177D7"/>
    <w:rsid w:val="0022001B"/>
    <w:rsid w:val="0022012B"/>
    <w:rsid w:val="002201AC"/>
    <w:rsid w:val="00220546"/>
    <w:rsid w:val="002207EC"/>
    <w:rsid w:val="00220902"/>
    <w:rsid w:val="00220BB1"/>
    <w:rsid w:val="00220DC0"/>
    <w:rsid w:val="00220E37"/>
    <w:rsid w:val="0022138B"/>
    <w:rsid w:val="002217F9"/>
    <w:rsid w:val="00221C8E"/>
    <w:rsid w:val="00221D0E"/>
    <w:rsid w:val="00221D85"/>
    <w:rsid w:val="00221DEE"/>
    <w:rsid w:val="00221E84"/>
    <w:rsid w:val="00221EDD"/>
    <w:rsid w:val="00221F3B"/>
    <w:rsid w:val="00221F67"/>
    <w:rsid w:val="002220C0"/>
    <w:rsid w:val="00222438"/>
    <w:rsid w:val="002225E5"/>
    <w:rsid w:val="00223043"/>
    <w:rsid w:val="002234D3"/>
    <w:rsid w:val="0022359A"/>
    <w:rsid w:val="00223E7C"/>
    <w:rsid w:val="002243F0"/>
    <w:rsid w:val="00224EF3"/>
    <w:rsid w:val="00225262"/>
    <w:rsid w:val="00225C8C"/>
    <w:rsid w:val="00226466"/>
    <w:rsid w:val="002268E8"/>
    <w:rsid w:val="002271D5"/>
    <w:rsid w:val="00227A4D"/>
    <w:rsid w:val="00227ACD"/>
    <w:rsid w:val="00227E00"/>
    <w:rsid w:val="00227E60"/>
    <w:rsid w:val="00227FBE"/>
    <w:rsid w:val="00230146"/>
    <w:rsid w:val="0023079A"/>
    <w:rsid w:val="002308B7"/>
    <w:rsid w:val="002311EF"/>
    <w:rsid w:val="00231377"/>
    <w:rsid w:val="002313BA"/>
    <w:rsid w:val="002313CD"/>
    <w:rsid w:val="002318FB"/>
    <w:rsid w:val="00231973"/>
    <w:rsid w:val="00231AF1"/>
    <w:rsid w:val="0023242B"/>
    <w:rsid w:val="00232A7C"/>
    <w:rsid w:val="00232C7E"/>
    <w:rsid w:val="00232FAE"/>
    <w:rsid w:val="0023350F"/>
    <w:rsid w:val="00233862"/>
    <w:rsid w:val="0023387B"/>
    <w:rsid w:val="00233E42"/>
    <w:rsid w:val="002340A8"/>
    <w:rsid w:val="002341E6"/>
    <w:rsid w:val="00234CE6"/>
    <w:rsid w:val="00234E2F"/>
    <w:rsid w:val="00234F75"/>
    <w:rsid w:val="0023507C"/>
    <w:rsid w:val="00235616"/>
    <w:rsid w:val="00235761"/>
    <w:rsid w:val="00235B51"/>
    <w:rsid w:val="0023624B"/>
    <w:rsid w:val="00236441"/>
    <w:rsid w:val="00236607"/>
    <w:rsid w:val="00237318"/>
    <w:rsid w:val="0023747A"/>
    <w:rsid w:val="0023778E"/>
    <w:rsid w:val="00237A2D"/>
    <w:rsid w:val="00237C6D"/>
    <w:rsid w:val="00237E0B"/>
    <w:rsid w:val="00240032"/>
    <w:rsid w:val="002409C3"/>
    <w:rsid w:val="00241312"/>
    <w:rsid w:val="0024146D"/>
    <w:rsid w:val="002418C2"/>
    <w:rsid w:val="002419B7"/>
    <w:rsid w:val="00241C50"/>
    <w:rsid w:val="00241D88"/>
    <w:rsid w:val="00242456"/>
    <w:rsid w:val="0024245C"/>
    <w:rsid w:val="002428F0"/>
    <w:rsid w:val="00243109"/>
    <w:rsid w:val="0024358E"/>
    <w:rsid w:val="00243C68"/>
    <w:rsid w:val="00243EDC"/>
    <w:rsid w:val="0024451D"/>
    <w:rsid w:val="00244531"/>
    <w:rsid w:val="00244BD9"/>
    <w:rsid w:val="002450FC"/>
    <w:rsid w:val="002454DA"/>
    <w:rsid w:val="0024563C"/>
    <w:rsid w:val="002457A8"/>
    <w:rsid w:val="00245A27"/>
    <w:rsid w:val="0024606F"/>
    <w:rsid w:val="002461C2"/>
    <w:rsid w:val="00246487"/>
    <w:rsid w:val="00246F0B"/>
    <w:rsid w:val="00247192"/>
    <w:rsid w:val="00247302"/>
    <w:rsid w:val="00247799"/>
    <w:rsid w:val="002477CC"/>
    <w:rsid w:val="002477E6"/>
    <w:rsid w:val="00247952"/>
    <w:rsid w:val="00247985"/>
    <w:rsid w:val="0024799C"/>
    <w:rsid w:val="00247A04"/>
    <w:rsid w:val="00247B05"/>
    <w:rsid w:val="00247DB3"/>
    <w:rsid w:val="0025013F"/>
    <w:rsid w:val="00250390"/>
    <w:rsid w:val="002504DC"/>
    <w:rsid w:val="0025061E"/>
    <w:rsid w:val="00250632"/>
    <w:rsid w:val="00250A67"/>
    <w:rsid w:val="00250AE1"/>
    <w:rsid w:val="00250ED5"/>
    <w:rsid w:val="00250FFF"/>
    <w:rsid w:val="002515EF"/>
    <w:rsid w:val="00251682"/>
    <w:rsid w:val="00251762"/>
    <w:rsid w:val="00251C64"/>
    <w:rsid w:val="00252072"/>
    <w:rsid w:val="002522F7"/>
    <w:rsid w:val="00252AD1"/>
    <w:rsid w:val="00252F52"/>
    <w:rsid w:val="0025306A"/>
    <w:rsid w:val="00253613"/>
    <w:rsid w:val="00253D7B"/>
    <w:rsid w:val="00253ECC"/>
    <w:rsid w:val="00254CAB"/>
    <w:rsid w:val="00255275"/>
    <w:rsid w:val="002552AB"/>
    <w:rsid w:val="002552FF"/>
    <w:rsid w:val="00255305"/>
    <w:rsid w:val="002555C7"/>
    <w:rsid w:val="00255721"/>
    <w:rsid w:val="00255CAC"/>
    <w:rsid w:val="0025646C"/>
    <w:rsid w:val="00256907"/>
    <w:rsid w:val="0025690B"/>
    <w:rsid w:val="00256AB6"/>
    <w:rsid w:val="00256DA5"/>
    <w:rsid w:val="00257796"/>
    <w:rsid w:val="00257BBA"/>
    <w:rsid w:val="00257C24"/>
    <w:rsid w:val="00257D20"/>
    <w:rsid w:val="00257F9A"/>
    <w:rsid w:val="002600BE"/>
    <w:rsid w:val="00260344"/>
    <w:rsid w:val="00260EB3"/>
    <w:rsid w:val="002613BD"/>
    <w:rsid w:val="00261740"/>
    <w:rsid w:val="002617A2"/>
    <w:rsid w:val="002617C7"/>
    <w:rsid w:val="002618AF"/>
    <w:rsid w:val="0026194E"/>
    <w:rsid w:val="00261E82"/>
    <w:rsid w:val="0026221E"/>
    <w:rsid w:val="00262300"/>
    <w:rsid w:val="00262359"/>
    <w:rsid w:val="002623F3"/>
    <w:rsid w:val="002624CB"/>
    <w:rsid w:val="00262983"/>
    <w:rsid w:val="002629AB"/>
    <w:rsid w:val="002629DB"/>
    <w:rsid w:val="00262DCD"/>
    <w:rsid w:val="00263321"/>
    <w:rsid w:val="00263971"/>
    <w:rsid w:val="00263C85"/>
    <w:rsid w:val="00264007"/>
    <w:rsid w:val="002648BD"/>
    <w:rsid w:val="00264D35"/>
    <w:rsid w:val="002652BB"/>
    <w:rsid w:val="0026549F"/>
    <w:rsid w:val="00265967"/>
    <w:rsid w:val="00265A7C"/>
    <w:rsid w:val="00265B34"/>
    <w:rsid w:val="00265BD3"/>
    <w:rsid w:val="00265BD4"/>
    <w:rsid w:val="00265EBE"/>
    <w:rsid w:val="00265EF6"/>
    <w:rsid w:val="00265FFD"/>
    <w:rsid w:val="00266541"/>
    <w:rsid w:val="002675AC"/>
    <w:rsid w:val="00267812"/>
    <w:rsid w:val="00267BB5"/>
    <w:rsid w:val="00267BFD"/>
    <w:rsid w:val="00267C1F"/>
    <w:rsid w:val="00267E36"/>
    <w:rsid w:val="00267E87"/>
    <w:rsid w:val="0027037D"/>
    <w:rsid w:val="002707D1"/>
    <w:rsid w:val="00270866"/>
    <w:rsid w:val="00270C85"/>
    <w:rsid w:val="00270E99"/>
    <w:rsid w:val="002710A2"/>
    <w:rsid w:val="002711CC"/>
    <w:rsid w:val="002712BB"/>
    <w:rsid w:val="0027199D"/>
    <w:rsid w:val="00271DA6"/>
    <w:rsid w:val="00272114"/>
    <w:rsid w:val="002726A2"/>
    <w:rsid w:val="002726DC"/>
    <w:rsid w:val="00272A6E"/>
    <w:rsid w:val="00272C2D"/>
    <w:rsid w:val="00272F26"/>
    <w:rsid w:val="00273704"/>
    <w:rsid w:val="00273E31"/>
    <w:rsid w:val="0027465B"/>
    <w:rsid w:val="00274C3D"/>
    <w:rsid w:val="00274D41"/>
    <w:rsid w:val="00274F40"/>
    <w:rsid w:val="0027563F"/>
    <w:rsid w:val="002757EC"/>
    <w:rsid w:val="00276207"/>
    <w:rsid w:val="002767B7"/>
    <w:rsid w:val="00276A0F"/>
    <w:rsid w:val="00276E89"/>
    <w:rsid w:val="002770E5"/>
    <w:rsid w:val="0027744E"/>
    <w:rsid w:val="002774BF"/>
    <w:rsid w:val="00277844"/>
    <w:rsid w:val="00280030"/>
    <w:rsid w:val="002800A8"/>
    <w:rsid w:val="00280327"/>
    <w:rsid w:val="00280750"/>
    <w:rsid w:val="00280BC1"/>
    <w:rsid w:val="0028123B"/>
    <w:rsid w:val="0028137B"/>
    <w:rsid w:val="0028146A"/>
    <w:rsid w:val="002814EC"/>
    <w:rsid w:val="00281537"/>
    <w:rsid w:val="00281786"/>
    <w:rsid w:val="00282761"/>
    <w:rsid w:val="00282B8B"/>
    <w:rsid w:val="0028304F"/>
    <w:rsid w:val="0028317C"/>
    <w:rsid w:val="00283324"/>
    <w:rsid w:val="002836EB"/>
    <w:rsid w:val="00283854"/>
    <w:rsid w:val="00283F0C"/>
    <w:rsid w:val="00284003"/>
    <w:rsid w:val="002842D7"/>
    <w:rsid w:val="00284448"/>
    <w:rsid w:val="00284D7B"/>
    <w:rsid w:val="00284E53"/>
    <w:rsid w:val="00284F16"/>
    <w:rsid w:val="002853D0"/>
    <w:rsid w:val="002854F1"/>
    <w:rsid w:val="002859B4"/>
    <w:rsid w:val="00285D7D"/>
    <w:rsid w:val="00285F56"/>
    <w:rsid w:val="00286085"/>
    <w:rsid w:val="00286339"/>
    <w:rsid w:val="0028633A"/>
    <w:rsid w:val="00286C4B"/>
    <w:rsid w:val="00287319"/>
    <w:rsid w:val="00287CB6"/>
    <w:rsid w:val="00287F8D"/>
    <w:rsid w:val="00290381"/>
    <w:rsid w:val="00290A2E"/>
    <w:rsid w:val="00290A9F"/>
    <w:rsid w:val="00290BC3"/>
    <w:rsid w:val="00291313"/>
    <w:rsid w:val="002913F2"/>
    <w:rsid w:val="0029140B"/>
    <w:rsid w:val="00291CD8"/>
    <w:rsid w:val="002923E5"/>
    <w:rsid w:val="0029254D"/>
    <w:rsid w:val="00292BE5"/>
    <w:rsid w:val="00292F88"/>
    <w:rsid w:val="00293180"/>
    <w:rsid w:val="002933BE"/>
    <w:rsid w:val="002933C5"/>
    <w:rsid w:val="002933D5"/>
    <w:rsid w:val="00293406"/>
    <w:rsid w:val="00293516"/>
    <w:rsid w:val="0029353A"/>
    <w:rsid w:val="00293F6A"/>
    <w:rsid w:val="00294584"/>
    <w:rsid w:val="002945DE"/>
    <w:rsid w:val="00294775"/>
    <w:rsid w:val="00294B0A"/>
    <w:rsid w:val="0029581C"/>
    <w:rsid w:val="00295CFE"/>
    <w:rsid w:val="00295FAD"/>
    <w:rsid w:val="00296187"/>
    <w:rsid w:val="0029620D"/>
    <w:rsid w:val="00296C3F"/>
    <w:rsid w:val="00296DE3"/>
    <w:rsid w:val="0029700C"/>
    <w:rsid w:val="00297080"/>
    <w:rsid w:val="0029793D"/>
    <w:rsid w:val="00297A98"/>
    <w:rsid w:val="00297D34"/>
    <w:rsid w:val="00297E59"/>
    <w:rsid w:val="002A0842"/>
    <w:rsid w:val="002A08C7"/>
    <w:rsid w:val="002A0975"/>
    <w:rsid w:val="002A0A59"/>
    <w:rsid w:val="002A0AE0"/>
    <w:rsid w:val="002A0F0F"/>
    <w:rsid w:val="002A1028"/>
    <w:rsid w:val="002A1871"/>
    <w:rsid w:val="002A2B4C"/>
    <w:rsid w:val="002A2BC9"/>
    <w:rsid w:val="002A3687"/>
    <w:rsid w:val="002A3791"/>
    <w:rsid w:val="002A380C"/>
    <w:rsid w:val="002A3C90"/>
    <w:rsid w:val="002A4531"/>
    <w:rsid w:val="002A48D9"/>
    <w:rsid w:val="002A4B59"/>
    <w:rsid w:val="002A531B"/>
    <w:rsid w:val="002A54DE"/>
    <w:rsid w:val="002A5BE5"/>
    <w:rsid w:val="002A5C55"/>
    <w:rsid w:val="002A5C72"/>
    <w:rsid w:val="002A6283"/>
    <w:rsid w:val="002A66B6"/>
    <w:rsid w:val="002A6C6E"/>
    <w:rsid w:val="002A6ED4"/>
    <w:rsid w:val="002A7705"/>
    <w:rsid w:val="002A7B12"/>
    <w:rsid w:val="002A7B4D"/>
    <w:rsid w:val="002B0841"/>
    <w:rsid w:val="002B0BAB"/>
    <w:rsid w:val="002B0C75"/>
    <w:rsid w:val="002B11CD"/>
    <w:rsid w:val="002B1767"/>
    <w:rsid w:val="002B2BC3"/>
    <w:rsid w:val="002B2E4E"/>
    <w:rsid w:val="002B2F02"/>
    <w:rsid w:val="002B30DF"/>
    <w:rsid w:val="002B340F"/>
    <w:rsid w:val="002B3539"/>
    <w:rsid w:val="002B4122"/>
    <w:rsid w:val="002B4559"/>
    <w:rsid w:val="002B4B63"/>
    <w:rsid w:val="002B4EE6"/>
    <w:rsid w:val="002B540B"/>
    <w:rsid w:val="002B57CF"/>
    <w:rsid w:val="002B59F7"/>
    <w:rsid w:val="002B5C13"/>
    <w:rsid w:val="002B6301"/>
    <w:rsid w:val="002B6307"/>
    <w:rsid w:val="002B648A"/>
    <w:rsid w:val="002B64DA"/>
    <w:rsid w:val="002B672A"/>
    <w:rsid w:val="002B68BB"/>
    <w:rsid w:val="002B6D4D"/>
    <w:rsid w:val="002B7071"/>
    <w:rsid w:val="002B7271"/>
    <w:rsid w:val="002B778C"/>
    <w:rsid w:val="002B7AC8"/>
    <w:rsid w:val="002B7D5C"/>
    <w:rsid w:val="002C090F"/>
    <w:rsid w:val="002C0DEA"/>
    <w:rsid w:val="002C0F92"/>
    <w:rsid w:val="002C11B5"/>
    <w:rsid w:val="002C12A1"/>
    <w:rsid w:val="002C1978"/>
    <w:rsid w:val="002C1C9E"/>
    <w:rsid w:val="002C240C"/>
    <w:rsid w:val="002C2526"/>
    <w:rsid w:val="002C2742"/>
    <w:rsid w:val="002C2BF7"/>
    <w:rsid w:val="002C2F2C"/>
    <w:rsid w:val="002C35F1"/>
    <w:rsid w:val="002C3E23"/>
    <w:rsid w:val="002C3F52"/>
    <w:rsid w:val="002C40D9"/>
    <w:rsid w:val="002C441F"/>
    <w:rsid w:val="002C4B91"/>
    <w:rsid w:val="002C4D00"/>
    <w:rsid w:val="002C55CA"/>
    <w:rsid w:val="002C585C"/>
    <w:rsid w:val="002C58B8"/>
    <w:rsid w:val="002C67A5"/>
    <w:rsid w:val="002C690F"/>
    <w:rsid w:val="002C7272"/>
    <w:rsid w:val="002C75B1"/>
    <w:rsid w:val="002C77A4"/>
    <w:rsid w:val="002C7A29"/>
    <w:rsid w:val="002C7A36"/>
    <w:rsid w:val="002C7F62"/>
    <w:rsid w:val="002D00A7"/>
    <w:rsid w:val="002D0B44"/>
    <w:rsid w:val="002D0E60"/>
    <w:rsid w:val="002D0F9C"/>
    <w:rsid w:val="002D16F1"/>
    <w:rsid w:val="002D1762"/>
    <w:rsid w:val="002D1860"/>
    <w:rsid w:val="002D1A95"/>
    <w:rsid w:val="002D1DD9"/>
    <w:rsid w:val="002D1EC5"/>
    <w:rsid w:val="002D2386"/>
    <w:rsid w:val="002D26DE"/>
    <w:rsid w:val="002D3561"/>
    <w:rsid w:val="002D3E9F"/>
    <w:rsid w:val="002D4791"/>
    <w:rsid w:val="002D4974"/>
    <w:rsid w:val="002D49A7"/>
    <w:rsid w:val="002D4D6D"/>
    <w:rsid w:val="002D4DAD"/>
    <w:rsid w:val="002D50E1"/>
    <w:rsid w:val="002D532B"/>
    <w:rsid w:val="002D54CF"/>
    <w:rsid w:val="002D54E6"/>
    <w:rsid w:val="002D5786"/>
    <w:rsid w:val="002D5795"/>
    <w:rsid w:val="002D604F"/>
    <w:rsid w:val="002D6085"/>
    <w:rsid w:val="002D6099"/>
    <w:rsid w:val="002D68CE"/>
    <w:rsid w:val="002D69C0"/>
    <w:rsid w:val="002D6B2E"/>
    <w:rsid w:val="002D6CCC"/>
    <w:rsid w:val="002D7205"/>
    <w:rsid w:val="002D7271"/>
    <w:rsid w:val="002D7988"/>
    <w:rsid w:val="002D7A39"/>
    <w:rsid w:val="002D7D60"/>
    <w:rsid w:val="002D7F3D"/>
    <w:rsid w:val="002E0F2A"/>
    <w:rsid w:val="002E12C4"/>
    <w:rsid w:val="002E161B"/>
    <w:rsid w:val="002E1980"/>
    <w:rsid w:val="002E1D57"/>
    <w:rsid w:val="002E1DA5"/>
    <w:rsid w:val="002E1DEE"/>
    <w:rsid w:val="002E20F9"/>
    <w:rsid w:val="002E25DC"/>
    <w:rsid w:val="002E27B9"/>
    <w:rsid w:val="002E3276"/>
    <w:rsid w:val="002E3364"/>
    <w:rsid w:val="002E34EB"/>
    <w:rsid w:val="002E352B"/>
    <w:rsid w:val="002E3BB2"/>
    <w:rsid w:val="002E3D56"/>
    <w:rsid w:val="002E44AF"/>
    <w:rsid w:val="002E4DC0"/>
    <w:rsid w:val="002E526F"/>
    <w:rsid w:val="002E538E"/>
    <w:rsid w:val="002E5A6D"/>
    <w:rsid w:val="002E5C65"/>
    <w:rsid w:val="002E5D67"/>
    <w:rsid w:val="002E5E22"/>
    <w:rsid w:val="002E5F85"/>
    <w:rsid w:val="002E6086"/>
    <w:rsid w:val="002E616B"/>
    <w:rsid w:val="002E65CC"/>
    <w:rsid w:val="002E6831"/>
    <w:rsid w:val="002E6DA0"/>
    <w:rsid w:val="002E6F70"/>
    <w:rsid w:val="002E702E"/>
    <w:rsid w:val="002E7377"/>
    <w:rsid w:val="002E7B57"/>
    <w:rsid w:val="002E7C20"/>
    <w:rsid w:val="002F01A5"/>
    <w:rsid w:val="002F0DD8"/>
    <w:rsid w:val="002F1103"/>
    <w:rsid w:val="002F12B3"/>
    <w:rsid w:val="002F1310"/>
    <w:rsid w:val="002F1334"/>
    <w:rsid w:val="002F19FD"/>
    <w:rsid w:val="002F1D77"/>
    <w:rsid w:val="002F20F6"/>
    <w:rsid w:val="002F2295"/>
    <w:rsid w:val="002F24A6"/>
    <w:rsid w:val="002F2506"/>
    <w:rsid w:val="002F281E"/>
    <w:rsid w:val="002F295E"/>
    <w:rsid w:val="002F2C7C"/>
    <w:rsid w:val="002F2C8D"/>
    <w:rsid w:val="002F31F8"/>
    <w:rsid w:val="002F3472"/>
    <w:rsid w:val="002F3480"/>
    <w:rsid w:val="002F35AE"/>
    <w:rsid w:val="002F3A96"/>
    <w:rsid w:val="002F496E"/>
    <w:rsid w:val="002F4B8C"/>
    <w:rsid w:val="002F4C02"/>
    <w:rsid w:val="002F53B0"/>
    <w:rsid w:val="002F56CB"/>
    <w:rsid w:val="002F58D1"/>
    <w:rsid w:val="002F5B40"/>
    <w:rsid w:val="002F5BAC"/>
    <w:rsid w:val="002F5D98"/>
    <w:rsid w:val="002F6336"/>
    <w:rsid w:val="002F6B46"/>
    <w:rsid w:val="002F6D2C"/>
    <w:rsid w:val="002F6E6C"/>
    <w:rsid w:val="002F7713"/>
    <w:rsid w:val="002F7AD5"/>
    <w:rsid w:val="002F7CD6"/>
    <w:rsid w:val="002F7DEF"/>
    <w:rsid w:val="00300550"/>
    <w:rsid w:val="003006FF"/>
    <w:rsid w:val="00300717"/>
    <w:rsid w:val="00300818"/>
    <w:rsid w:val="00300912"/>
    <w:rsid w:val="00301566"/>
    <w:rsid w:val="00301815"/>
    <w:rsid w:val="00301A47"/>
    <w:rsid w:val="00301AC7"/>
    <w:rsid w:val="00301ACF"/>
    <w:rsid w:val="00301D57"/>
    <w:rsid w:val="00301EC7"/>
    <w:rsid w:val="00302363"/>
    <w:rsid w:val="003025E9"/>
    <w:rsid w:val="003027AC"/>
    <w:rsid w:val="00302945"/>
    <w:rsid w:val="0030320C"/>
    <w:rsid w:val="003032AE"/>
    <w:rsid w:val="0030368E"/>
    <w:rsid w:val="00303A1A"/>
    <w:rsid w:val="00303BBC"/>
    <w:rsid w:val="00303EE4"/>
    <w:rsid w:val="00303FE6"/>
    <w:rsid w:val="00304278"/>
    <w:rsid w:val="00304891"/>
    <w:rsid w:val="00304D4F"/>
    <w:rsid w:val="0030505F"/>
    <w:rsid w:val="00305075"/>
    <w:rsid w:val="00305245"/>
    <w:rsid w:val="00305768"/>
    <w:rsid w:val="003065C2"/>
    <w:rsid w:val="0030692B"/>
    <w:rsid w:val="00306C39"/>
    <w:rsid w:val="00307086"/>
    <w:rsid w:val="003070C4"/>
    <w:rsid w:val="00307C01"/>
    <w:rsid w:val="003103D0"/>
    <w:rsid w:val="0031043B"/>
    <w:rsid w:val="003104D0"/>
    <w:rsid w:val="003104FA"/>
    <w:rsid w:val="00310639"/>
    <w:rsid w:val="003106D9"/>
    <w:rsid w:val="00310C56"/>
    <w:rsid w:val="00311344"/>
    <w:rsid w:val="00311C53"/>
    <w:rsid w:val="00311E51"/>
    <w:rsid w:val="00311E58"/>
    <w:rsid w:val="003120CC"/>
    <w:rsid w:val="003122F5"/>
    <w:rsid w:val="00312521"/>
    <w:rsid w:val="003127B2"/>
    <w:rsid w:val="003128A4"/>
    <w:rsid w:val="00312DEF"/>
    <w:rsid w:val="0031329B"/>
    <w:rsid w:val="003137B8"/>
    <w:rsid w:val="0031387F"/>
    <w:rsid w:val="0031408B"/>
    <w:rsid w:val="003140D7"/>
    <w:rsid w:val="00314329"/>
    <w:rsid w:val="00315151"/>
    <w:rsid w:val="00315943"/>
    <w:rsid w:val="00315A2D"/>
    <w:rsid w:val="00316902"/>
    <w:rsid w:val="00317298"/>
    <w:rsid w:val="003172CB"/>
    <w:rsid w:val="003175D8"/>
    <w:rsid w:val="00317972"/>
    <w:rsid w:val="00317BFA"/>
    <w:rsid w:val="00317D21"/>
    <w:rsid w:val="00320034"/>
    <w:rsid w:val="003207C6"/>
    <w:rsid w:val="00320818"/>
    <w:rsid w:val="00320A18"/>
    <w:rsid w:val="00320AD5"/>
    <w:rsid w:val="00320B90"/>
    <w:rsid w:val="00320E99"/>
    <w:rsid w:val="00320FBA"/>
    <w:rsid w:val="0032110D"/>
    <w:rsid w:val="00321163"/>
    <w:rsid w:val="00321273"/>
    <w:rsid w:val="003219AB"/>
    <w:rsid w:val="00321E95"/>
    <w:rsid w:val="0032206B"/>
    <w:rsid w:val="00322596"/>
    <w:rsid w:val="0032259E"/>
    <w:rsid w:val="0032271B"/>
    <w:rsid w:val="00322766"/>
    <w:rsid w:val="003228DC"/>
    <w:rsid w:val="00322AB8"/>
    <w:rsid w:val="00322F43"/>
    <w:rsid w:val="00324258"/>
    <w:rsid w:val="00325341"/>
    <w:rsid w:val="00325841"/>
    <w:rsid w:val="0032588A"/>
    <w:rsid w:val="00325C39"/>
    <w:rsid w:val="00327197"/>
    <w:rsid w:val="00327324"/>
    <w:rsid w:val="003273C5"/>
    <w:rsid w:val="00327556"/>
    <w:rsid w:val="0032756A"/>
    <w:rsid w:val="00327B25"/>
    <w:rsid w:val="00327F26"/>
    <w:rsid w:val="003303AB"/>
    <w:rsid w:val="00330736"/>
    <w:rsid w:val="00330C0B"/>
    <w:rsid w:val="003313BB"/>
    <w:rsid w:val="00331851"/>
    <w:rsid w:val="003324AD"/>
    <w:rsid w:val="0033284C"/>
    <w:rsid w:val="00332A19"/>
    <w:rsid w:val="00332F14"/>
    <w:rsid w:val="00333153"/>
    <w:rsid w:val="0033339A"/>
    <w:rsid w:val="00333574"/>
    <w:rsid w:val="00333830"/>
    <w:rsid w:val="00333CC7"/>
    <w:rsid w:val="00334A49"/>
    <w:rsid w:val="00334BA3"/>
    <w:rsid w:val="00334C67"/>
    <w:rsid w:val="00334DDF"/>
    <w:rsid w:val="0033526C"/>
    <w:rsid w:val="003352B0"/>
    <w:rsid w:val="0033537B"/>
    <w:rsid w:val="00335E9E"/>
    <w:rsid w:val="0033618A"/>
    <w:rsid w:val="00336433"/>
    <w:rsid w:val="00336506"/>
    <w:rsid w:val="0033654E"/>
    <w:rsid w:val="003369E0"/>
    <w:rsid w:val="00336E94"/>
    <w:rsid w:val="00337120"/>
    <w:rsid w:val="00337999"/>
    <w:rsid w:val="003403B1"/>
    <w:rsid w:val="003404F6"/>
    <w:rsid w:val="00340A96"/>
    <w:rsid w:val="00340E0C"/>
    <w:rsid w:val="00341147"/>
    <w:rsid w:val="003413FC"/>
    <w:rsid w:val="00341494"/>
    <w:rsid w:val="00341622"/>
    <w:rsid w:val="003416A9"/>
    <w:rsid w:val="00341F1C"/>
    <w:rsid w:val="003421EE"/>
    <w:rsid w:val="00342B2E"/>
    <w:rsid w:val="00342DD6"/>
    <w:rsid w:val="00342F47"/>
    <w:rsid w:val="0034306E"/>
    <w:rsid w:val="003431E7"/>
    <w:rsid w:val="00343597"/>
    <w:rsid w:val="00343711"/>
    <w:rsid w:val="00344439"/>
    <w:rsid w:val="00344736"/>
    <w:rsid w:val="0034490F"/>
    <w:rsid w:val="00344A00"/>
    <w:rsid w:val="00344BB1"/>
    <w:rsid w:val="00344CBE"/>
    <w:rsid w:val="00344CF9"/>
    <w:rsid w:val="00344E0F"/>
    <w:rsid w:val="00344E33"/>
    <w:rsid w:val="00345215"/>
    <w:rsid w:val="00345764"/>
    <w:rsid w:val="003457EA"/>
    <w:rsid w:val="0034580C"/>
    <w:rsid w:val="003460C1"/>
    <w:rsid w:val="0034635A"/>
    <w:rsid w:val="003469E9"/>
    <w:rsid w:val="00346BE9"/>
    <w:rsid w:val="00346C02"/>
    <w:rsid w:val="003470CF"/>
    <w:rsid w:val="00347886"/>
    <w:rsid w:val="00347CEE"/>
    <w:rsid w:val="003501D4"/>
    <w:rsid w:val="003507FC"/>
    <w:rsid w:val="00350A62"/>
    <w:rsid w:val="003514F7"/>
    <w:rsid w:val="00351564"/>
    <w:rsid w:val="003515A4"/>
    <w:rsid w:val="003517B5"/>
    <w:rsid w:val="003517CA"/>
    <w:rsid w:val="00351801"/>
    <w:rsid w:val="003526AF"/>
    <w:rsid w:val="003527AC"/>
    <w:rsid w:val="00353073"/>
    <w:rsid w:val="003538CD"/>
    <w:rsid w:val="00353B73"/>
    <w:rsid w:val="00354178"/>
    <w:rsid w:val="0035419A"/>
    <w:rsid w:val="0035440B"/>
    <w:rsid w:val="003544C7"/>
    <w:rsid w:val="00354D04"/>
    <w:rsid w:val="00354F2A"/>
    <w:rsid w:val="003552C9"/>
    <w:rsid w:val="003561DB"/>
    <w:rsid w:val="003566CA"/>
    <w:rsid w:val="00356947"/>
    <w:rsid w:val="00356F68"/>
    <w:rsid w:val="00357097"/>
    <w:rsid w:val="0035709B"/>
    <w:rsid w:val="00357339"/>
    <w:rsid w:val="003575BB"/>
    <w:rsid w:val="00360104"/>
    <w:rsid w:val="00360340"/>
    <w:rsid w:val="0036054A"/>
    <w:rsid w:val="003609D2"/>
    <w:rsid w:val="00360A35"/>
    <w:rsid w:val="0036123E"/>
    <w:rsid w:val="003613D5"/>
    <w:rsid w:val="00361472"/>
    <w:rsid w:val="003615F8"/>
    <w:rsid w:val="00361682"/>
    <w:rsid w:val="003618C8"/>
    <w:rsid w:val="00361999"/>
    <w:rsid w:val="00361EE0"/>
    <w:rsid w:val="00361F65"/>
    <w:rsid w:val="0036201C"/>
    <w:rsid w:val="00362073"/>
    <w:rsid w:val="00362413"/>
    <w:rsid w:val="003626EF"/>
    <w:rsid w:val="003629D3"/>
    <w:rsid w:val="003630AC"/>
    <w:rsid w:val="00363410"/>
    <w:rsid w:val="003636F6"/>
    <w:rsid w:val="003639E2"/>
    <w:rsid w:val="00363A6F"/>
    <w:rsid w:val="00363B05"/>
    <w:rsid w:val="00363D7F"/>
    <w:rsid w:val="00363DF0"/>
    <w:rsid w:val="00363E75"/>
    <w:rsid w:val="00364DC7"/>
    <w:rsid w:val="00364FCD"/>
    <w:rsid w:val="00365112"/>
    <w:rsid w:val="00365615"/>
    <w:rsid w:val="00365865"/>
    <w:rsid w:val="00365A68"/>
    <w:rsid w:val="00365B5B"/>
    <w:rsid w:val="00365D0C"/>
    <w:rsid w:val="00365ED7"/>
    <w:rsid w:val="00366246"/>
    <w:rsid w:val="003665E0"/>
    <w:rsid w:val="003669E6"/>
    <w:rsid w:val="00366AF3"/>
    <w:rsid w:val="00367111"/>
    <w:rsid w:val="003673A4"/>
    <w:rsid w:val="0036751E"/>
    <w:rsid w:val="003677B9"/>
    <w:rsid w:val="00367B7C"/>
    <w:rsid w:val="0037006B"/>
    <w:rsid w:val="00370A93"/>
    <w:rsid w:val="00370BA7"/>
    <w:rsid w:val="00371221"/>
    <w:rsid w:val="003712A4"/>
    <w:rsid w:val="003718CB"/>
    <w:rsid w:val="003719C6"/>
    <w:rsid w:val="00371CC1"/>
    <w:rsid w:val="00371EB7"/>
    <w:rsid w:val="003721E1"/>
    <w:rsid w:val="003727DC"/>
    <w:rsid w:val="00372814"/>
    <w:rsid w:val="003728A1"/>
    <w:rsid w:val="003728EF"/>
    <w:rsid w:val="003736EC"/>
    <w:rsid w:val="003738AC"/>
    <w:rsid w:val="003742E2"/>
    <w:rsid w:val="0037458E"/>
    <w:rsid w:val="0037494E"/>
    <w:rsid w:val="0037499D"/>
    <w:rsid w:val="00374B92"/>
    <w:rsid w:val="00375106"/>
    <w:rsid w:val="0037511A"/>
    <w:rsid w:val="00375627"/>
    <w:rsid w:val="00375A90"/>
    <w:rsid w:val="0037696F"/>
    <w:rsid w:val="003770FD"/>
    <w:rsid w:val="0037733A"/>
    <w:rsid w:val="003774C9"/>
    <w:rsid w:val="0038046E"/>
    <w:rsid w:val="00380A98"/>
    <w:rsid w:val="003811E3"/>
    <w:rsid w:val="00381361"/>
    <w:rsid w:val="00381BC3"/>
    <w:rsid w:val="00381CC1"/>
    <w:rsid w:val="00381CFD"/>
    <w:rsid w:val="003820EE"/>
    <w:rsid w:val="0038219E"/>
    <w:rsid w:val="003821E6"/>
    <w:rsid w:val="003823FA"/>
    <w:rsid w:val="00382A24"/>
    <w:rsid w:val="00382B31"/>
    <w:rsid w:val="00382B54"/>
    <w:rsid w:val="00382CA8"/>
    <w:rsid w:val="00382DAD"/>
    <w:rsid w:val="00383354"/>
    <w:rsid w:val="003834E7"/>
    <w:rsid w:val="00383AD9"/>
    <w:rsid w:val="00383DF0"/>
    <w:rsid w:val="003842C5"/>
    <w:rsid w:val="00384404"/>
    <w:rsid w:val="0038441B"/>
    <w:rsid w:val="00384628"/>
    <w:rsid w:val="00384840"/>
    <w:rsid w:val="00384C56"/>
    <w:rsid w:val="00384EDE"/>
    <w:rsid w:val="00384EE6"/>
    <w:rsid w:val="003851D0"/>
    <w:rsid w:val="0038538F"/>
    <w:rsid w:val="00385486"/>
    <w:rsid w:val="003858AE"/>
    <w:rsid w:val="00385940"/>
    <w:rsid w:val="00385CB4"/>
    <w:rsid w:val="00385E7F"/>
    <w:rsid w:val="00386380"/>
    <w:rsid w:val="0038647D"/>
    <w:rsid w:val="00386715"/>
    <w:rsid w:val="00386D69"/>
    <w:rsid w:val="00386FAE"/>
    <w:rsid w:val="00387466"/>
    <w:rsid w:val="003874FF"/>
    <w:rsid w:val="0038792F"/>
    <w:rsid w:val="00387A97"/>
    <w:rsid w:val="00387C09"/>
    <w:rsid w:val="00387EF7"/>
    <w:rsid w:val="00387FE3"/>
    <w:rsid w:val="00390549"/>
    <w:rsid w:val="00391411"/>
    <w:rsid w:val="003915B2"/>
    <w:rsid w:val="0039188B"/>
    <w:rsid w:val="00391F53"/>
    <w:rsid w:val="00392213"/>
    <w:rsid w:val="00392514"/>
    <w:rsid w:val="0039286B"/>
    <w:rsid w:val="0039331B"/>
    <w:rsid w:val="00393504"/>
    <w:rsid w:val="0039389A"/>
    <w:rsid w:val="00393A09"/>
    <w:rsid w:val="00394FF3"/>
    <w:rsid w:val="00395367"/>
    <w:rsid w:val="0039538E"/>
    <w:rsid w:val="003953C4"/>
    <w:rsid w:val="003955D1"/>
    <w:rsid w:val="00395722"/>
    <w:rsid w:val="00395CEF"/>
    <w:rsid w:val="00395D29"/>
    <w:rsid w:val="00395E55"/>
    <w:rsid w:val="0039638A"/>
    <w:rsid w:val="00396B24"/>
    <w:rsid w:val="00396F16"/>
    <w:rsid w:val="00396F67"/>
    <w:rsid w:val="0039780A"/>
    <w:rsid w:val="0039789C"/>
    <w:rsid w:val="00397DE5"/>
    <w:rsid w:val="00397FF9"/>
    <w:rsid w:val="003A0200"/>
    <w:rsid w:val="003A09A3"/>
    <w:rsid w:val="003A0A5B"/>
    <w:rsid w:val="003A0F14"/>
    <w:rsid w:val="003A1055"/>
    <w:rsid w:val="003A125B"/>
    <w:rsid w:val="003A16BE"/>
    <w:rsid w:val="003A1F9F"/>
    <w:rsid w:val="003A2474"/>
    <w:rsid w:val="003A2687"/>
    <w:rsid w:val="003A2A6D"/>
    <w:rsid w:val="003A2BFD"/>
    <w:rsid w:val="003A2D6B"/>
    <w:rsid w:val="003A34DA"/>
    <w:rsid w:val="003A3582"/>
    <w:rsid w:val="003A3EB7"/>
    <w:rsid w:val="003A3FB0"/>
    <w:rsid w:val="003A41A0"/>
    <w:rsid w:val="003A4300"/>
    <w:rsid w:val="003A43A6"/>
    <w:rsid w:val="003A4444"/>
    <w:rsid w:val="003A48BF"/>
    <w:rsid w:val="003A4AEF"/>
    <w:rsid w:val="003A4D34"/>
    <w:rsid w:val="003A59B5"/>
    <w:rsid w:val="003A5A60"/>
    <w:rsid w:val="003A5B39"/>
    <w:rsid w:val="003A5E7F"/>
    <w:rsid w:val="003A624F"/>
    <w:rsid w:val="003A66E4"/>
    <w:rsid w:val="003A6A4F"/>
    <w:rsid w:val="003A6A70"/>
    <w:rsid w:val="003A6CA3"/>
    <w:rsid w:val="003A7BCC"/>
    <w:rsid w:val="003A7D3C"/>
    <w:rsid w:val="003A7E1E"/>
    <w:rsid w:val="003B0A08"/>
    <w:rsid w:val="003B0B90"/>
    <w:rsid w:val="003B1108"/>
    <w:rsid w:val="003B1119"/>
    <w:rsid w:val="003B1890"/>
    <w:rsid w:val="003B1945"/>
    <w:rsid w:val="003B1A8E"/>
    <w:rsid w:val="003B1AA3"/>
    <w:rsid w:val="003B2656"/>
    <w:rsid w:val="003B268A"/>
    <w:rsid w:val="003B28FC"/>
    <w:rsid w:val="003B2AD7"/>
    <w:rsid w:val="003B2BBC"/>
    <w:rsid w:val="003B31CE"/>
    <w:rsid w:val="003B32DC"/>
    <w:rsid w:val="003B3C24"/>
    <w:rsid w:val="003B3DD0"/>
    <w:rsid w:val="003B3DEB"/>
    <w:rsid w:val="003B41BE"/>
    <w:rsid w:val="003B5066"/>
    <w:rsid w:val="003B5405"/>
    <w:rsid w:val="003B59B8"/>
    <w:rsid w:val="003B5AB4"/>
    <w:rsid w:val="003B5D36"/>
    <w:rsid w:val="003B60F0"/>
    <w:rsid w:val="003B6138"/>
    <w:rsid w:val="003B61A8"/>
    <w:rsid w:val="003B62F9"/>
    <w:rsid w:val="003B6BB3"/>
    <w:rsid w:val="003B75AE"/>
    <w:rsid w:val="003B7600"/>
    <w:rsid w:val="003B7633"/>
    <w:rsid w:val="003B76AD"/>
    <w:rsid w:val="003B7902"/>
    <w:rsid w:val="003B7D4B"/>
    <w:rsid w:val="003C0186"/>
    <w:rsid w:val="003C0465"/>
    <w:rsid w:val="003C0798"/>
    <w:rsid w:val="003C085B"/>
    <w:rsid w:val="003C09FC"/>
    <w:rsid w:val="003C0A63"/>
    <w:rsid w:val="003C15DE"/>
    <w:rsid w:val="003C1948"/>
    <w:rsid w:val="003C1EAE"/>
    <w:rsid w:val="003C1FCE"/>
    <w:rsid w:val="003C203F"/>
    <w:rsid w:val="003C2647"/>
    <w:rsid w:val="003C26A5"/>
    <w:rsid w:val="003C2986"/>
    <w:rsid w:val="003C2B5F"/>
    <w:rsid w:val="003C2DB0"/>
    <w:rsid w:val="003C2E67"/>
    <w:rsid w:val="003C3051"/>
    <w:rsid w:val="003C32CE"/>
    <w:rsid w:val="003C338C"/>
    <w:rsid w:val="003C3AC7"/>
    <w:rsid w:val="003C3C9C"/>
    <w:rsid w:val="003C410B"/>
    <w:rsid w:val="003C43D9"/>
    <w:rsid w:val="003C4506"/>
    <w:rsid w:val="003C487A"/>
    <w:rsid w:val="003C4D5D"/>
    <w:rsid w:val="003C4F6B"/>
    <w:rsid w:val="003C4FBF"/>
    <w:rsid w:val="003C519A"/>
    <w:rsid w:val="003C5545"/>
    <w:rsid w:val="003C5BFB"/>
    <w:rsid w:val="003C5D73"/>
    <w:rsid w:val="003C5DE1"/>
    <w:rsid w:val="003C619B"/>
    <w:rsid w:val="003C629D"/>
    <w:rsid w:val="003C6E47"/>
    <w:rsid w:val="003C6F56"/>
    <w:rsid w:val="003C717A"/>
    <w:rsid w:val="003C7198"/>
    <w:rsid w:val="003C720C"/>
    <w:rsid w:val="003C7893"/>
    <w:rsid w:val="003C7B3C"/>
    <w:rsid w:val="003C7E59"/>
    <w:rsid w:val="003C7F7F"/>
    <w:rsid w:val="003D02F0"/>
    <w:rsid w:val="003D071F"/>
    <w:rsid w:val="003D0CA3"/>
    <w:rsid w:val="003D0E21"/>
    <w:rsid w:val="003D13E0"/>
    <w:rsid w:val="003D149E"/>
    <w:rsid w:val="003D14DB"/>
    <w:rsid w:val="003D1558"/>
    <w:rsid w:val="003D15CF"/>
    <w:rsid w:val="003D16D3"/>
    <w:rsid w:val="003D19C7"/>
    <w:rsid w:val="003D1BCF"/>
    <w:rsid w:val="003D1FFF"/>
    <w:rsid w:val="003D2FA8"/>
    <w:rsid w:val="003D3181"/>
    <w:rsid w:val="003D3356"/>
    <w:rsid w:val="003D3AB9"/>
    <w:rsid w:val="003D3AD3"/>
    <w:rsid w:val="003D3C41"/>
    <w:rsid w:val="003D4043"/>
    <w:rsid w:val="003D4610"/>
    <w:rsid w:val="003D461D"/>
    <w:rsid w:val="003D46BA"/>
    <w:rsid w:val="003D48E4"/>
    <w:rsid w:val="003D4E4F"/>
    <w:rsid w:val="003D4EE6"/>
    <w:rsid w:val="003D510F"/>
    <w:rsid w:val="003D55B8"/>
    <w:rsid w:val="003D5B02"/>
    <w:rsid w:val="003D6BE0"/>
    <w:rsid w:val="003D6D8C"/>
    <w:rsid w:val="003D6FA7"/>
    <w:rsid w:val="003D7170"/>
    <w:rsid w:val="003D7379"/>
    <w:rsid w:val="003D7491"/>
    <w:rsid w:val="003D7C73"/>
    <w:rsid w:val="003D7EE6"/>
    <w:rsid w:val="003E01AE"/>
    <w:rsid w:val="003E03D4"/>
    <w:rsid w:val="003E060E"/>
    <w:rsid w:val="003E0B7D"/>
    <w:rsid w:val="003E0D37"/>
    <w:rsid w:val="003E0F03"/>
    <w:rsid w:val="003E10BC"/>
    <w:rsid w:val="003E1573"/>
    <w:rsid w:val="003E16E5"/>
    <w:rsid w:val="003E229E"/>
    <w:rsid w:val="003E2894"/>
    <w:rsid w:val="003E31C9"/>
    <w:rsid w:val="003E340E"/>
    <w:rsid w:val="003E371A"/>
    <w:rsid w:val="003E382F"/>
    <w:rsid w:val="003E4040"/>
    <w:rsid w:val="003E4717"/>
    <w:rsid w:val="003E545E"/>
    <w:rsid w:val="003E5503"/>
    <w:rsid w:val="003E5565"/>
    <w:rsid w:val="003E5BA5"/>
    <w:rsid w:val="003E5FA7"/>
    <w:rsid w:val="003E5FF6"/>
    <w:rsid w:val="003E60D6"/>
    <w:rsid w:val="003E6303"/>
    <w:rsid w:val="003E65E0"/>
    <w:rsid w:val="003E66FB"/>
    <w:rsid w:val="003E6724"/>
    <w:rsid w:val="003E6A1E"/>
    <w:rsid w:val="003E6DA1"/>
    <w:rsid w:val="003E784B"/>
    <w:rsid w:val="003E78FE"/>
    <w:rsid w:val="003E7A39"/>
    <w:rsid w:val="003E7BA5"/>
    <w:rsid w:val="003E7C11"/>
    <w:rsid w:val="003E7C12"/>
    <w:rsid w:val="003F02AB"/>
    <w:rsid w:val="003F03DA"/>
    <w:rsid w:val="003F0533"/>
    <w:rsid w:val="003F0D06"/>
    <w:rsid w:val="003F0F31"/>
    <w:rsid w:val="003F102E"/>
    <w:rsid w:val="003F1241"/>
    <w:rsid w:val="003F183E"/>
    <w:rsid w:val="003F1AFC"/>
    <w:rsid w:val="003F1BFD"/>
    <w:rsid w:val="003F1C6A"/>
    <w:rsid w:val="003F1CA8"/>
    <w:rsid w:val="003F1FE7"/>
    <w:rsid w:val="003F2305"/>
    <w:rsid w:val="003F25CE"/>
    <w:rsid w:val="003F278E"/>
    <w:rsid w:val="003F281C"/>
    <w:rsid w:val="003F2B94"/>
    <w:rsid w:val="003F2C6E"/>
    <w:rsid w:val="003F2CF5"/>
    <w:rsid w:val="003F2E04"/>
    <w:rsid w:val="003F38BB"/>
    <w:rsid w:val="003F3948"/>
    <w:rsid w:val="003F3AF3"/>
    <w:rsid w:val="003F3FC4"/>
    <w:rsid w:val="003F40F6"/>
    <w:rsid w:val="003F43C8"/>
    <w:rsid w:val="003F476D"/>
    <w:rsid w:val="003F49A4"/>
    <w:rsid w:val="003F4C97"/>
    <w:rsid w:val="003F4DFE"/>
    <w:rsid w:val="003F5400"/>
    <w:rsid w:val="003F5848"/>
    <w:rsid w:val="003F5B71"/>
    <w:rsid w:val="003F6704"/>
    <w:rsid w:val="003F6856"/>
    <w:rsid w:val="003F6AF7"/>
    <w:rsid w:val="003F6DE5"/>
    <w:rsid w:val="003F6EBF"/>
    <w:rsid w:val="003F6FE1"/>
    <w:rsid w:val="003F74FE"/>
    <w:rsid w:val="003F78AF"/>
    <w:rsid w:val="003F79DE"/>
    <w:rsid w:val="003F7EC3"/>
    <w:rsid w:val="004001CE"/>
    <w:rsid w:val="004003E4"/>
    <w:rsid w:val="004011DC"/>
    <w:rsid w:val="004018A1"/>
    <w:rsid w:val="00401990"/>
    <w:rsid w:val="00401E51"/>
    <w:rsid w:val="00401F23"/>
    <w:rsid w:val="00402017"/>
    <w:rsid w:val="00402202"/>
    <w:rsid w:val="004024EF"/>
    <w:rsid w:val="0040292E"/>
    <w:rsid w:val="004029A9"/>
    <w:rsid w:val="004029DA"/>
    <w:rsid w:val="00402C42"/>
    <w:rsid w:val="00402C46"/>
    <w:rsid w:val="004030E7"/>
    <w:rsid w:val="004038E5"/>
    <w:rsid w:val="00403F6B"/>
    <w:rsid w:val="004046D6"/>
    <w:rsid w:val="00404A19"/>
    <w:rsid w:val="00404DF6"/>
    <w:rsid w:val="00405767"/>
    <w:rsid w:val="00405CE6"/>
    <w:rsid w:val="00405D0F"/>
    <w:rsid w:val="0040610B"/>
    <w:rsid w:val="004068DB"/>
    <w:rsid w:val="004069BE"/>
    <w:rsid w:val="00406AC1"/>
    <w:rsid w:val="004075A1"/>
    <w:rsid w:val="004075D7"/>
    <w:rsid w:val="0040772D"/>
    <w:rsid w:val="00407AF7"/>
    <w:rsid w:val="00410113"/>
    <w:rsid w:val="00410297"/>
    <w:rsid w:val="0041037D"/>
    <w:rsid w:val="004105FF"/>
    <w:rsid w:val="00410787"/>
    <w:rsid w:val="0041087F"/>
    <w:rsid w:val="00410AEC"/>
    <w:rsid w:val="00410BDC"/>
    <w:rsid w:val="00410CD3"/>
    <w:rsid w:val="00410DFF"/>
    <w:rsid w:val="00411496"/>
    <w:rsid w:val="004115E7"/>
    <w:rsid w:val="00411887"/>
    <w:rsid w:val="00411F9D"/>
    <w:rsid w:val="004120B6"/>
    <w:rsid w:val="0041223E"/>
    <w:rsid w:val="0041290D"/>
    <w:rsid w:val="00412DE5"/>
    <w:rsid w:val="00413422"/>
    <w:rsid w:val="004134C1"/>
    <w:rsid w:val="00413520"/>
    <w:rsid w:val="00413613"/>
    <w:rsid w:val="00413833"/>
    <w:rsid w:val="004142AC"/>
    <w:rsid w:val="004147BE"/>
    <w:rsid w:val="0041493A"/>
    <w:rsid w:val="00414CB2"/>
    <w:rsid w:val="00414E1D"/>
    <w:rsid w:val="0041514F"/>
    <w:rsid w:val="00415340"/>
    <w:rsid w:val="00415EBC"/>
    <w:rsid w:val="00415F96"/>
    <w:rsid w:val="00416996"/>
    <w:rsid w:val="00416E0D"/>
    <w:rsid w:val="00416F4A"/>
    <w:rsid w:val="00417407"/>
    <w:rsid w:val="00417605"/>
    <w:rsid w:val="0041780E"/>
    <w:rsid w:val="00417832"/>
    <w:rsid w:val="00417CD3"/>
    <w:rsid w:val="00417D5A"/>
    <w:rsid w:val="00417E89"/>
    <w:rsid w:val="00420B19"/>
    <w:rsid w:val="00420B71"/>
    <w:rsid w:val="00420E41"/>
    <w:rsid w:val="00420EAE"/>
    <w:rsid w:val="0042166D"/>
    <w:rsid w:val="00421A01"/>
    <w:rsid w:val="00421E25"/>
    <w:rsid w:val="00422005"/>
    <w:rsid w:val="004223C7"/>
    <w:rsid w:val="00422AEE"/>
    <w:rsid w:val="00422D9F"/>
    <w:rsid w:val="00423028"/>
    <w:rsid w:val="0042324E"/>
    <w:rsid w:val="0042338A"/>
    <w:rsid w:val="00423594"/>
    <w:rsid w:val="00423843"/>
    <w:rsid w:val="00423C3E"/>
    <w:rsid w:val="00423CDA"/>
    <w:rsid w:val="00423F11"/>
    <w:rsid w:val="00424149"/>
    <w:rsid w:val="00424A12"/>
    <w:rsid w:val="00424AC8"/>
    <w:rsid w:val="00424BD2"/>
    <w:rsid w:val="00425622"/>
    <w:rsid w:val="00425BFF"/>
    <w:rsid w:val="00425F6C"/>
    <w:rsid w:val="00426D28"/>
    <w:rsid w:val="00427201"/>
    <w:rsid w:val="00427D41"/>
    <w:rsid w:val="00427E77"/>
    <w:rsid w:val="00427F8E"/>
    <w:rsid w:val="00430032"/>
    <w:rsid w:val="00430166"/>
    <w:rsid w:val="0043019F"/>
    <w:rsid w:val="0043021F"/>
    <w:rsid w:val="00430251"/>
    <w:rsid w:val="00430660"/>
    <w:rsid w:val="0043082E"/>
    <w:rsid w:val="00430852"/>
    <w:rsid w:val="004309D3"/>
    <w:rsid w:val="00430BBF"/>
    <w:rsid w:val="00430C59"/>
    <w:rsid w:val="004311A7"/>
    <w:rsid w:val="00431359"/>
    <w:rsid w:val="00431372"/>
    <w:rsid w:val="00431414"/>
    <w:rsid w:val="004317A3"/>
    <w:rsid w:val="0043191D"/>
    <w:rsid w:val="00431AE5"/>
    <w:rsid w:val="00431C50"/>
    <w:rsid w:val="00431E31"/>
    <w:rsid w:val="00432D4F"/>
    <w:rsid w:val="004332CE"/>
    <w:rsid w:val="004335AB"/>
    <w:rsid w:val="00433644"/>
    <w:rsid w:val="0043398C"/>
    <w:rsid w:val="004343D0"/>
    <w:rsid w:val="004344F7"/>
    <w:rsid w:val="004346E9"/>
    <w:rsid w:val="004347FD"/>
    <w:rsid w:val="004348F8"/>
    <w:rsid w:val="0043494E"/>
    <w:rsid w:val="00434E57"/>
    <w:rsid w:val="00434F34"/>
    <w:rsid w:val="00435466"/>
    <w:rsid w:val="004355A7"/>
    <w:rsid w:val="004357D8"/>
    <w:rsid w:val="0043625E"/>
    <w:rsid w:val="004366CA"/>
    <w:rsid w:val="00436728"/>
    <w:rsid w:val="00436895"/>
    <w:rsid w:val="0043732C"/>
    <w:rsid w:val="00437A5A"/>
    <w:rsid w:val="00437A86"/>
    <w:rsid w:val="004406B1"/>
    <w:rsid w:val="004408EB"/>
    <w:rsid w:val="00440ED0"/>
    <w:rsid w:val="0044106E"/>
    <w:rsid w:val="0044107A"/>
    <w:rsid w:val="00441754"/>
    <w:rsid w:val="004417DF"/>
    <w:rsid w:val="00441FE6"/>
    <w:rsid w:val="00441FFF"/>
    <w:rsid w:val="00442A1D"/>
    <w:rsid w:val="00442CE5"/>
    <w:rsid w:val="00442E41"/>
    <w:rsid w:val="00443067"/>
    <w:rsid w:val="004431E0"/>
    <w:rsid w:val="004431F6"/>
    <w:rsid w:val="00443BC0"/>
    <w:rsid w:val="00443C5C"/>
    <w:rsid w:val="00443F5F"/>
    <w:rsid w:val="004442B3"/>
    <w:rsid w:val="00444467"/>
    <w:rsid w:val="004444AF"/>
    <w:rsid w:val="0044481A"/>
    <w:rsid w:val="0044497D"/>
    <w:rsid w:val="00444B2F"/>
    <w:rsid w:val="00444BAE"/>
    <w:rsid w:val="00444EE7"/>
    <w:rsid w:val="0044519E"/>
    <w:rsid w:val="004457CB"/>
    <w:rsid w:val="004457D7"/>
    <w:rsid w:val="00445A5A"/>
    <w:rsid w:val="00445E15"/>
    <w:rsid w:val="004462D4"/>
    <w:rsid w:val="004464F4"/>
    <w:rsid w:val="0044659E"/>
    <w:rsid w:val="0044675F"/>
    <w:rsid w:val="00446AE1"/>
    <w:rsid w:val="00446B24"/>
    <w:rsid w:val="0044702E"/>
    <w:rsid w:val="00447134"/>
    <w:rsid w:val="00447464"/>
    <w:rsid w:val="0044764A"/>
    <w:rsid w:val="004476AE"/>
    <w:rsid w:val="0044792A"/>
    <w:rsid w:val="00447AB8"/>
    <w:rsid w:val="00447F6D"/>
    <w:rsid w:val="00450038"/>
    <w:rsid w:val="004500A9"/>
    <w:rsid w:val="00450207"/>
    <w:rsid w:val="00450400"/>
    <w:rsid w:val="00451764"/>
    <w:rsid w:val="00451864"/>
    <w:rsid w:val="00451958"/>
    <w:rsid w:val="00451CFF"/>
    <w:rsid w:val="0045234D"/>
    <w:rsid w:val="00452536"/>
    <w:rsid w:val="0045281A"/>
    <w:rsid w:val="00452911"/>
    <w:rsid w:val="00452CC6"/>
    <w:rsid w:val="00452EFC"/>
    <w:rsid w:val="00453076"/>
    <w:rsid w:val="004533D1"/>
    <w:rsid w:val="004536EB"/>
    <w:rsid w:val="0045398E"/>
    <w:rsid w:val="00453A66"/>
    <w:rsid w:val="00453A8E"/>
    <w:rsid w:val="00453FA8"/>
    <w:rsid w:val="00453FFA"/>
    <w:rsid w:val="00454BBE"/>
    <w:rsid w:val="00454C2A"/>
    <w:rsid w:val="00454FA9"/>
    <w:rsid w:val="00455733"/>
    <w:rsid w:val="004557D0"/>
    <w:rsid w:val="00455ECF"/>
    <w:rsid w:val="00455EFD"/>
    <w:rsid w:val="00455FF0"/>
    <w:rsid w:val="004561BA"/>
    <w:rsid w:val="00456321"/>
    <w:rsid w:val="004564EA"/>
    <w:rsid w:val="0045655A"/>
    <w:rsid w:val="0045675F"/>
    <w:rsid w:val="00456A1F"/>
    <w:rsid w:val="00456AB7"/>
    <w:rsid w:val="00456D37"/>
    <w:rsid w:val="00456E11"/>
    <w:rsid w:val="00456FF9"/>
    <w:rsid w:val="004572DD"/>
    <w:rsid w:val="0045781F"/>
    <w:rsid w:val="00460124"/>
    <w:rsid w:val="004602BC"/>
    <w:rsid w:val="0046078F"/>
    <w:rsid w:val="004608A5"/>
    <w:rsid w:val="004610A5"/>
    <w:rsid w:val="004613AE"/>
    <w:rsid w:val="00461475"/>
    <w:rsid w:val="00461551"/>
    <w:rsid w:val="00461C8A"/>
    <w:rsid w:val="00462430"/>
    <w:rsid w:val="0046248E"/>
    <w:rsid w:val="00462852"/>
    <w:rsid w:val="004628B4"/>
    <w:rsid w:val="004629AE"/>
    <w:rsid w:val="00462B7F"/>
    <w:rsid w:val="00462E9D"/>
    <w:rsid w:val="0046314F"/>
    <w:rsid w:val="0046331C"/>
    <w:rsid w:val="00463376"/>
    <w:rsid w:val="004633ED"/>
    <w:rsid w:val="0046365A"/>
    <w:rsid w:val="0046372F"/>
    <w:rsid w:val="00463BE4"/>
    <w:rsid w:val="00463D53"/>
    <w:rsid w:val="00464044"/>
    <w:rsid w:val="00464A15"/>
    <w:rsid w:val="00464BBB"/>
    <w:rsid w:val="00464E51"/>
    <w:rsid w:val="00465290"/>
    <w:rsid w:val="0046543A"/>
    <w:rsid w:val="004657A3"/>
    <w:rsid w:val="00465806"/>
    <w:rsid w:val="004661A3"/>
    <w:rsid w:val="004667F9"/>
    <w:rsid w:val="0046777D"/>
    <w:rsid w:val="00467E28"/>
    <w:rsid w:val="00467FBE"/>
    <w:rsid w:val="00470073"/>
    <w:rsid w:val="00470113"/>
    <w:rsid w:val="00470424"/>
    <w:rsid w:val="0047085F"/>
    <w:rsid w:val="00470B17"/>
    <w:rsid w:val="00470C26"/>
    <w:rsid w:val="00470C7A"/>
    <w:rsid w:val="00471260"/>
    <w:rsid w:val="00471DAC"/>
    <w:rsid w:val="00471E02"/>
    <w:rsid w:val="0047346E"/>
    <w:rsid w:val="00473A12"/>
    <w:rsid w:val="00473D5A"/>
    <w:rsid w:val="00473E7E"/>
    <w:rsid w:val="00474150"/>
    <w:rsid w:val="004748DF"/>
    <w:rsid w:val="00474D87"/>
    <w:rsid w:val="00475064"/>
    <w:rsid w:val="00475404"/>
    <w:rsid w:val="0047570C"/>
    <w:rsid w:val="00475B04"/>
    <w:rsid w:val="00476041"/>
    <w:rsid w:val="00476409"/>
    <w:rsid w:val="0047667F"/>
    <w:rsid w:val="00476885"/>
    <w:rsid w:val="004769A8"/>
    <w:rsid w:val="00476D94"/>
    <w:rsid w:val="0047735D"/>
    <w:rsid w:val="00477609"/>
    <w:rsid w:val="004777C6"/>
    <w:rsid w:val="004778E2"/>
    <w:rsid w:val="00477D52"/>
    <w:rsid w:val="0048059E"/>
    <w:rsid w:val="004808C8"/>
    <w:rsid w:val="00480B43"/>
    <w:rsid w:val="00481296"/>
    <w:rsid w:val="004813F9"/>
    <w:rsid w:val="0048147C"/>
    <w:rsid w:val="00481482"/>
    <w:rsid w:val="00481605"/>
    <w:rsid w:val="00481867"/>
    <w:rsid w:val="00481C55"/>
    <w:rsid w:val="00481F6A"/>
    <w:rsid w:val="00482079"/>
    <w:rsid w:val="0048226F"/>
    <w:rsid w:val="0048280A"/>
    <w:rsid w:val="00482987"/>
    <w:rsid w:val="00482BE0"/>
    <w:rsid w:val="00482DB3"/>
    <w:rsid w:val="00482EFF"/>
    <w:rsid w:val="004834F3"/>
    <w:rsid w:val="00484050"/>
    <w:rsid w:val="00484594"/>
    <w:rsid w:val="004845F5"/>
    <w:rsid w:val="004849A5"/>
    <w:rsid w:val="00484ADA"/>
    <w:rsid w:val="00485448"/>
    <w:rsid w:val="00485745"/>
    <w:rsid w:val="0048592D"/>
    <w:rsid w:val="00485B0C"/>
    <w:rsid w:val="00485C9D"/>
    <w:rsid w:val="00485CC5"/>
    <w:rsid w:val="00485D36"/>
    <w:rsid w:val="004860FC"/>
    <w:rsid w:val="00486160"/>
    <w:rsid w:val="00486300"/>
    <w:rsid w:val="004864E3"/>
    <w:rsid w:val="0048655C"/>
    <w:rsid w:val="00486565"/>
    <w:rsid w:val="00486689"/>
    <w:rsid w:val="0048683F"/>
    <w:rsid w:val="00486976"/>
    <w:rsid w:val="00486E3F"/>
    <w:rsid w:val="0048734B"/>
    <w:rsid w:val="004874E7"/>
    <w:rsid w:val="00487DE7"/>
    <w:rsid w:val="004909A9"/>
    <w:rsid w:val="00490C5B"/>
    <w:rsid w:val="0049105C"/>
    <w:rsid w:val="0049123A"/>
    <w:rsid w:val="004912E9"/>
    <w:rsid w:val="00491B35"/>
    <w:rsid w:val="00491ED1"/>
    <w:rsid w:val="0049213A"/>
    <w:rsid w:val="004923E9"/>
    <w:rsid w:val="004927F8"/>
    <w:rsid w:val="0049294B"/>
    <w:rsid w:val="00492DA6"/>
    <w:rsid w:val="00492F7E"/>
    <w:rsid w:val="0049327C"/>
    <w:rsid w:val="00493AF1"/>
    <w:rsid w:val="00493BE3"/>
    <w:rsid w:val="00493DD8"/>
    <w:rsid w:val="00493EBD"/>
    <w:rsid w:val="00494536"/>
    <w:rsid w:val="00494E43"/>
    <w:rsid w:val="00494FC9"/>
    <w:rsid w:val="00494FDD"/>
    <w:rsid w:val="00495299"/>
    <w:rsid w:val="004959DB"/>
    <w:rsid w:val="00495C10"/>
    <w:rsid w:val="0049610B"/>
    <w:rsid w:val="00496481"/>
    <w:rsid w:val="00496693"/>
    <w:rsid w:val="00496744"/>
    <w:rsid w:val="00496877"/>
    <w:rsid w:val="00496970"/>
    <w:rsid w:val="00496C21"/>
    <w:rsid w:val="00497933"/>
    <w:rsid w:val="00497F24"/>
    <w:rsid w:val="004A048F"/>
    <w:rsid w:val="004A0594"/>
    <w:rsid w:val="004A0646"/>
    <w:rsid w:val="004A0C7B"/>
    <w:rsid w:val="004A0FF2"/>
    <w:rsid w:val="004A122E"/>
    <w:rsid w:val="004A1AFE"/>
    <w:rsid w:val="004A1C92"/>
    <w:rsid w:val="004A1EB4"/>
    <w:rsid w:val="004A2359"/>
    <w:rsid w:val="004A26C5"/>
    <w:rsid w:val="004A28CA"/>
    <w:rsid w:val="004A2950"/>
    <w:rsid w:val="004A2B4C"/>
    <w:rsid w:val="004A2B59"/>
    <w:rsid w:val="004A2E50"/>
    <w:rsid w:val="004A2E97"/>
    <w:rsid w:val="004A2EFA"/>
    <w:rsid w:val="004A35FB"/>
    <w:rsid w:val="004A375B"/>
    <w:rsid w:val="004A391F"/>
    <w:rsid w:val="004A3E52"/>
    <w:rsid w:val="004A44BF"/>
    <w:rsid w:val="004A44C8"/>
    <w:rsid w:val="004A4B44"/>
    <w:rsid w:val="004A4CA8"/>
    <w:rsid w:val="004A53DF"/>
    <w:rsid w:val="004A5474"/>
    <w:rsid w:val="004A59D7"/>
    <w:rsid w:val="004A62EA"/>
    <w:rsid w:val="004A6D1D"/>
    <w:rsid w:val="004A7519"/>
    <w:rsid w:val="004A7614"/>
    <w:rsid w:val="004A7AA1"/>
    <w:rsid w:val="004A7C88"/>
    <w:rsid w:val="004A7DE3"/>
    <w:rsid w:val="004B1762"/>
    <w:rsid w:val="004B2CF9"/>
    <w:rsid w:val="004B31CD"/>
    <w:rsid w:val="004B3313"/>
    <w:rsid w:val="004B361D"/>
    <w:rsid w:val="004B37A7"/>
    <w:rsid w:val="004B3B06"/>
    <w:rsid w:val="004B3BF9"/>
    <w:rsid w:val="004B43A5"/>
    <w:rsid w:val="004B4D53"/>
    <w:rsid w:val="004B5179"/>
    <w:rsid w:val="004B54E1"/>
    <w:rsid w:val="004B5698"/>
    <w:rsid w:val="004B57A7"/>
    <w:rsid w:val="004B5C14"/>
    <w:rsid w:val="004B60BC"/>
    <w:rsid w:val="004B62D7"/>
    <w:rsid w:val="004B6655"/>
    <w:rsid w:val="004B6985"/>
    <w:rsid w:val="004B6FFE"/>
    <w:rsid w:val="004B7225"/>
    <w:rsid w:val="004B761F"/>
    <w:rsid w:val="004B771E"/>
    <w:rsid w:val="004B7913"/>
    <w:rsid w:val="004B7C2A"/>
    <w:rsid w:val="004B7CDE"/>
    <w:rsid w:val="004B7FB2"/>
    <w:rsid w:val="004B7FD7"/>
    <w:rsid w:val="004B8458"/>
    <w:rsid w:val="004C0262"/>
    <w:rsid w:val="004C15E2"/>
    <w:rsid w:val="004C2070"/>
    <w:rsid w:val="004C25E4"/>
    <w:rsid w:val="004C26AB"/>
    <w:rsid w:val="004C2926"/>
    <w:rsid w:val="004C2AC2"/>
    <w:rsid w:val="004C313A"/>
    <w:rsid w:val="004C3352"/>
    <w:rsid w:val="004C38DA"/>
    <w:rsid w:val="004C3D2D"/>
    <w:rsid w:val="004C413D"/>
    <w:rsid w:val="004C4919"/>
    <w:rsid w:val="004C4D9A"/>
    <w:rsid w:val="004C4E26"/>
    <w:rsid w:val="004C5293"/>
    <w:rsid w:val="004C52C2"/>
    <w:rsid w:val="004C5352"/>
    <w:rsid w:val="004C58EA"/>
    <w:rsid w:val="004C5B34"/>
    <w:rsid w:val="004C5C27"/>
    <w:rsid w:val="004C5C68"/>
    <w:rsid w:val="004C5D1E"/>
    <w:rsid w:val="004C5DBC"/>
    <w:rsid w:val="004C6065"/>
    <w:rsid w:val="004C68DE"/>
    <w:rsid w:val="004C6A1F"/>
    <w:rsid w:val="004C6C68"/>
    <w:rsid w:val="004C79BF"/>
    <w:rsid w:val="004C7E42"/>
    <w:rsid w:val="004D00B7"/>
    <w:rsid w:val="004D1082"/>
    <w:rsid w:val="004D1556"/>
    <w:rsid w:val="004D1593"/>
    <w:rsid w:val="004D1C27"/>
    <w:rsid w:val="004D1EFA"/>
    <w:rsid w:val="004D1FC5"/>
    <w:rsid w:val="004D2969"/>
    <w:rsid w:val="004D2975"/>
    <w:rsid w:val="004D32C5"/>
    <w:rsid w:val="004D376D"/>
    <w:rsid w:val="004D3BDB"/>
    <w:rsid w:val="004D3D0B"/>
    <w:rsid w:val="004D3EBE"/>
    <w:rsid w:val="004D3EE5"/>
    <w:rsid w:val="004D432E"/>
    <w:rsid w:val="004D4A53"/>
    <w:rsid w:val="004D4E93"/>
    <w:rsid w:val="004D50B4"/>
    <w:rsid w:val="004D52D4"/>
    <w:rsid w:val="004D536B"/>
    <w:rsid w:val="004D57F1"/>
    <w:rsid w:val="004D597E"/>
    <w:rsid w:val="004D5D71"/>
    <w:rsid w:val="004D5F86"/>
    <w:rsid w:val="004D6633"/>
    <w:rsid w:val="004D66D1"/>
    <w:rsid w:val="004D68C1"/>
    <w:rsid w:val="004D697B"/>
    <w:rsid w:val="004D6D41"/>
    <w:rsid w:val="004D7016"/>
    <w:rsid w:val="004D75D0"/>
    <w:rsid w:val="004D7DD9"/>
    <w:rsid w:val="004E02A2"/>
    <w:rsid w:val="004E0900"/>
    <w:rsid w:val="004E122C"/>
    <w:rsid w:val="004E160E"/>
    <w:rsid w:val="004E1958"/>
    <w:rsid w:val="004E2613"/>
    <w:rsid w:val="004E279F"/>
    <w:rsid w:val="004E27D4"/>
    <w:rsid w:val="004E27EA"/>
    <w:rsid w:val="004E28C3"/>
    <w:rsid w:val="004E2E52"/>
    <w:rsid w:val="004E3252"/>
    <w:rsid w:val="004E3789"/>
    <w:rsid w:val="004E411F"/>
    <w:rsid w:val="004E421E"/>
    <w:rsid w:val="004E43EF"/>
    <w:rsid w:val="004E4B6D"/>
    <w:rsid w:val="004E4E5D"/>
    <w:rsid w:val="004E505C"/>
    <w:rsid w:val="004E5765"/>
    <w:rsid w:val="004E58A4"/>
    <w:rsid w:val="004E5ADC"/>
    <w:rsid w:val="004E5CC2"/>
    <w:rsid w:val="004E6206"/>
    <w:rsid w:val="004E65B1"/>
    <w:rsid w:val="004E66A2"/>
    <w:rsid w:val="004E694B"/>
    <w:rsid w:val="004E6A3E"/>
    <w:rsid w:val="004E6D84"/>
    <w:rsid w:val="004E773F"/>
    <w:rsid w:val="004E7E0B"/>
    <w:rsid w:val="004E7FD5"/>
    <w:rsid w:val="004EA808"/>
    <w:rsid w:val="004F02DC"/>
    <w:rsid w:val="004F05F6"/>
    <w:rsid w:val="004F12E3"/>
    <w:rsid w:val="004F14C2"/>
    <w:rsid w:val="004F1747"/>
    <w:rsid w:val="004F1858"/>
    <w:rsid w:val="004F1AF5"/>
    <w:rsid w:val="004F1FFA"/>
    <w:rsid w:val="004F2141"/>
    <w:rsid w:val="004F2A7B"/>
    <w:rsid w:val="004F2EB0"/>
    <w:rsid w:val="004F2F1F"/>
    <w:rsid w:val="004F312B"/>
    <w:rsid w:val="004F3431"/>
    <w:rsid w:val="004F3FBB"/>
    <w:rsid w:val="004F40F1"/>
    <w:rsid w:val="004F46BD"/>
    <w:rsid w:val="004F4755"/>
    <w:rsid w:val="004F4AD9"/>
    <w:rsid w:val="004F4E21"/>
    <w:rsid w:val="004F505B"/>
    <w:rsid w:val="004F50CD"/>
    <w:rsid w:val="004F52CB"/>
    <w:rsid w:val="004F541F"/>
    <w:rsid w:val="004F5710"/>
    <w:rsid w:val="004F58A1"/>
    <w:rsid w:val="004F5ED4"/>
    <w:rsid w:val="004F5FA4"/>
    <w:rsid w:val="004F5FEF"/>
    <w:rsid w:val="004F6564"/>
    <w:rsid w:val="004F6B39"/>
    <w:rsid w:val="004F6EEC"/>
    <w:rsid w:val="004F7209"/>
    <w:rsid w:val="004F746E"/>
    <w:rsid w:val="005000FC"/>
    <w:rsid w:val="00500474"/>
    <w:rsid w:val="005004AF"/>
    <w:rsid w:val="005010C2"/>
    <w:rsid w:val="00501768"/>
    <w:rsid w:val="00501AAB"/>
    <w:rsid w:val="00501B6C"/>
    <w:rsid w:val="00501C33"/>
    <w:rsid w:val="00501D22"/>
    <w:rsid w:val="00502017"/>
    <w:rsid w:val="00502234"/>
    <w:rsid w:val="00502509"/>
    <w:rsid w:val="0050258D"/>
    <w:rsid w:val="005031F9"/>
    <w:rsid w:val="005032E3"/>
    <w:rsid w:val="00503750"/>
    <w:rsid w:val="00503955"/>
    <w:rsid w:val="00503C40"/>
    <w:rsid w:val="005052C5"/>
    <w:rsid w:val="00505471"/>
    <w:rsid w:val="005057EB"/>
    <w:rsid w:val="00505901"/>
    <w:rsid w:val="00505C83"/>
    <w:rsid w:val="00505D8D"/>
    <w:rsid w:val="00505F66"/>
    <w:rsid w:val="00506070"/>
    <w:rsid w:val="00506577"/>
    <w:rsid w:val="005066A3"/>
    <w:rsid w:val="005066DA"/>
    <w:rsid w:val="00506724"/>
    <w:rsid w:val="005069DF"/>
    <w:rsid w:val="00507103"/>
    <w:rsid w:val="00507169"/>
    <w:rsid w:val="005071C7"/>
    <w:rsid w:val="0050738E"/>
    <w:rsid w:val="0050766D"/>
    <w:rsid w:val="00507967"/>
    <w:rsid w:val="00507CAF"/>
    <w:rsid w:val="00507D2C"/>
    <w:rsid w:val="0051008E"/>
    <w:rsid w:val="005101BC"/>
    <w:rsid w:val="005106F1"/>
    <w:rsid w:val="00510733"/>
    <w:rsid w:val="00510BDD"/>
    <w:rsid w:val="0051139E"/>
    <w:rsid w:val="005115E7"/>
    <w:rsid w:val="0051255B"/>
    <w:rsid w:val="00512BBD"/>
    <w:rsid w:val="00512C24"/>
    <w:rsid w:val="0051335E"/>
    <w:rsid w:val="00513B21"/>
    <w:rsid w:val="00513D7C"/>
    <w:rsid w:val="00514052"/>
    <w:rsid w:val="00514081"/>
    <w:rsid w:val="0051447F"/>
    <w:rsid w:val="0051463C"/>
    <w:rsid w:val="0051478E"/>
    <w:rsid w:val="00514CBC"/>
    <w:rsid w:val="0051503C"/>
    <w:rsid w:val="0051524F"/>
    <w:rsid w:val="00515740"/>
    <w:rsid w:val="0051584D"/>
    <w:rsid w:val="00515D01"/>
    <w:rsid w:val="00515D52"/>
    <w:rsid w:val="00515E38"/>
    <w:rsid w:val="00515FF7"/>
    <w:rsid w:val="00516326"/>
    <w:rsid w:val="0051658D"/>
    <w:rsid w:val="005165FE"/>
    <w:rsid w:val="00516610"/>
    <w:rsid w:val="0051671E"/>
    <w:rsid w:val="00516CC5"/>
    <w:rsid w:val="00517A52"/>
    <w:rsid w:val="00517BEF"/>
    <w:rsid w:val="00517BF8"/>
    <w:rsid w:val="00517EAC"/>
    <w:rsid w:val="00517F52"/>
    <w:rsid w:val="00517F58"/>
    <w:rsid w:val="005203C0"/>
    <w:rsid w:val="00520E21"/>
    <w:rsid w:val="00521200"/>
    <w:rsid w:val="0052151F"/>
    <w:rsid w:val="005215D9"/>
    <w:rsid w:val="005218C0"/>
    <w:rsid w:val="00521A32"/>
    <w:rsid w:val="005222A0"/>
    <w:rsid w:val="005223FB"/>
    <w:rsid w:val="00522AB2"/>
    <w:rsid w:val="00522F1B"/>
    <w:rsid w:val="00523115"/>
    <w:rsid w:val="00523179"/>
    <w:rsid w:val="005237BB"/>
    <w:rsid w:val="00523D3C"/>
    <w:rsid w:val="0052419D"/>
    <w:rsid w:val="00524447"/>
    <w:rsid w:val="00524A10"/>
    <w:rsid w:val="00524A47"/>
    <w:rsid w:val="00524D5B"/>
    <w:rsid w:val="00525571"/>
    <w:rsid w:val="005257B0"/>
    <w:rsid w:val="00525A8D"/>
    <w:rsid w:val="00525C45"/>
    <w:rsid w:val="00525CB7"/>
    <w:rsid w:val="00526115"/>
    <w:rsid w:val="005261FC"/>
    <w:rsid w:val="00526455"/>
    <w:rsid w:val="005264F9"/>
    <w:rsid w:val="00526AAD"/>
    <w:rsid w:val="005272D5"/>
    <w:rsid w:val="00527AAC"/>
    <w:rsid w:val="00527E63"/>
    <w:rsid w:val="0053036B"/>
    <w:rsid w:val="00530582"/>
    <w:rsid w:val="00531481"/>
    <w:rsid w:val="005314C1"/>
    <w:rsid w:val="00531E60"/>
    <w:rsid w:val="005320CF"/>
    <w:rsid w:val="00532523"/>
    <w:rsid w:val="005325AB"/>
    <w:rsid w:val="00532897"/>
    <w:rsid w:val="005328AF"/>
    <w:rsid w:val="005329E6"/>
    <w:rsid w:val="00532B14"/>
    <w:rsid w:val="00532E1A"/>
    <w:rsid w:val="00532E4F"/>
    <w:rsid w:val="005330B7"/>
    <w:rsid w:val="00533223"/>
    <w:rsid w:val="00533797"/>
    <w:rsid w:val="00533898"/>
    <w:rsid w:val="005340D9"/>
    <w:rsid w:val="005344A9"/>
    <w:rsid w:val="0053464F"/>
    <w:rsid w:val="00534A44"/>
    <w:rsid w:val="00534B04"/>
    <w:rsid w:val="00535044"/>
    <w:rsid w:val="0053506E"/>
    <w:rsid w:val="00535250"/>
    <w:rsid w:val="00535E23"/>
    <w:rsid w:val="00536048"/>
    <w:rsid w:val="0053642F"/>
    <w:rsid w:val="00536573"/>
    <w:rsid w:val="00536737"/>
    <w:rsid w:val="00536927"/>
    <w:rsid w:val="00536B55"/>
    <w:rsid w:val="005372E8"/>
    <w:rsid w:val="005372EA"/>
    <w:rsid w:val="00537465"/>
    <w:rsid w:val="005376EB"/>
    <w:rsid w:val="005404E3"/>
    <w:rsid w:val="0054055B"/>
    <w:rsid w:val="0054056D"/>
    <w:rsid w:val="0054063D"/>
    <w:rsid w:val="00540A48"/>
    <w:rsid w:val="00540F45"/>
    <w:rsid w:val="005412CA"/>
    <w:rsid w:val="005413AF"/>
    <w:rsid w:val="005413D1"/>
    <w:rsid w:val="005416AA"/>
    <w:rsid w:val="00541740"/>
    <w:rsid w:val="0054188C"/>
    <w:rsid w:val="00541D95"/>
    <w:rsid w:val="005424A5"/>
    <w:rsid w:val="005424F6"/>
    <w:rsid w:val="0054287C"/>
    <w:rsid w:val="00542CC3"/>
    <w:rsid w:val="00542CC9"/>
    <w:rsid w:val="00542E2C"/>
    <w:rsid w:val="0054332B"/>
    <w:rsid w:val="005438AB"/>
    <w:rsid w:val="00543A77"/>
    <w:rsid w:val="005441A1"/>
    <w:rsid w:val="00544455"/>
    <w:rsid w:val="005444ED"/>
    <w:rsid w:val="0054460E"/>
    <w:rsid w:val="00544D3F"/>
    <w:rsid w:val="00544E1B"/>
    <w:rsid w:val="005452D4"/>
    <w:rsid w:val="005452EF"/>
    <w:rsid w:val="005453EA"/>
    <w:rsid w:val="00545509"/>
    <w:rsid w:val="00545557"/>
    <w:rsid w:val="00545623"/>
    <w:rsid w:val="00545640"/>
    <w:rsid w:val="00545B6E"/>
    <w:rsid w:val="00545D4D"/>
    <w:rsid w:val="00546B61"/>
    <w:rsid w:val="00546D23"/>
    <w:rsid w:val="00546E4F"/>
    <w:rsid w:val="00546F44"/>
    <w:rsid w:val="0054700D"/>
    <w:rsid w:val="00547022"/>
    <w:rsid w:val="0054726B"/>
    <w:rsid w:val="00547AAB"/>
    <w:rsid w:val="00547E87"/>
    <w:rsid w:val="00547E90"/>
    <w:rsid w:val="0055028F"/>
    <w:rsid w:val="00550482"/>
    <w:rsid w:val="005508F1"/>
    <w:rsid w:val="005509D8"/>
    <w:rsid w:val="005518F0"/>
    <w:rsid w:val="0055193B"/>
    <w:rsid w:val="00551C0A"/>
    <w:rsid w:val="00551D21"/>
    <w:rsid w:val="00551D43"/>
    <w:rsid w:val="0055208E"/>
    <w:rsid w:val="005522A7"/>
    <w:rsid w:val="0055272D"/>
    <w:rsid w:val="00552EFC"/>
    <w:rsid w:val="00552FF2"/>
    <w:rsid w:val="00553481"/>
    <w:rsid w:val="00553965"/>
    <w:rsid w:val="00553E4A"/>
    <w:rsid w:val="00553E81"/>
    <w:rsid w:val="00554006"/>
    <w:rsid w:val="00554290"/>
    <w:rsid w:val="00554D0D"/>
    <w:rsid w:val="00555030"/>
    <w:rsid w:val="005551BB"/>
    <w:rsid w:val="005553C8"/>
    <w:rsid w:val="00556527"/>
    <w:rsid w:val="00556567"/>
    <w:rsid w:val="00556F21"/>
    <w:rsid w:val="005574BF"/>
    <w:rsid w:val="0055FF79"/>
    <w:rsid w:val="0056000D"/>
    <w:rsid w:val="00560090"/>
    <w:rsid w:val="00560152"/>
    <w:rsid w:val="00560258"/>
    <w:rsid w:val="00560311"/>
    <w:rsid w:val="00560387"/>
    <w:rsid w:val="00560F8B"/>
    <w:rsid w:val="00561170"/>
    <w:rsid w:val="005614EE"/>
    <w:rsid w:val="005619EF"/>
    <w:rsid w:val="00561D46"/>
    <w:rsid w:val="00562042"/>
    <w:rsid w:val="005625EB"/>
    <w:rsid w:val="0056261D"/>
    <w:rsid w:val="005627EE"/>
    <w:rsid w:val="005629E5"/>
    <w:rsid w:val="00562E34"/>
    <w:rsid w:val="005630E5"/>
    <w:rsid w:val="005631D2"/>
    <w:rsid w:val="00563571"/>
    <w:rsid w:val="00563752"/>
    <w:rsid w:val="00563762"/>
    <w:rsid w:val="00563FED"/>
    <w:rsid w:val="005642B3"/>
    <w:rsid w:val="005645B9"/>
    <w:rsid w:val="005645E7"/>
    <w:rsid w:val="00564AFD"/>
    <w:rsid w:val="00564F00"/>
    <w:rsid w:val="00564F17"/>
    <w:rsid w:val="00565429"/>
    <w:rsid w:val="0056552D"/>
    <w:rsid w:val="00565886"/>
    <w:rsid w:val="00566573"/>
    <w:rsid w:val="00566DE1"/>
    <w:rsid w:val="005672FA"/>
    <w:rsid w:val="00567860"/>
    <w:rsid w:val="00567A26"/>
    <w:rsid w:val="00567AC2"/>
    <w:rsid w:val="00570169"/>
    <w:rsid w:val="005703F3"/>
    <w:rsid w:val="0057062D"/>
    <w:rsid w:val="005706C1"/>
    <w:rsid w:val="0057091B"/>
    <w:rsid w:val="00570992"/>
    <w:rsid w:val="00570AD1"/>
    <w:rsid w:val="00570B1D"/>
    <w:rsid w:val="0057118A"/>
    <w:rsid w:val="005719BD"/>
    <w:rsid w:val="00571D5F"/>
    <w:rsid w:val="0057220E"/>
    <w:rsid w:val="0057229C"/>
    <w:rsid w:val="00572778"/>
    <w:rsid w:val="00572A1D"/>
    <w:rsid w:val="00572FC8"/>
    <w:rsid w:val="00573225"/>
    <w:rsid w:val="00573657"/>
    <w:rsid w:val="005736B8"/>
    <w:rsid w:val="00574718"/>
    <w:rsid w:val="00574AE3"/>
    <w:rsid w:val="00574C77"/>
    <w:rsid w:val="00575696"/>
    <w:rsid w:val="00575F2F"/>
    <w:rsid w:val="005763C2"/>
    <w:rsid w:val="00576EF6"/>
    <w:rsid w:val="00576F7D"/>
    <w:rsid w:val="00577432"/>
    <w:rsid w:val="005778EE"/>
    <w:rsid w:val="00577910"/>
    <w:rsid w:val="00577CB1"/>
    <w:rsid w:val="0058021A"/>
    <w:rsid w:val="00581260"/>
    <w:rsid w:val="00581543"/>
    <w:rsid w:val="00581C5E"/>
    <w:rsid w:val="00581D2A"/>
    <w:rsid w:val="00581F56"/>
    <w:rsid w:val="0058208B"/>
    <w:rsid w:val="0058227F"/>
    <w:rsid w:val="0058229D"/>
    <w:rsid w:val="005824D7"/>
    <w:rsid w:val="00582706"/>
    <w:rsid w:val="00582816"/>
    <w:rsid w:val="00582A04"/>
    <w:rsid w:val="00582B5D"/>
    <w:rsid w:val="00582C02"/>
    <w:rsid w:val="00583450"/>
    <w:rsid w:val="005835C0"/>
    <w:rsid w:val="00583EE3"/>
    <w:rsid w:val="00584439"/>
    <w:rsid w:val="005846A4"/>
    <w:rsid w:val="0058498D"/>
    <w:rsid w:val="00584B47"/>
    <w:rsid w:val="0058513A"/>
    <w:rsid w:val="0058595B"/>
    <w:rsid w:val="00585A41"/>
    <w:rsid w:val="005863A2"/>
    <w:rsid w:val="00586433"/>
    <w:rsid w:val="005867C2"/>
    <w:rsid w:val="0058695F"/>
    <w:rsid w:val="00586A26"/>
    <w:rsid w:val="00586F63"/>
    <w:rsid w:val="00587692"/>
    <w:rsid w:val="00587C21"/>
    <w:rsid w:val="005903B2"/>
    <w:rsid w:val="0059097D"/>
    <w:rsid w:val="00590DF5"/>
    <w:rsid w:val="0059134F"/>
    <w:rsid w:val="00591379"/>
    <w:rsid w:val="005914B4"/>
    <w:rsid w:val="005916F9"/>
    <w:rsid w:val="00591810"/>
    <w:rsid w:val="0059248C"/>
    <w:rsid w:val="00592C3E"/>
    <w:rsid w:val="00592E2C"/>
    <w:rsid w:val="00592FD6"/>
    <w:rsid w:val="00593307"/>
    <w:rsid w:val="0059332A"/>
    <w:rsid w:val="0059376B"/>
    <w:rsid w:val="0059399F"/>
    <w:rsid w:val="005939BF"/>
    <w:rsid w:val="00593A5D"/>
    <w:rsid w:val="00593B45"/>
    <w:rsid w:val="00594020"/>
    <w:rsid w:val="005940DB"/>
    <w:rsid w:val="005941CB"/>
    <w:rsid w:val="0059476C"/>
    <w:rsid w:val="005954B9"/>
    <w:rsid w:val="005958ED"/>
    <w:rsid w:val="005961E7"/>
    <w:rsid w:val="00596AC5"/>
    <w:rsid w:val="00596AD0"/>
    <w:rsid w:val="00596B5F"/>
    <w:rsid w:val="00596D0E"/>
    <w:rsid w:val="00596FDE"/>
    <w:rsid w:val="00597013"/>
    <w:rsid w:val="00597496"/>
    <w:rsid w:val="00597965"/>
    <w:rsid w:val="00597968"/>
    <w:rsid w:val="005A094F"/>
    <w:rsid w:val="005A0ED3"/>
    <w:rsid w:val="005A12B1"/>
    <w:rsid w:val="005A14D3"/>
    <w:rsid w:val="005A1532"/>
    <w:rsid w:val="005A1AC7"/>
    <w:rsid w:val="005A1C05"/>
    <w:rsid w:val="005A223D"/>
    <w:rsid w:val="005A2447"/>
    <w:rsid w:val="005A244D"/>
    <w:rsid w:val="005A251E"/>
    <w:rsid w:val="005A2752"/>
    <w:rsid w:val="005A2A51"/>
    <w:rsid w:val="005A2C9F"/>
    <w:rsid w:val="005A2CAD"/>
    <w:rsid w:val="005A2DEC"/>
    <w:rsid w:val="005A2EEE"/>
    <w:rsid w:val="005A3069"/>
    <w:rsid w:val="005A34E7"/>
    <w:rsid w:val="005A352F"/>
    <w:rsid w:val="005A3811"/>
    <w:rsid w:val="005A3B9E"/>
    <w:rsid w:val="005A41E6"/>
    <w:rsid w:val="005A48DB"/>
    <w:rsid w:val="005A4C7F"/>
    <w:rsid w:val="005A50CA"/>
    <w:rsid w:val="005A548F"/>
    <w:rsid w:val="005A551E"/>
    <w:rsid w:val="005A5B76"/>
    <w:rsid w:val="005A5BB1"/>
    <w:rsid w:val="005A5BDB"/>
    <w:rsid w:val="005A616A"/>
    <w:rsid w:val="005A62CB"/>
    <w:rsid w:val="005A6381"/>
    <w:rsid w:val="005A6CBC"/>
    <w:rsid w:val="005A7187"/>
    <w:rsid w:val="005A76C8"/>
    <w:rsid w:val="005A795A"/>
    <w:rsid w:val="005A7E69"/>
    <w:rsid w:val="005ACC2B"/>
    <w:rsid w:val="005B041B"/>
    <w:rsid w:val="005B0498"/>
    <w:rsid w:val="005B11C7"/>
    <w:rsid w:val="005B14FE"/>
    <w:rsid w:val="005B1697"/>
    <w:rsid w:val="005B17D7"/>
    <w:rsid w:val="005B1AF5"/>
    <w:rsid w:val="005B207F"/>
    <w:rsid w:val="005B288E"/>
    <w:rsid w:val="005B2E64"/>
    <w:rsid w:val="005B3506"/>
    <w:rsid w:val="005B36B3"/>
    <w:rsid w:val="005B374D"/>
    <w:rsid w:val="005B383C"/>
    <w:rsid w:val="005B4137"/>
    <w:rsid w:val="005B4264"/>
    <w:rsid w:val="005B43DD"/>
    <w:rsid w:val="005B4A3B"/>
    <w:rsid w:val="005B4DBC"/>
    <w:rsid w:val="005B4E5D"/>
    <w:rsid w:val="005B5904"/>
    <w:rsid w:val="005B5B4F"/>
    <w:rsid w:val="005B5D93"/>
    <w:rsid w:val="005B643B"/>
    <w:rsid w:val="005B6732"/>
    <w:rsid w:val="005B6807"/>
    <w:rsid w:val="005B6A99"/>
    <w:rsid w:val="005B6E98"/>
    <w:rsid w:val="005B7051"/>
    <w:rsid w:val="005B75BD"/>
    <w:rsid w:val="005B7BC2"/>
    <w:rsid w:val="005B7D0B"/>
    <w:rsid w:val="005C0945"/>
    <w:rsid w:val="005C0E3C"/>
    <w:rsid w:val="005C1C42"/>
    <w:rsid w:val="005C1CEC"/>
    <w:rsid w:val="005C1DDA"/>
    <w:rsid w:val="005C1F41"/>
    <w:rsid w:val="005C1F5A"/>
    <w:rsid w:val="005C2155"/>
    <w:rsid w:val="005C228E"/>
    <w:rsid w:val="005C23CE"/>
    <w:rsid w:val="005C2556"/>
    <w:rsid w:val="005C2A87"/>
    <w:rsid w:val="005C2AF0"/>
    <w:rsid w:val="005C2B14"/>
    <w:rsid w:val="005C2D66"/>
    <w:rsid w:val="005C2E88"/>
    <w:rsid w:val="005C30AE"/>
    <w:rsid w:val="005C36AF"/>
    <w:rsid w:val="005C3710"/>
    <w:rsid w:val="005C3757"/>
    <w:rsid w:val="005C385B"/>
    <w:rsid w:val="005C3AE4"/>
    <w:rsid w:val="005C3EDB"/>
    <w:rsid w:val="005C4136"/>
    <w:rsid w:val="005C4548"/>
    <w:rsid w:val="005C4930"/>
    <w:rsid w:val="005C5224"/>
    <w:rsid w:val="005C5462"/>
    <w:rsid w:val="005C554A"/>
    <w:rsid w:val="005C5832"/>
    <w:rsid w:val="005C5B79"/>
    <w:rsid w:val="005C5FD7"/>
    <w:rsid w:val="005C66C2"/>
    <w:rsid w:val="005C6B9F"/>
    <w:rsid w:val="005C70F5"/>
    <w:rsid w:val="005C722C"/>
    <w:rsid w:val="005C72CD"/>
    <w:rsid w:val="005C744B"/>
    <w:rsid w:val="005C7BA0"/>
    <w:rsid w:val="005C7EEE"/>
    <w:rsid w:val="005D0620"/>
    <w:rsid w:val="005D06AD"/>
    <w:rsid w:val="005D070C"/>
    <w:rsid w:val="005D072A"/>
    <w:rsid w:val="005D07A2"/>
    <w:rsid w:val="005D0829"/>
    <w:rsid w:val="005D090A"/>
    <w:rsid w:val="005D1966"/>
    <w:rsid w:val="005D1A2B"/>
    <w:rsid w:val="005D1EE8"/>
    <w:rsid w:val="005D21DD"/>
    <w:rsid w:val="005D274C"/>
    <w:rsid w:val="005D2A2F"/>
    <w:rsid w:val="005D2DAC"/>
    <w:rsid w:val="005D2DDC"/>
    <w:rsid w:val="005D35E4"/>
    <w:rsid w:val="005D3633"/>
    <w:rsid w:val="005D36E7"/>
    <w:rsid w:val="005D394D"/>
    <w:rsid w:val="005D395C"/>
    <w:rsid w:val="005D40D9"/>
    <w:rsid w:val="005D420C"/>
    <w:rsid w:val="005D428F"/>
    <w:rsid w:val="005D46EF"/>
    <w:rsid w:val="005D490A"/>
    <w:rsid w:val="005D4C23"/>
    <w:rsid w:val="005D4C4C"/>
    <w:rsid w:val="005D4E3A"/>
    <w:rsid w:val="005D4E96"/>
    <w:rsid w:val="005D5475"/>
    <w:rsid w:val="005D5548"/>
    <w:rsid w:val="005D5A61"/>
    <w:rsid w:val="005D5DBF"/>
    <w:rsid w:val="005D6198"/>
    <w:rsid w:val="005D6911"/>
    <w:rsid w:val="005D698C"/>
    <w:rsid w:val="005D6A0C"/>
    <w:rsid w:val="005D6AB1"/>
    <w:rsid w:val="005D70E7"/>
    <w:rsid w:val="005D7258"/>
    <w:rsid w:val="005D72E8"/>
    <w:rsid w:val="005D777F"/>
    <w:rsid w:val="005E0007"/>
    <w:rsid w:val="005E0010"/>
    <w:rsid w:val="005E00DE"/>
    <w:rsid w:val="005E03E5"/>
    <w:rsid w:val="005E0700"/>
    <w:rsid w:val="005E083E"/>
    <w:rsid w:val="005E0D46"/>
    <w:rsid w:val="005E0DAD"/>
    <w:rsid w:val="005E12E4"/>
    <w:rsid w:val="005E14F6"/>
    <w:rsid w:val="005E1951"/>
    <w:rsid w:val="005E1C27"/>
    <w:rsid w:val="005E1C90"/>
    <w:rsid w:val="005E1D73"/>
    <w:rsid w:val="005E1F8D"/>
    <w:rsid w:val="005E20B0"/>
    <w:rsid w:val="005E238C"/>
    <w:rsid w:val="005E2482"/>
    <w:rsid w:val="005E2A85"/>
    <w:rsid w:val="005E2C32"/>
    <w:rsid w:val="005E2D0D"/>
    <w:rsid w:val="005E2D1E"/>
    <w:rsid w:val="005E3512"/>
    <w:rsid w:val="005E394E"/>
    <w:rsid w:val="005E3A4B"/>
    <w:rsid w:val="005E3A65"/>
    <w:rsid w:val="005E3F22"/>
    <w:rsid w:val="005E4099"/>
    <w:rsid w:val="005E4663"/>
    <w:rsid w:val="005E4D19"/>
    <w:rsid w:val="005E59A6"/>
    <w:rsid w:val="005E6A87"/>
    <w:rsid w:val="005E6C42"/>
    <w:rsid w:val="005E6CD7"/>
    <w:rsid w:val="005E6E2E"/>
    <w:rsid w:val="005E6F6D"/>
    <w:rsid w:val="005E6FE5"/>
    <w:rsid w:val="005E7776"/>
    <w:rsid w:val="005E7965"/>
    <w:rsid w:val="005E7B1A"/>
    <w:rsid w:val="005F01A1"/>
    <w:rsid w:val="005F024A"/>
    <w:rsid w:val="005F07F3"/>
    <w:rsid w:val="005F0ABF"/>
    <w:rsid w:val="005F0C6A"/>
    <w:rsid w:val="005F100E"/>
    <w:rsid w:val="005F151B"/>
    <w:rsid w:val="005F1775"/>
    <w:rsid w:val="005F20EF"/>
    <w:rsid w:val="005F216B"/>
    <w:rsid w:val="005F21C5"/>
    <w:rsid w:val="005F23ED"/>
    <w:rsid w:val="005F29EC"/>
    <w:rsid w:val="005F2F67"/>
    <w:rsid w:val="005F31A1"/>
    <w:rsid w:val="005F32B4"/>
    <w:rsid w:val="005F3627"/>
    <w:rsid w:val="005F3AF1"/>
    <w:rsid w:val="005F3C76"/>
    <w:rsid w:val="005F4226"/>
    <w:rsid w:val="005F43CF"/>
    <w:rsid w:val="005F4614"/>
    <w:rsid w:val="005F4721"/>
    <w:rsid w:val="005F473B"/>
    <w:rsid w:val="005F4823"/>
    <w:rsid w:val="005F4CB9"/>
    <w:rsid w:val="005F4E49"/>
    <w:rsid w:val="005F4FC2"/>
    <w:rsid w:val="005F5345"/>
    <w:rsid w:val="005F5484"/>
    <w:rsid w:val="005F568F"/>
    <w:rsid w:val="005F585B"/>
    <w:rsid w:val="005F5C3B"/>
    <w:rsid w:val="005F5D17"/>
    <w:rsid w:val="005F5E62"/>
    <w:rsid w:val="005F64B9"/>
    <w:rsid w:val="005F69CE"/>
    <w:rsid w:val="005F70D4"/>
    <w:rsid w:val="005F71D8"/>
    <w:rsid w:val="005F7A8D"/>
    <w:rsid w:val="005F7CD0"/>
    <w:rsid w:val="0060006B"/>
    <w:rsid w:val="00600A0E"/>
    <w:rsid w:val="00600D28"/>
    <w:rsid w:val="00600DF0"/>
    <w:rsid w:val="00600FE6"/>
    <w:rsid w:val="00601D71"/>
    <w:rsid w:val="006021AD"/>
    <w:rsid w:val="00602B23"/>
    <w:rsid w:val="00603328"/>
    <w:rsid w:val="00603766"/>
    <w:rsid w:val="00603A40"/>
    <w:rsid w:val="00603E0B"/>
    <w:rsid w:val="00603E35"/>
    <w:rsid w:val="006046F0"/>
    <w:rsid w:val="006048F7"/>
    <w:rsid w:val="00604EE1"/>
    <w:rsid w:val="006057EC"/>
    <w:rsid w:val="00605BC8"/>
    <w:rsid w:val="0060623F"/>
    <w:rsid w:val="0060628A"/>
    <w:rsid w:val="00606B99"/>
    <w:rsid w:val="00606C77"/>
    <w:rsid w:val="00606DBE"/>
    <w:rsid w:val="006078B6"/>
    <w:rsid w:val="00607A28"/>
    <w:rsid w:val="00607D89"/>
    <w:rsid w:val="00607E5B"/>
    <w:rsid w:val="00610333"/>
    <w:rsid w:val="006106BB"/>
    <w:rsid w:val="006107C0"/>
    <w:rsid w:val="0061092B"/>
    <w:rsid w:val="00610C1D"/>
    <w:rsid w:val="00610CF4"/>
    <w:rsid w:val="00611042"/>
    <w:rsid w:val="0061200C"/>
    <w:rsid w:val="006121B0"/>
    <w:rsid w:val="006127E0"/>
    <w:rsid w:val="006130A2"/>
    <w:rsid w:val="006130F3"/>
    <w:rsid w:val="0061358A"/>
    <w:rsid w:val="00613792"/>
    <w:rsid w:val="0061381A"/>
    <w:rsid w:val="00613909"/>
    <w:rsid w:val="00613968"/>
    <w:rsid w:val="00613FD1"/>
    <w:rsid w:val="0061416C"/>
    <w:rsid w:val="006148F3"/>
    <w:rsid w:val="006148F5"/>
    <w:rsid w:val="00614ACB"/>
    <w:rsid w:val="00614B3C"/>
    <w:rsid w:val="00614C79"/>
    <w:rsid w:val="00614F38"/>
    <w:rsid w:val="00614F59"/>
    <w:rsid w:val="006152DF"/>
    <w:rsid w:val="0061543B"/>
    <w:rsid w:val="00615474"/>
    <w:rsid w:val="00615682"/>
    <w:rsid w:val="00615757"/>
    <w:rsid w:val="0061594C"/>
    <w:rsid w:val="006159CB"/>
    <w:rsid w:val="00615A71"/>
    <w:rsid w:val="00615B6B"/>
    <w:rsid w:val="00615D15"/>
    <w:rsid w:val="0061623C"/>
    <w:rsid w:val="00616496"/>
    <w:rsid w:val="00616D79"/>
    <w:rsid w:val="00616E14"/>
    <w:rsid w:val="00617235"/>
    <w:rsid w:val="00617386"/>
    <w:rsid w:val="00617C3E"/>
    <w:rsid w:val="00617DAE"/>
    <w:rsid w:val="00620265"/>
    <w:rsid w:val="006204A7"/>
    <w:rsid w:val="00620BC0"/>
    <w:rsid w:val="00620CC7"/>
    <w:rsid w:val="00621075"/>
    <w:rsid w:val="00621127"/>
    <w:rsid w:val="00621C88"/>
    <w:rsid w:val="00621EC9"/>
    <w:rsid w:val="0062219F"/>
    <w:rsid w:val="006222B5"/>
    <w:rsid w:val="00622A10"/>
    <w:rsid w:val="00622B94"/>
    <w:rsid w:val="00622DD1"/>
    <w:rsid w:val="00623441"/>
    <w:rsid w:val="00623472"/>
    <w:rsid w:val="00623629"/>
    <w:rsid w:val="00623867"/>
    <w:rsid w:val="0062392A"/>
    <w:rsid w:val="00623933"/>
    <w:rsid w:val="00623DE3"/>
    <w:rsid w:val="00623DF3"/>
    <w:rsid w:val="006249BB"/>
    <w:rsid w:val="0062524E"/>
    <w:rsid w:val="0062540A"/>
    <w:rsid w:val="006256D1"/>
    <w:rsid w:val="006257E4"/>
    <w:rsid w:val="00626102"/>
    <w:rsid w:val="006261E4"/>
    <w:rsid w:val="00626275"/>
    <w:rsid w:val="0062642E"/>
    <w:rsid w:val="006269B7"/>
    <w:rsid w:val="00626DB1"/>
    <w:rsid w:val="00626E3D"/>
    <w:rsid w:val="00626ED2"/>
    <w:rsid w:val="00627196"/>
    <w:rsid w:val="006272F8"/>
    <w:rsid w:val="006273CB"/>
    <w:rsid w:val="00627706"/>
    <w:rsid w:val="006277D7"/>
    <w:rsid w:val="006277E9"/>
    <w:rsid w:val="006279AE"/>
    <w:rsid w:val="0063008C"/>
    <w:rsid w:val="00630152"/>
    <w:rsid w:val="006304F2"/>
    <w:rsid w:val="006307F1"/>
    <w:rsid w:val="0063130C"/>
    <w:rsid w:val="006316E4"/>
    <w:rsid w:val="00631BC0"/>
    <w:rsid w:val="00631F17"/>
    <w:rsid w:val="00631FA3"/>
    <w:rsid w:val="0063255E"/>
    <w:rsid w:val="00632595"/>
    <w:rsid w:val="00632974"/>
    <w:rsid w:val="0063332E"/>
    <w:rsid w:val="0063336C"/>
    <w:rsid w:val="00633374"/>
    <w:rsid w:val="0063338A"/>
    <w:rsid w:val="006334AA"/>
    <w:rsid w:val="00633569"/>
    <w:rsid w:val="0063373A"/>
    <w:rsid w:val="00633A27"/>
    <w:rsid w:val="00633CA7"/>
    <w:rsid w:val="0063422B"/>
    <w:rsid w:val="00634735"/>
    <w:rsid w:val="00634C2C"/>
    <w:rsid w:val="00634C76"/>
    <w:rsid w:val="006350AF"/>
    <w:rsid w:val="00635862"/>
    <w:rsid w:val="00635978"/>
    <w:rsid w:val="00635D39"/>
    <w:rsid w:val="00635E54"/>
    <w:rsid w:val="00635FE7"/>
    <w:rsid w:val="0063610C"/>
    <w:rsid w:val="006362A4"/>
    <w:rsid w:val="00636652"/>
    <w:rsid w:val="00636889"/>
    <w:rsid w:val="006369C5"/>
    <w:rsid w:val="006369FE"/>
    <w:rsid w:val="00636B80"/>
    <w:rsid w:val="006372EC"/>
    <w:rsid w:val="00637F65"/>
    <w:rsid w:val="0063D6B4"/>
    <w:rsid w:val="006400CB"/>
    <w:rsid w:val="006402B7"/>
    <w:rsid w:val="00640C8E"/>
    <w:rsid w:val="0064175E"/>
    <w:rsid w:val="00641C1F"/>
    <w:rsid w:val="00641F90"/>
    <w:rsid w:val="00642025"/>
    <w:rsid w:val="00642391"/>
    <w:rsid w:val="00642610"/>
    <w:rsid w:val="006428D5"/>
    <w:rsid w:val="00643165"/>
    <w:rsid w:val="0064327E"/>
    <w:rsid w:val="00643946"/>
    <w:rsid w:val="00643957"/>
    <w:rsid w:val="00643968"/>
    <w:rsid w:val="00643E7B"/>
    <w:rsid w:val="00643FF9"/>
    <w:rsid w:val="006444D8"/>
    <w:rsid w:val="006445A6"/>
    <w:rsid w:val="006447B1"/>
    <w:rsid w:val="00644C18"/>
    <w:rsid w:val="0064516F"/>
    <w:rsid w:val="006464DD"/>
    <w:rsid w:val="00646610"/>
    <w:rsid w:val="00647201"/>
    <w:rsid w:val="00647442"/>
    <w:rsid w:val="006475C2"/>
    <w:rsid w:val="0064794F"/>
    <w:rsid w:val="00650811"/>
    <w:rsid w:val="006509B4"/>
    <w:rsid w:val="00650C4B"/>
    <w:rsid w:val="00650C8C"/>
    <w:rsid w:val="00650D52"/>
    <w:rsid w:val="00650D58"/>
    <w:rsid w:val="00650D6E"/>
    <w:rsid w:val="00650E85"/>
    <w:rsid w:val="00650EF9"/>
    <w:rsid w:val="00651554"/>
    <w:rsid w:val="0065179A"/>
    <w:rsid w:val="006520A2"/>
    <w:rsid w:val="006520AB"/>
    <w:rsid w:val="0065238E"/>
    <w:rsid w:val="00652D62"/>
    <w:rsid w:val="00653916"/>
    <w:rsid w:val="006539D0"/>
    <w:rsid w:val="00653B44"/>
    <w:rsid w:val="00653BA4"/>
    <w:rsid w:val="00653E5F"/>
    <w:rsid w:val="006540FE"/>
    <w:rsid w:val="00654347"/>
    <w:rsid w:val="006546FF"/>
    <w:rsid w:val="00654D1C"/>
    <w:rsid w:val="00654E62"/>
    <w:rsid w:val="0065531E"/>
    <w:rsid w:val="00655647"/>
    <w:rsid w:val="006556E6"/>
    <w:rsid w:val="006557A8"/>
    <w:rsid w:val="006558B8"/>
    <w:rsid w:val="00655E17"/>
    <w:rsid w:val="00655F6B"/>
    <w:rsid w:val="006561F4"/>
    <w:rsid w:val="00656358"/>
    <w:rsid w:val="00656600"/>
    <w:rsid w:val="0065705F"/>
    <w:rsid w:val="00657443"/>
    <w:rsid w:val="006575A3"/>
    <w:rsid w:val="0065769C"/>
    <w:rsid w:val="00657DF5"/>
    <w:rsid w:val="0066030B"/>
    <w:rsid w:val="00660910"/>
    <w:rsid w:val="00660A8F"/>
    <w:rsid w:val="00660B8D"/>
    <w:rsid w:val="00660E6E"/>
    <w:rsid w:val="00660EA9"/>
    <w:rsid w:val="006610A7"/>
    <w:rsid w:val="00661186"/>
    <w:rsid w:val="0066149D"/>
    <w:rsid w:val="00661660"/>
    <w:rsid w:val="006618B3"/>
    <w:rsid w:val="006618DF"/>
    <w:rsid w:val="00661BA1"/>
    <w:rsid w:val="00661BF2"/>
    <w:rsid w:val="00661C82"/>
    <w:rsid w:val="00661DB2"/>
    <w:rsid w:val="00661E06"/>
    <w:rsid w:val="0066207A"/>
    <w:rsid w:val="006624A6"/>
    <w:rsid w:val="00662CC4"/>
    <w:rsid w:val="006631BB"/>
    <w:rsid w:val="00663589"/>
    <w:rsid w:val="00663832"/>
    <w:rsid w:val="006638E2"/>
    <w:rsid w:val="006638FF"/>
    <w:rsid w:val="00663C21"/>
    <w:rsid w:val="00663C97"/>
    <w:rsid w:val="00663D47"/>
    <w:rsid w:val="006640E6"/>
    <w:rsid w:val="006644C1"/>
    <w:rsid w:val="0066452A"/>
    <w:rsid w:val="00664723"/>
    <w:rsid w:val="00664D7B"/>
    <w:rsid w:val="00665B4D"/>
    <w:rsid w:val="00665F43"/>
    <w:rsid w:val="006660CB"/>
    <w:rsid w:val="006666BE"/>
    <w:rsid w:val="00666817"/>
    <w:rsid w:val="00666963"/>
    <w:rsid w:val="00666CAA"/>
    <w:rsid w:val="00666CF1"/>
    <w:rsid w:val="00666FDF"/>
    <w:rsid w:val="006670D3"/>
    <w:rsid w:val="0066727B"/>
    <w:rsid w:val="00667407"/>
    <w:rsid w:val="00667464"/>
    <w:rsid w:val="0066797B"/>
    <w:rsid w:val="006679AB"/>
    <w:rsid w:val="00667A9E"/>
    <w:rsid w:val="006692CB"/>
    <w:rsid w:val="00670146"/>
    <w:rsid w:val="006702C7"/>
    <w:rsid w:val="00670414"/>
    <w:rsid w:val="00670447"/>
    <w:rsid w:val="00670743"/>
    <w:rsid w:val="00670ACB"/>
    <w:rsid w:val="006710E4"/>
    <w:rsid w:val="0067117F"/>
    <w:rsid w:val="0067150A"/>
    <w:rsid w:val="006717F4"/>
    <w:rsid w:val="00671989"/>
    <w:rsid w:val="00671B86"/>
    <w:rsid w:val="00671C20"/>
    <w:rsid w:val="00671CE7"/>
    <w:rsid w:val="00671CED"/>
    <w:rsid w:val="00671D3C"/>
    <w:rsid w:val="006722CB"/>
    <w:rsid w:val="006724B1"/>
    <w:rsid w:val="00672B21"/>
    <w:rsid w:val="00673405"/>
    <w:rsid w:val="00673439"/>
    <w:rsid w:val="00673D6F"/>
    <w:rsid w:val="00674039"/>
    <w:rsid w:val="00674322"/>
    <w:rsid w:val="00674382"/>
    <w:rsid w:val="006744DC"/>
    <w:rsid w:val="0067529D"/>
    <w:rsid w:val="00675457"/>
    <w:rsid w:val="006754E9"/>
    <w:rsid w:val="006758ED"/>
    <w:rsid w:val="00675FB8"/>
    <w:rsid w:val="00675FDF"/>
    <w:rsid w:val="006763E8"/>
    <w:rsid w:val="0067646B"/>
    <w:rsid w:val="0067687A"/>
    <w:rsid w:val="00676992"/>
    <w:rsid w:val="00676C82"/>
    <w:rsid w:val="006774A6"/>
    <w:rsid w:val="00677D35"/>
    <w:rsid w:val="0068013C"/>
    <w:rsid w:val="006801FF"/>
    <w:rsid w:val="006802F7"/>
    <w:rsid w:val="006804D1"/>
    <w:rsid w:val="006804E1"/>
    <w:rsid w:val="00680A10"/>
    <w:rsid w:val="00680A3B"/>
    <w:rsid w:val="00680E56"/>
    <w:rsid w:val="00681012"/>
    <w:rsid w:val="00681029"/>
    <w:rsid w:val="006812DA"/>
    <w:rsid w:val="006818F6"/>
    <w:rsid w:val="0068194F"/>
    <w:rsid w:val="00681DBF"/>
    <w:rsid w:val="00681DEF"/>
    <w:rsid w:val="00681F92"/>
    <w:rsid w:val="00682399"/>
    <w:rsid w:val="006829FE"/>
    <w:rsid w:val="00682A50"/>
    <w:rsid w:val="00682D2A"/>
    <w:rsid w:val="00682F6A"/>
    <w:rsid w:val="0068336F"/>
    <w:rsid w:val="00683375"/>
    <w:rsid w:val="00683992"/>
    <w:rsid w:val="006842E3"/>
    <w:rsid w:val="0068436E"/>
    <w:rsid w:val="00684781"/>
    <w:rsid w:val="00684D2A"/>
    <w:rsid w:val="00684D37"/>
    <w:rsid w:val="00684FF5"/>
    <w:rsid w:val="0068527C"/>
    <w:rsid w:val="006857B0"/>
    <w:rsid w:val="006857F4"/>
    <w:rsid w:val="00685B51"/>
    <w:rsid w:val="00685F6D"/>
    <w:rsid w:val="00685F7B"/>
    <w:rsid w:val="006862AE"/>
    <w:rsid w:val="0068633C"/>
    <w:rsid w:val="00686442"/>
    <w:rsid w:val="00686EFA"/>
    <w:rsid w:val="006879B7"/>
    <w:rsid w:val="006904F7"/>
    <w:rsid w:val="00690A41"/>
    <w:rsid w:val="00690B1D"/>
    <w:rsid w:val="00690B91"/>
    <w:rsid w:val="00690ED1"/>
    <w:rsid w:val="00690F9F"/>
    <w:rsid w:val="006910C2"/>
    <w:rsid w:val="0069119C"/>
    <w:rsid w:val="00691458"/>
    <w:rsid w:val="006920AA"/>
    <w:rsid w:val="00692254"/>
    <w:rsid w:val="00692B80"/>
    <w:rsid w:val="00692C3A"/>
    <w:rsid w:val="0069349C"/>
    <w:rsid w:val="0069365B"/>
    <w:rsid w:val="00693C44"/>
    <w:rsid w:val="00693F52"/>
    <w:rsid w:val="006940C7"/>
    <w:rsid w:val="006940E2"/>
    <w:rsid w:val="006943AD"/>
    <w:rsid w:val="00694B84"/>
    <w:rsid w:val="00694B88"/>
    <w:rsid w:val="00694F07"/>
    <w:rsid w:val="0069596A"/>
    <w:rsid w:val="006959F3"/>
    <w:rsid w:val="00695B16"/>
    <w:rsid w:val="0069650A"/>
    <w:rsid w:val="0069658C"/>
    <w:rsid w:val="00696700"/>
    <w:rsid w:val="006969FB"/>
    <w:rsid w:val="00696D54"/>
    <w:rsid w:val="00696E94"/>
    <w:rsid w:val="00696F05"/>
    <w:rsid w:val="0069717F"/>
    <w:rsid w:val="006972A1"/>
    <w:rsid w:val="0069765E"/>
    <w:rsid w:val="00697A56"/>
    <w:rsid w:val="00697F86"/>
    <w:rsid w:val="006A046C"/>
    <w:rsid w:val="006A0585"/>
    <w:rsid w:val="006A07F4"/>
    <w:rsid w:val="006A08C0"/>
    <w:rsid w:val="006A0EF0"/>
    <w:rsid w:val="006A10CD"/>
    <w:rsid w:val="006A137E"/>
    <w:rsid w:val="006A19D2"/>
    <w:rsid w:val="006A1A6D"/>
    <w:rsid w:val="006A1C90"/>
    <w:rsid w:val="006A1D65"/>
    <w:rsid w:val="006A29EF"/>
    <w:rsid w:val="006A2A4C"/>
    <w:rsid w:val="006A3077"/>
    <w:rsid w:val="006A31C3"/>
    <w:rsid w:val="006A341C"/>
    <w:rsid w:val="006A379E"/>
    <w:rsid w:val="006A3CA4"/>
    <w:rsid w:val="006A3ED0"/>
    <w:rsid w:val="006A3FB1"/>
    <w:rsid w:val="006A4F87"/>
    <w:rsid w:val="006A506A"/>
    <w:rsid w:val="006A529C"/>
    <w:rsid w:val="006A58F3"/>
    <w:rsid w:val="006A5B5F"/>
    <w:rsid w:val="006A5C5B"/>
    <w:rsid w:val="006A5CAE"/>
    <w:rsid w:val="006A5EB3"/>
    <w:rsid w:val="006A64B1"/>
    <w:rsid w:val="006A6ABB"/>
    <w:rsid w:val="006A6D9E"/>
    <w:rsid w:val="006A7151"/>
    <w:rsid w:val="006A7419"/>
    <w:rsid w:val="006A7526"/>
    <w:rsid w:val="006A7841"/>
    <w:rsid w:val="006A7B34"/>
    <w:rsid w:val="006A7EC6"/>
    <w:rsid w:val="006B0007"/>
    <w:rsid w:val="006B0A55"/>
    <w:rsid w:val="006B0A56"/>
    <w:rsid w:val="006B0E2D"/>
    <w:rsid w:val="006B134E"/>
    <w:rsid w:val="006B178A"/>
    <w:rsid w:val="006B1928"/>
    <w:rsid w:val="006B1B5F"/>
    <w:rsid w:val="006B1F77"/>
    <w:rsid w:val="006B2023"/>
    <w:rsid w:val="006B22CC"/>
    <w:rsid w:val="006B2751"/>
    <w:rsid w:val="006B2B59"/>
    <w:rsid w:val="006B3350"/>
    <w:rsid w:val="006B3618"/>
    <w:rsid w:val="006B3988"/>
    <w:rsid w:val="006B3A07"/>
    <w:rsid w:val="006B3CB1"/>
    <w:rsid w:val="006B3CF2"/>
    <w:rsid w:val="006B418E"/>
    <w:rsid w:val="006B4249"/>
    <w:rsid w:val="006B424E"/>
    <w:rsid w:val="006B44A4"/>
    <w:rsid w:val="006B4AE5"/>
    <w:rsid w:val="006B4E94"/>
    <w:rsid w:val="006B56BF"/>
    <w:rsid w:val="006B5CA2"/>
    <w:rsid w:val="006B60F1"/>
    <w:rsid w:val="006B621F"/>
    <w:rsid w:val="006B6392"/>
    <w:rsid w:val="006B6876"/>
    <w:rsid w:val="006B6DC7"/>
    <w:rsid w:val="006B7782"/>
    <w:rsid w:val="006B7864"/>
    <w:rsid w:val="006B7ED2"/>
    <w:rsid w:val="006B7F81"/>
    <w:rsid w:val="006B7F97"/>
    <w:rsid w:val="006C00EE"/>
    <w:rsid w:val="006C025C"/>
    <w:rsid w:val="006C05E9"/>
    <w:rsid w:val="006C0883"/>
    <w:rsid w:val="006C0A70"/>
    <w:rsid w:val="006C0DDB"/>
    <w:rsid w:val="006C1322"/>
    <w:rsid w:val="006C1652"/>
    <w:rsid w:val="006C18B8"/>
    <w:rsid w:val="006C1E13"/>
    <w:rsid w:val="006C2031"/>
    <w:rsid w:val="006C21AC"/>
    <w:rsid w:val="006C2604"/>
    <w:rsid w:val="006C2777"/>
    <w:rsid w:val="006C2AEA"/>
    <w:rsid w:val="006C2AFA"/>
    <w:rsid w:val="006C2C11"/>
    <w:rsid w:val="006C2EC0"/>
    <w:rsid w:val="006C3086"/>
    <w:rsid w:val="006C3312"/>
    <w:rsid w:val="006C34EB"/>
    <w:rsid w:val="006C3688"/>
    <w:rsid w:val="006C369F"/>
    <w:rsid w:val="006C3E51"/>
    <w:rsid w:val="006C4044"/>
    <w:rsid w:val="006C4063"/>
    <w:rsid w:val="006C416F"/>
    <w:rsid w:val="006C419E"/>
    <w:rsid w:val="006C425A"/>
    <w:rsid w:val="006C4401"/>
    <w:rsid w:val="006C4D9A"/>
    <w:rsid w:val="006C4DD6"/>
    <w:rsid w:val="006C5324"/>
    <w:rsid w:val="006C5630"/>
    <w:rsid w:val="006C586A"/>
    <w:rsid w:val="006C60C1"/>
    <w:rsid w:val="006C6115"/>
    <w:rsid w:val="006C6146"/>
    <w:rsid w:val="006C6825"/>
    <w:rsid w:val="006C6AB8"/>
    <w:rsid w:val="006C6C16"/>
    <w:rsid w:val="006C71E5"/>
    <w:rsid w:val="006C72D9"/>
    <w:rsid w:val="006C751F"/>
    <w:rsid w:val="006C782E"/>
    <w:rsid w:val="006C7B2E"/>
    <w:rsid w:val="006D06F9"/>
    <w:rsid w:val="006D08B7"/>
    <w:rsid w:val="006D13A9"/>
    <w:rsid w:val="006D15CA"/>
    <w:rsid w:val="006D175C"/>
    <w:rsid w:val="006D1AE0"/>
    <w:rsid w:val="006D1D68"/>
    <w:rsid w:val="006D1EF6"/>
    <w:rsid w:val="006D1F7C"/>
    <w:rsid w:val="006D202D"/>
    <w:rsid w:val="006D2700"/>
    <w:rsid w:val="006D2E64"/>
    <w:rsid w:val="006D3B9E"/>
    <w:rsid w:val="006D3D43"/>
    <w:rsid w:val="006D40C2"/>
    <w:rsid w:val="006D4318"/>
    <w:rsid w:val="006D43F5"/>
    <w:rsid w:val="006D48C9"/>
    <w:rsid w:val="006D49DF"/>
    <w:rsid w:val="006D4A6A"/>
    <w:rsid w:val="006D4B09"/>
    <w:rsid w:val="006D4CA6"/>
    <w:rsid w:val="006D50F6"/>
    <w:rsid w:val="006D5162"/>
    <w:rsid w:val="006D5777"/>
    <w:rsid w:val="006D58A5"/>
    <w:rsid w:val="006D594D"/>
    <w:rsid w:val="006D59CB"/>
    <w:rsid w:val="006D5FB4"/>
    <w:rsid w:val="006D6267"/>
    <w:rsid w:val="006D6273"/>
    <w:rsid w:val="006D62A2"/>
    <w:rsid w:val="006D6588"/>
    <w:rsid w:val="006D66D9"/>
    <w:rsid w:val="006D6916"/>
    <w:rsid w:val="006D691D"/>
    <w:rsid w:val="006D6AEE"/>
    <w:rsid w:val="006D7353"/>
    <w:rsid w:val="006D73CA"/>
    <w:rsid w:val="006D7400"/>
    <w:rsid w:val="006D77FA"/>
    <w:rsid w:val="006D79FE"/>
    <w:rsid w:val="006D7BE1"/>
    <w:rsid w:val="006D7F95"/>
    <w:rsid w:val="006E047C"/>
    <w:rsid w:val="006E0624"/>
    <w:rsid w:val="006E094A"/>
    <w:rsid w:val="006E09A6"/>
    <w:rsid w:val="006E0C2B"/>
    <w:rsid w:val="006E0EE1"/>
    <w:rsid w:val="006E1385"/>
    <w:rsid w:val="006E13FB"/>
    <w:rsid w:val="006E151C"/>
    <w:rsid w:val="006E179E"/>
    <w:rsid w:val="006E19B0"/>
    <w:rsid w:val="006E1F85"/>
    <w:rsid w:val="006E2056"/>
    <w:rsid w:val="006E272C"/>
    <w:rsid w:val="006E2780"/>
    <w:rsid w:val="006E28A4"/>
    <w:rsid w:val="006E2AEA"/>
    <w:rsid w:val="006E2AF8"/>
    <w:rsid w:val="006E2C8F"/>
    <w:rsid w:val="006E319F"/>
    <w:rsid w:val="006E3250"/>
    <w:rsid w:val="006E3367"/>
    <w:rsid w:val="006E37B5"/>
    <w:rsid w:val="006E3CD6"/>
    <w:rsid w:val="006E41FC"/>
    <w:rsid w:val="006E4437"/>
    <w:rsid w:val="006E452C"/>
    <w:rsid w:val="006E4C76"/>
    <w:rsid w:val="006E55B4"/>
    <w:rsid w:val="006E56F0"/>
    <w:rsid w:val="006E57BA"/>
    <w:rsid w:val="006E6407"/>
    <w:rsid w:val="006E6773"/>
    <w:rsid w:val="006E6A62"/>
    <w:rsid w:val="006E6E67"/>
    <w:rsid w:val="006E727A"/>
    <w:rsid w:val="006E7AB5"/>
    <w:rsid w:val="006E7CBA"/>
    <w:rsid w:val="006E7DB4"/>
    <w:rsid w:val="006E7DE8"/>
    <w:rsid w:val="006F0057"/>
    <w:rsid w:val="006F021C"/>
    <w:rsid w:val="006F0517"/>
    <w:rsid w:val="006F1113"/>
    <w:rsid w:val="006F1238"/>
    <w:rsid w:val="006F14B6"/>
    <w:rsid w:val="006F1C21"/>
    <w:rsid w:val="006F2077"/>
    <w:rsid w:val="006F25BA"/>
    <w:rsid w:val="006F310B"/>
    <w:rsid w:val="006F3162"/>
    <w:rsid w:val="006F33EA"/>
    <w:rsid w:val="006F411A"/>
    <w:rsid w:val="006F4275"/>
    <w:rsid w:val="006F43D6"/>
    <w:rsid w:val="006F4437"/>
    <w:rsid w:val="006F45E9"/>
    <w:rsid w:val="006F46F2"/>
    <w:rsid w:val="006F494E"/>
    <w:rsid w:val="006F4BE6"/>
    <w:rsid w:val="006F4E7D"/>
    <w:rsid w:val="006F4EB6"/>
    <w:rsid w:val="006F4FFE"/>
    <w:rsid w:val="006F54AE"/>
    <w:rsid w:val="006F5D05"/>
    <w:rsid w:val="006F6354"/>
    <w:rsid w:val="006F63D6"/>
    <w:rsid w:val="006F663E"/>
    <w:rsid w:val="006F670B"/>
    <w:rsid w:val="006F6865"/>
    <w:rsid w:val="006F6AC0"/>
    <w:rsid w:val="006F70C0"/>
    <w:rsid w:val="006F7150"/>
    <w:rsid w:val="006F7381"/>
    <w:rsid w:val="006F7610"/>
    <w:rsid w:val="006F77A9"/>
    <w:rsid w:val="007000B5"/>
    <w:rsid w:val="00700570"/>
    <w:rsid w:val="00700AB1"/>
    <w:rsid w:val="00700B1C"/>
    <w:rsid w:val="00700F71"/>
    <w:rsid w:val="00701065"/>
    <w:rsid w:val="00701739"/>
    <w:rsid w:val="007018F1"/>
    <w:rsid w:val="00701CA6"/>
    <w:rsid w:val="00701DA5"/>
    <w:rsid w:val="00701E5E"/>
    <w:rsid w:val="0070223A"/>
    <w:rsid w:val="007023E5"/>
    <w:rsid w:val="00702732"/>
    <w:rsid w:val="007028E7"/>
    <w:rsid w:val="00702958"/>
    <w:rsid w:val="00702ADF"/>
    <w:rsid w:val="00702AF4"/>
    <w:rsid w:val="00702B9F"/>
    <w:rsid w:val="007030D5"/>
    <w:rsid w:val="007032D5"/>
    <w:rsid w:val="0070357B"/>
    <w:rsid w:val="00703828"/>
    <w:rsid w:val="00703C8A"/>
    <w:rsid w:val="00703F15"/>
    <w:rsid w:val="00704054"/>
    <w:rsid w:val="00704939"/>
    <w:rsid w:val="00705242"/>
    <w:rsid w:val="0070529C"/>
    <w:rsid w:val="007054F7"/>
    <w:rsid w:val="00705553"/>
    <w:rsid w:val="00705664"/>
    <w:rsid w:val="0070577E"/>
    <w:rsid w:val="007058F2"/>
    <w:rsid w:val="0070615B"/>
    <w:rsid w:val="00706274"/>
    <w:rsid w:val="00706415"/>
    <w:rsid w:val="0070657C"/>
    <w:rsid w:val="00706ABE"/>
    <w:rsid w:val="00706C98"/>
    <w:rsid w:val="00706DF1"/>
    <w:rsid w:val="00707274"/>
    <w:rsid w:val="007078E6"/>
    <w:rsid w:val="00707A39"/>
    <w:rsid w:val="00707D1D"/>
    <w:rsid w:val="00707F06"/>
    <w:rsid w:val="00707F51"/>
    <w:rsid w:val="00707FDB"/>
    <w:rsid w:val="0071007C"/>
    <w:rsid w:val="00710259"/>
    <w:rsid w:val="00710499"/>
    <w:rsid w:val="007105F7"/>
    <w:rsid w:val="0071085A"/>
    <w:rsid w:val="00710BE9"/>
    <w:rsid w:val="007110A7"/>
    <w:rsid w:val="00711350"/>
    <w:rsid w:val="007117AB"/>
    <w:rsid w:val="00711A69"/>
    <w:rsid w:val="00711BCD"/>
    <w:rsid w:val="00711ED3"/>
    <w:rsid w:val="00712388"/>
    <w:rsid w:val="0071239A"/>
    <w:rsid w:val="007124E5"/>
    <w:rsid w:val="0071250C"/>
    <w:rsid w:val="00712918"/>
    <w:rsid w:val="00712BA6"/>
    <w:rsid w:val="00712CA2"/>
    <w:rsid w:val="00712E30"/>
    <w:rsid w:val="0071308F"/>
    <w:rsid w:val="00713101"/>
    <w:rsid w:val="0071328B"/>
    <w:rsid w:val="007133C9"/>
    <w:rsid w:val="0071348D"/>
    <w:rsid w:val="007136E4"/>
    <w:rsid w:val="00713A0A"/>
    <w:rsid w:val="00713A57"/>
    <w:rsid w:val="0071400F"/>
    <w:rsid w:val="0071439E"/>
    <w:rsid w:val="00714744"/>
    <w:rsid w:val="00714F49"/>
    <w:rsid w:val="00715272"/>
    <w:rsid w:val="0071551A"/>
    <w:rsid w:val="00715A28"/>
    <w:rsid w:val="0071616E"/>
    <w:rsid w:val="007162B1"/>
    <w:rsid w:val="00716893"/>
    <w:rsid w:val="00716B42"/>
    <w:rsid w:val="00716F34"/>
    <w:rsid w:val="00717320"/>
    <w:rsid w:val="007174E8"/>
    <w:rsid w:val="007178A9"/>
    <w:rsid w:val="007178C2"/>
    <w:rsid w:val="00717FC6"/>
    <w:rsid w:val="00720071"/>
    <w:rsid w:val="0072059C"/>
    <w:rsid w:val="007208C7"/>
    <w:rsid w:val="007208D3"/>
    <w:rsid w:val="00720D39"/>
    <w:rsid w:val="0072123E"/>
    <w:rsid w:val="007213AA"/>
    <w:rsid w:val="00721D3D"/>
    <w:rsid w:val="0072208A"/>
    <w:rsid w:val="00722475"/>
    <w:rsid w:val="00722D83"/>
    <w:rsid w:val="00722E71"/>
    <w:rsid w:val="00723643"/>
    <w:rsid w:val="007236C9"/>
    <w:rsid w:val="007239E7"/>
    <w:rsid w:val="00723D5B"/>
    <w:rsid w:val="007248A9"/>
    <w:rsid w:val="00724A15"/>
    <w:rsid w:val="00724BBA"/>
    <w:rsid w:val="00724E29"/>
    <w:rsid w:val="00724E2D"/>
    <w:rsid w:val="00724EE0"/>
    <w:rsid w:val="00725EDB"/>
    <w:rsid w:val="00725F43"/>
    <w:rsid w:val="00726403"/>
    <w:rsid w:val="00726834"/>
    <w:rsid w:val="007268D3"/>
    <w:rsid w:val="00727154"/>
    <w:rsid w:val="00727802"/>
    <w:rsid w:val="00727B0C"/>
    <w:rsid w:val="00727B9B"/>
    <w:rsid w:val="00730116"/>
    <w:rsid w:val="00730C85"/>
    <w:rsid w:val="00730EC4"/>
    <w:rsid w:val="00730FB0"/>
    <w:rsid w:val="007310BA"/>
    <w:rsid w:val="0073152B"/>
    <w:rsid w:val="00731626"/>
    <w:rsid w:val="00731A5D"/>
    <w:rsid w:val="0073213C"/>
    <w:rsid w:val="0073249F"/>
    <w:rsid w:val="0073261F"/>
    <w:rsid w:val="007327B0"/>
    <w:rsid w:val="007327C8"/>
    <w:rsid w:val="00732A59"/>
    <w:rsid w:val="00732BA9"/>
    <w:rsid w:val="00732CF1"/>
    <w:rsid w:val="00732D16"/>
    <w:rsid w:val="00732E6B"/>
    <w:rsid w:val="007334B2"/>
    <w:rsid w:val="00733604"/>
    <w:rsid w:val="0073366F"/>
    <w:rsid w:val="007338A2"/>
    <w:rsid w:val="00733E95"/>
    <w:rsid w:val="00734A40"/>
    <w:rsid w:val="00734C32"/>
    <w:rsid w:val="007352CB"/>
    <w:rsid w:val="00735565"/>
    <w:rsid w:val="00735C17"/>
    <w:rsid w:val="00735D1D"/>
    <w:rsid w:val="0073628F"/>
    <w:rsid w:val="0073638E"/>
    <w:rsid w:val="00736A05"/>
    <w:rsid w:val="007377AE"/>
    <w:rsid w:val="00737EA8"/>
    <w:rsid w:val="007401DF"/>
    <w:rsid w:val="007402AD"/>
    <w:rsid w:val="007402C1"/>
    <w:rsid w:val="00741262"/>
    <w:rsid w:val="007413B5"/>
    <w:rsid w:val="00741411"/>
    <w:rsid w:val="00741784"/>
    <w:rsid w:val="00741CBF"/>
    <w:rsid w:val="00741F75"/>
    <w:rsid w:val="00742147"/>
    <w:rsid w:val="00742C84"/>
    <w:rsid w:val="00742E6E"/>
    <w:rsid w:val="007434FA"/>
    <w:rsid w:val="007439FA"/>
    <w:rsid w:val="00743A18"/>
    <w:rsid w:val="00743F39"/>
    <w:rsid w:val="00744482"/>
    <w:rsid w:val="00744C41"/>
    <w:rsid w:val="00745331"/>
    <w:rsid w:val="0074622A"/>
    <w:rsid w:val="0074648E"/>
    <w:rsid w:val="007464CF"/>
    <w:rsid w:val="00746C1F"/>
    <w:rsid w:val="00746D0B"/>
    <w:rsid w:val="007472F6"/>
    <w:rsid w:val="00747E89"/>
    <w:rsid w:val="00750489"/>
    <w:rsid w:val="007505AD"/>
    <w:rsid w:val="007508B8"/>
    <w:rsid w:val="00751006"/>
    <w:rsid w:val="0075135E"/>
    <w:rsid w:val="0075150C"/>
    <w:rsid w:val="0075156D"/>
    <w:rsid w:val="007515EE"/>
    <w:rsid w:val="00751DA0"/>
    <w:rsid w:val="00752421"/>
    <w:rsid w:val="0075272B"/>
    <w:rsid w:val="00753389"/>
    <w:rsid w:val="00753773"/>
    <w:rsid w:val="007538A8"/>
    <w:rsid w:val="00753A06"/>
    <w:rsid w:val="00753BDA"/>
    <w:rsid w:val="007540E5"/>
    <w:rsid w:val="007543BE"/>
    <w:rsid w:val="00754D2B"/>
    <w:rsid w:val="00755592"/>
    <w:rsid w:val="00755848"/>
    <w:rsid w:val="007558BE"/>
    <w:rsid w:val="00755A5C"/>
    <w:rsid w:val="00755E14"/>
    <w:rsid w:val="00756354"/>
    <w:rsid w:val="00756584"/>
    <w:rsid w:val="00756640"/>
    <w:rsid w:val="0075716B"/>
    <w:rsid w:val="007573CD"/>
    <w:rsid w:val="00757544"/>
    <w:rsid w:val="00757652"/>
    <w:rsid w:val="00757FA2"/>
    <w:rsid w:val="00757FB6"/>
    <w:rsid w:val="00757FD4"/>
    <w:rsid w:val="00760731"/>
    <w:rsid w:val="00760F1A"/>
    <w:rsid w:val="00761654"/>
    <w:rsid w:val="00761863"/>
    <w:rsid w:val="0076195B"/>
    <w:rsid w:val="00761B01"/>
    <w:rsid w:val="00761B4E"/>
    <w:rsid w:val="007620C2"/>
    <w:rsid w:val="00762151"/>
    <w:rsid w:val="00762197"/>
    <w:rsid w:val="007621FA"/>
    <w:rsid w:val="007626A1"/>
    <w:rsid w:val="00762898"/>
    <w:rsid w:val="00762985"/>
    <w:rsid w:val="00762F67"/>
    <w:rsid w:val="0076323C"/>
    <w:rsid w:val="007632E5"/>
    <w:rsid w:val="00763324"/>
    <w:rsid w:val="007633CB"/>
    <w:rsid w:val="007639F5"/>
    <w:rsid w:val="00763BA9"/>
    <w:rsid w:val="00763C85"/>
    <w:rsid w:val="00763CE1"/>
    <w:rsid w:val="00764021"/>
    <w:rsid w:val="00764042"/>
    <w:rsid w:val="0076432B"/>
    <w:rsid w:val="007646F9"/>
    <w:rsid w:val="00764806"/>
    <w:rsid w:val="0076483C"/>
    <w:rsid w:val="00764B5D"/>
    <w:rsid w:val="00764C5D"/>
    <w:rsid w:val="007652B2"/>
    <w:rsid w:val="007652F2"/>
    <w:rsid w:val="00765349"/>
    <w:rsid w:val="0076538E"/>
    <w:rsid w:val="00765765"/>
    <w:rsid w:val="007657FB"/>
    <w:rsid w:val="00765937"/>
    <w:rsid w:val="00765A09"/>
    <w:rsid w:val="00765A72"/>
    <w:rsid w:val="00765EB5"/>
    <w:rsid w:val="00765FF3"/>
    <w:rsid w:val="0076608F"/>
    <w:rsid w:val="00766466"/>
    <w:rsid w:val="007667F2"/>
    <w:rsid w:val="00766BC6"/>
    <w:rsid w:val="00766E1B"/>
    <w:rsid w:val="00766E84"/>
    <w:rsid w:val="00766F8B"/>
    <w:rsid w:val="0076713A"/>
    <w:rsid w:val="007674C3"/>
    <w:rsid w:val="007674DD"/>
    <w:rsid w:val="00767547"/>
    <w:rsid w:val="007678D0"/>
    <w:rsid w:val="00767B2A"/>
    <w:rsid w:val="00767E19"/>
    <w:rsid w:val="007700B8"/>
    <w:rsid w:val="007701AB"/>
    <w:rsid w:val="007701CE"/>
    <w:rsid w:val="007703E8"/>
    <w:rsid w:val="007705B7"/>
    <w:rsid w:val="007706ED"/>
    <w:rsid w:val="007707AD"/>
    <w:rsid w:val="0077092C"/>
    <w:rsid w:val="007714E6"/>
    <w:rsid w:val="007715F4"/>
    <w:rsid w:val="0077169C"/>
    <w:rsid w:val="007716D2"/>
    <w:rsid w:val="00771720"/>
    <w:rsid w:val="0077176F"/>
    <w:rsid w:val="007718AE"/>
    <w:rsid w:val="007718E2"/>
    <w:rsid w:val="00771B67"/>
    <w:rsid w:val="00772A10"/>
    <w:rsid w:val="00772B12"/>
    <w:rsid w:val="0077304C"/>
    <w:rsid w:val="0077354A"/>
    <w:rsid w:val="007735E2"/>
    <w:rsid w:val="00773D83"/>
    <w:rsid w:val="007743CE"/>
    <w:rsid w:val="00774641"/>
    <w:rsid w:val="007746B8"/>
    <w:rsid w:val="00775125"/>
    <w:rsid w:val="00775442"/>
    <w:rsid w:val="00775618"/>
    <w:rsid w:val="0077566C"/>
    <w:rsid w:val="007756C4"/>
    <w:rsid w:val="00775DDE"/>
    <w:rsid w:val="0077775A"/>
    <w:rsid w:val="00777899"/>
    <w:rsid w:val="0077799D"/>
    <w:rsid w:val="007779B6"/>
    <w:rsid w:val="00777A23"/>
    <w:rsid w:val="00777A60"/>
    <w:rsid w:val="00777BA6"/>
    <w:rsid w:val="0077E142"/>
    <w:rsid w:val="007804BA"/>
    <w:rsid w:val="00780592"/>
    <w:rsid w:val="0078062D"/>
    <w:rsid w:val="00780D0F"/>
    <w:rsid w:val="0078108A"/>
    <w:rsid w:val="007812F7"/>
    <w:rsid w:val="00781E2B"/>
    <w:rsid w:val="00781E4F"/>
    <w:rsid w:val="007824AD"/>
    <w:rsid w:val="007825D2"/>
    <w:rsid w:val="00782A67"/>
    <w:rsid w:val="00782B58"/>
    <w:rsid w:val="00782DBD"/>
    <w:rsid w:val="007830B8"/>
    <w:rsid w:val="0078343E"/>
    <w:rsid w:val="00783942"/>
    <w:rsid w:val="00783F53"/>
    <w:rsid w:val="00784427"/>
    <w:rsid w:val="007846FA"/>
    <w:rsid w:val="0078471E"/>
    <w:rsid w:val="007848DC"/>
    <w:rsid w:val="00784A26"/>
    <w:rsid w:val="00784E24"/>
    <w:rsid w:val="00784FA0"/>
    <w:rsid w:val="00785513"/>
    <w:rsid w:val="0078578A"/>
    <w:rsid w:val="00785959"/>
    <w:rsid w:val="007859B6"/>
    <w:rsid w:val="007859BF"/>
    <w:rsid w:val="00785FD3"/>
    <w:rsid w:val="00786079"/>
    <w:rsid w:val="0078622A"/>
    <w:rsid w:val="007864F4"/>
    <w:rsid w:val="007866FF"/>
    <w:rsid w:val="007869A4"/>
    <w:rsid w:val="00786B08"/>
    <w:rsid w:val="00786B0B"/>
    <w:rsid w:val="00786D40"/>
    <w:rsid w:val="0078730E"/>
    <w:rsid w:val="0078779F"/>
    <w:rsid w:val="00787D25"/>
    <w:rsid w:val="00787D9D"/>
    <w:rsid w:val="00787E98"/>
    <w:rsid w:val="00787FF2"/>
    <w:rsid w:val="00790698"/>
    <w:rsid w:val="00790E9C"/>
    <w:rsid w:val="00790F21"/>
    <w:rsid w:val="00790F57"/>
    <w:rsid w:val="00790FCD"/>
    <w:rsid w:val="0079118D"/>
    <w:rsid w:val="00791AA0"/>
    <w:rsid w:val="00791D7E"/>
    <w:rsid w:val="0079230A"/>
    <w:rsid w:val="00792655"/>
    <w:rsid w:val="00792BBB"/>
    <w:rsid w:val="00793334"/>
    <w:rsid w:val="00793FD4"/>
    <w:rsid w:val="00794B05"/>
    <w:rsid w:val="00795093"/>
    <w:rsid w:val="0079526F"/>
    <w:rsid w:val="0079568B"/>
    <w:rsid w:val="00795843"/>
    <w:rsid w:val="007958CB"/>
    <w:rsid w:val="00795BAF"/>
    <w:rsid w:val="00796B97"/>
    <w:rsid w:val="00796D9A"/>
    <w:rsid w:val="00797055"/>
    <w:rsid w:val="00797108"/>
    <w:rsid w:val="007972CB"/>
    <w:rsid w:val="00797412"/>
    <w:rsid w:val="007975FA"/>
    <w:rsid w:val="00797CF3"/>
    <w:rsid w:val="00797E07"/>
    <w:rsid w:val="00797EB6"/>
    <w:rsid w:val="007A0BC9"/>
    <w:rsid w:val="007A0CED"/>
    <w:rsid w:val="007A1254"/>
    <w:rsid w:val="007A141B"/>
    <w:rsid w:val="007A1468"/>
    <w:rsid w:val="007A14BE"/>
    <w:rsid w:val="007A14E3"/>
    <w:rsid w:val="007A156A"/>
    <w:rsid w:val="007A291E"/>
    <w:rsid w:val="007A2EF0"/>
    <w:rsid w:val="007A326B"/>
    <w:rsid w:val="007A32DA"/>
    <w:rsid w:val="007A32E8"/>
    <w:rsid w:val="007A355D"/>
    <w:rsid w:val="007A3B06"/>
    <w:rsid w:val="007A3C06"/>
    <w:rsid w:val="007A3CA7"/>
    <w:rsid w:val="007A3D1E"/>
    <w:rsid w:val="007A40EB"/>
    <w:rsid w:val="007A40FF"/>
    <w:rsid w:val="007A413F"/>
    <w:rsid w:val="007A4B38"/>
    <w:rsid w:val="007A555C"/>
    <w:rsid w:val="007A55A0"/>
    <w:rsid w:val="007A5738"/>
    <w:rsid w:val="007A5879"/>
    <w:rsid w:val="007A5973"/>
    <w:rsid w:val="007A5B9B"/>
    <w:rsid w:val="007A5F8F"/>
    <w:rsid w:val="007A6DD9"/>
    <w:rsid w:val="007A75F6"/>
    <w:rsid w:val="007A7779"/>
    <w:rsid w:val="007A7A2F"/>
    <w:rsid w:val="007A7C4F"/>
    <w:rsid w:val="007A7FED"/>
    <w:rsid w:val="007B0415"/>
    <w:rsid w:val="007B060A"/>
    <w:rsid w:val="007B08CF"/>
    <w:rsid w:val="007B08E7"/>
    <w:rsid w:val="007B0963"/>
    <w:rsid w:val="007B0D42"/>
    <w:rsid w:val="007B0E7E"/>
    <w:rsid w:val="007B0F40"/>
    <w:rsid w:val="007B15BC"/>
    <w:rsid w:val="007B178C"/>
    <w:rsid w:val="007B17B1"/>
    <w:rsid w:val="007B19A0"/>
    <w:rsid w:val="007B1AF4"/>
    <w:rsid w:val="007B1D1B"/>
    <w:rsid w:val="007B20E7"/>
    <w:rsid w:val="007B21F2"/>
    <w:rsid w:val="007B2CB4"/>
    <w:rsid w:val="007B2F0F"/>
    <w:rsid w:val="007B3137"/>
    <w:rsid w:val="007B31D8"/>
    <w:rsid w:val="007B3A9E"/>
    <w:rsid w:val="007B3C94"/>
    <w:rsid w:val="007B3E07"/>
    <w:rsid w:val="007B3EDC"/>
    <w:rsid w:val="007B3F9C"/>
    <w:rsid w:val="007B4271"/>
    <w:rsid w:val="007B4327"/>
    <w:rsid w:val="007B43A1"/>
    <w:rsid w:val="007B4A5B"/>
    <w:rsid w:val="007B50B4"/>
    <w:rsid w:val="007B51D0"/>
    <w:rsid w:val="007B5270"/>
    <w:rsid w:val="007B5486"/>
    <w:rsid w:val="007B5500"/>
    <w:rsid w:val="007B5656"/>
    <w:rsid w:val="007B5862"/>
    <w:rsid w:val="007B63A2"/>
    <w:rsid w:val="007B647D"/>
    <w:rsid w:val="007B666C"/>
    <w:rsid w:val="007B68C8"/>
    <w:rsid w:val="007B6AF0"/>
    <w:rsid w:val="007B6CE6"/>
    <w:rsid w:val="007B6DDC"/>
    <w:rsid w:val="007B6F2F"/>
    <w:rsid w:val="007B72E4"/>
    <w:rsid w:val="007B7696"/>
    <w:rsid w:val="007B7A16"/>
    <w:rsid w:val="007B7B21"/>
    <w:rsid w:val="007C0315"/>
    <w:rsid w:val="007C0550"/>
    <w:rsid w:val="007C057A"/>
    <w:rsid w:val="007C069D"/>
    <w:rsid w:val="007C076D"/>
    <w:rsid w:val="007C0D95"/>
    <w:rsid w:val="007C0E73"/>
    <w:rsid w:val="007C1196"/>
    <w:rsid w:val="007C1374"/>
    <w:rsid w:val="007C192D"/>
    <w:rsid w:val="007C1A59"/>
    <w:rsid w:val="007C1AF0"/>
    <w:rsid w:val="007C1D1C"/>
    <w:rsid w:val="007C2095"/>
    <w:rsid w:val="007C2C8E"/>
    <w:rsid w:val="007C2D6A"/>
    <w:rsid w:val="007C35ED"/>
    <w:rsid w:val="007C3BA1"/>
    <w:rsid w:val="007C3D0D"/>
    <w:rsid w:val="007C3E00"/>
    <w:rsid w:val="007C41C0"/>
    <w:rsid w:val="007C4402"/>
    <w:rsid w:val="007C450D"/>
    <w:rsid w:val="007C4605"/>
    <w:rsid w:val="007C4D9D"/>
    <w:rsid w:val="007C505B"/>
    <w:rsid w:val="007C50FB"/>
    <w:rsid w:val="007C5640"/>
    <w:rsid w:val="007C58AE"/>
    <w:rsid w:val="007C5963"/>
    <w:rsid w:val="007C59E4"/>
    <w:rsid w:val="007C5A82"/>
    <w:rsid w:val="007C5B37"/>
    <w:rsid w:val="007C6010"/>
    <w:rsid w:val="007C6087"/>
    <w:rsid w:val="007C62C0"/>
    <w:rsid w:val="007C62C1"/>
    <w:rsid w:val="007C6345"/>
    <w:rsid w:val="007C659E"/>
    <w:rsid w:val="007C67A8"/>
    <w:rsid w:val="007C6C57"/>
    <w:rsid w:val="007C6EE1"/>
    <w:rsid w:val="007C75E6"/>
    <w:rsid w:val="007C76BC"/>
    <w:rsid w:val="007C7950"/>
    <w:rsid w:val="007C7E60"/>
    <w:rsid w:val="007D001E"/>
    <w:rsid w:val="007D007A"/>
    <w:rsid w:val="007D0380"/>
    <w:rsid w:val="007D04E6"/>
    <w:rsid w:val="007D090F"/>
    <w:rsid w:val="007D0DDA"/>
    <w:rsid w:val="007D0E43"/>
    <w:rsid w:val="007D0E87"/>
    <w:rsid w:val="007D1067"/>
    <w:rsid w:val="007D146E"/>
    <w:rsid w:val="007D2097"/>
    <w:rsid w:val="007D2A0B"/>
    <w:rsid w:val="007D2D75"/>
    <w:rsid w:val="007D2E86"/>
    <w:rsid w:val="007D3026"/>
    <w:rsid w:val="007D3052"/>
    <w:rsid w:val="007D37A8"/>
    <w:rsid w:val="007D4345"/>
    <w:rsid w:val="007D44F5"/>
    <w:rsid w:val="007D468A"/>
    <w:rsid w:val="007D47FC"/>
    <w:rsid w:val="007D4BF6"/>
    <w:rsid w:val="007D5082"/>
    <w:rsid w:val="007D509B"/>
    <w:rsid w:val="007D55A5"/>
    <w:rsid w:val="007D59C2"/>
    <w:rsid w:val="007D5F58"/>
    <w:rsid w:val="007D61EB"/>
    <w:rsid w:val="007D62FF"/>
    <w:rsid w:val="007D6652"/>
    <w:rsid w:val="007D69ED"/>
    <w:rsid w:val="007D6C96"/>
    <w:rsid w:val="007D6E32"/>
    <w:rsid w:val="007D6F2F"/>
    <w:rsid w:val="007D72DA"/>
    <w:rsid w:val="007D7348"/>
    <w:rsid w:val="007D73CD"/>
    <w:rsid w:val="007D74CD"/>
    <w:rsid w:val="007E0091"/>
    <w:rsid w:val="007E00F4"/>
    <w:rsid w:val="007E0399"/>
    <w:rsid w:val="007E050F"/>
    <w:rsid w:val="007E0965"/>
    <w:rsid w:val="007E0B35"/>
    <w:rsid w:val="007E0C19"/>
    <w:rsid w:val="007E0D07"/>
    <w:rsid w:val="007E0E0E"/>
    <w:rsid w:val="007E175E"/>
    <w:rsid w:val="007E19D9"/>
    <w:rsid w:val="007E1AD3"/>
    <w:rsid w:val="007E24ED"/>
    <w:rsid w:val="007E272B"/>
    <w:rsid w:val="007E2829"/>
    <w:rsid w:val="007E2A8D"/>
    <w:rsid w:val="007E302D"/>
    <w:rsid w:val="007E30C4"/>
    <w:rsid w:val="007E3428"/>
    <w:rsid w:val="007E3502"/>
    <w:rsid w:val="007E35A9"/>
    <w:rsid w:val="007E375F"/>
    <w:rsid w:val="007E400E"/>
    <w:rsid w:val="007E4024"/>
    <w:rsid w:val="007E48E6"/>
    <w:rsid w:val="007E4A43"/>
    <w:rsid w:val="007E4C3A"/>
    <w:rsid w:val="007E54D3"/>
    <w:rsid w:val="007E5706"/>
    <w:rsid w:val="007E5CCE"/>
    <w:rsid w:val="007E63FC"/>
    <w:rsid w:val="007E668A"/>
    <w:rsid w:val="007E6735"/>
    <w:rsid w:val="007E6E38"/>
    <w:rsid w:val="007E6EF7"/>
    <w:rsid w:val="007E6F2F"/>
    <w:rsid w:val="007E7307"/>
    <w:rsid w:val="007E754D"/>
    <w:rsid w:val="007F00A5"/>
    <w:rsid w:val="007F0274"/>
    <w:rsid w:val="007F08AC"/>
    <w:rsid w:val="007F0D5C"/>
    <w:rsid w:val="007F1361"/>
    <w:rsid w:val="007F18AF"/>
    <w:rsid w:val="007F1E33"/>
    <w:rsid w:val="007F2332"/>
    <w:rsid w:val="007F273C"/>
    <w:rsid w:val="007F2896"/>
    <w:rsid w:val="007F312B"/>
    <w:rsid w:val="007F32D9"/>
    <w:rsid w:val="007F33B2"/>
    <w:rsid w:val="007F3A69"/>
    <w:rsid w:val="007F3AAF"/>
    <w:rsid w:val="007F3B6D"/>
    <w:rsid w:val="007F3DD1"/>
    <w:rsid w:val="007F3E72"/>
    <w:rsid w:val="007F3E8A"/>
    <w:rsid w:val="007F3F40"/>
    <w:rsid w:val="007F4000"/>
    <w:rsid w:val="007F44DE"/>
    <w:rsid w:val="007F4579"/>
    <w:rsid w:val="007F4835"/>
    <w:rsid w:val="007F492F"/>
    <w:rsid w:val="007F4E24"/>
    <w:rsid w:val="007F4E4A"/>
    <w:rsid w:val="007F5829"/>
    <w:rsid w:val="007F58C2"/>
    <w:rsid w:val="007F65F5"/>
    <w:rsid w:val="007F6759"/>
    <w:rsid w:val="007F6CA8"/>
    <w:rsid w:val="007F6D2A"/>
    <w:rsid w:val="007F7044"/>
    <w:rsid w:val="007F72FF"/>
    <w:rsid w:val="007F7747"/>
    <w:rsid w:val="007F778A"/>
    <w:rsid w:val="007F7FB9"/>
    <w:rsid w:val="008000BB"/>
    <w:rsid w:val="008002B2"/>
    <w:rsid w:val="008007C4"/>
    <w:rsid w:val="00800873"/>
    <w:rsid w:val="0080096D"/>
    <w:rsid w:val="008009CB"/>
    <w:rsid w:val="00800B35"/>
    <w:rsid w:val="00801047"/>
    <w:rsid w:val="00801079"/>
    <w:rsid w:val="008012F7"/>
    <w:rsid w:val="00801403"/>
    <w:rsid w:val="00801919"/>
    <w:rsid w:val="008020D0"/>
    <w:rsid w:val="008029F1"/>
    <w:rsid w:val="00802A7B"/>
    <w:rsid w:val="00802A9A"/>
    <w:rsid w:val="00802AAB"/>
    <w:rsid w:val="008032E1"/>
    <w:rsid w:val="008033B0"/>
    <w:rsid w:val="00803637"/>
    <w:rsid w:val="0080364E"/>
    <w:rsid w:val="00803E99"/>
    <w:rsid w:val="00804204"/>
    <w:rsid w:val="008044FA"/>
    <w:rsid w:val="00804723"/>
    <w:rsid w:val="00804772"/>
    <w:rsid w:val="00804F22"/>
    <w:rsid w:val="008052C6"/>
    <w:rsid w:val="00805872"/>
    <w:rsid w:val="00805881"/>
    <w:rsid w:val="008058D9"/>
    <w:rsid w:val="008058E6"/>
    <w:rsid w:val="00805A91"/>
    <w:rsid w:val="00805E01"/>
    <w:rsid w:val="0080603F"/>
    <w:rsid w:val="00806371"/>
    <w:rsid w:val="008066CD"/>
    <w:rsid w:val="008067AA"/>
    <w:rsid w:val="008067DE"/>
    <w:rsid w:val="00806932"/>
    <w:rsid w:val="00806AEC"/>
    <w:rsid w:val="00806E76"/>
    <w:rsid w:val="00807020"/>
    <w:rsid w:val="0080723B"/>
    <w:rsid w:val="008078F1"/>
    <w:rsid w:val="00807E1A"/>
    <w:rsid w:val="0081002B"/>
    <w:rsid w:val="008101B3"/>
    <w:rsid w:val="00810586"/>
    <w:rsid w:val="00810AE0"/>
    <w:rsid w:val="008111FF"/>
    <w:rsid w:val="00811454"/>
    <w:rsid w:val="008115E6"/>
    <w:rsid w:val="00811A27"/>
    <w:rsid w:val="00811A82"/>
    <w:rsid w:val="00811CDB"/>
    <w:rsid w:val="00811EAE"/>
    <w:rsid w:val="00811F81"/>
    <w:rsid w:val="00811FBE"/>
    <w:rsid w:val="00812F43"/>
    <w:rsid w:val="00812F59"/>
    <w:rsid w:val="00813319"/>
    <w:rsid w:val="00813394"/>
    <w:rsid w:val="0081361C"/>
    <w:rsid w:val="00813A27"/>
    <w:rsid w:val="0081426A"/>
    <w:rsid w:val="00814482"/>
    <w:rsid w:val="0081455C"/>
    <w:rsid w:val="0081473E"/>
    <w:rsid w:val="008147A1"/>
    <w:rsid w:val="00814B18"/>
    <w:rsid w:val="00814E05"/>
    <w:rsid w:val="00814EE2"/>
    <w:rsid w:val="00814FD8"/>
    <w:rsid w:val="0081510E"/>
    <w:rsid w:val="00815180"/>
    <w:rsid w:val="008153AB"/>
    <w:rsid w:val="00815452"/>
    <w:rsid w:val="0081584B"/>
    <w:rsid w:val="00815CE4"/>
    <w:rsid w:val="00815D5D"/>
    <w:rsid w:val="0081609B"/>
    <w:rsid w:val="0081637A"/>
    <w:rsid w:val="00816B0F"/>
    <w:rsid w:val="00816DB6"/>
    <w:rsid w:val="00817185"/>
    <w:rsid w:val="00817417"/>
    <w:rsid w:val="00817B8C"/>
    <w:rsid w:val="00817CD5"/>
    <w:rsid w:val="00820178"/>
    <w:rsid w:val="00820BC7"/>
    <w:rsid w:val="00820C3A"/>
    <w:rsid w:val="00820DA8"/>
    <w:rsid w:val="00820E35"/>
    <w:rsid w:val="00821398"/>
    <w:rsid w:val="008217B4"/>
    <w:rsid w:val="00821863"/>
    <w:rsid w:val="00821B96"/>
    <w:rsid w:val="00821C7E"/>
    <w:rsid w:val="00821D82"/>
    <w:rsid w:val="00822048"/>
    <w:rsid w:val="00822440"/>
    <w:rsid w:val="00822717"/>
    <w:rsid w:val="008228CB"/>
    <w:rsid w:val="008229A3"/>
    <w:rsid w:val="00822C07"/>
    <w:rsid w:val="00822DD8"/>
    <w:rsid w:val="0082307F"/>
    <w:rsid w:val="008230CA"/>
    <w:rsid w:val="008235A8"/>
    <w:rsid w:val="00823641"/>
    <w:rsid w:val="008236B0"/>
    <w:rsid w:val="008238C8"/>
    <w:rsid w:val="00823CD5"/>
    <w:rsid w:val="00823CE5"/>
    <w:rsid w:val="00823FE2"/>
    <w:rsid w:val="00824098"/>
    <w:rsid w:val="00824373"/>
    <w:rsid w:val="0082500B"/>
    <w:rsid w:val="0082502F"/>
    <w:rsid w:val="00825259"/>
    <w:rsid w:val="00825A2C"/>
    <w:rsid w:val="00826052"/>
    <w:rsid w:val="008262A6"/>
    <w:rsid w:val="008262E4"/>
    <w:rsid w:val="00826303"/>
    <w:rsid w:val="008266B1"/>
    <w:rsid w:val="00826A67"/>
    <w:rsid w:val="00826DAF"/>
    <w:rsid w:val="00826EFB"/>
    <w:rsid w:val="00826F37"/>
    <w:rsid w:val="008271BA"/>
    <w:rsid w:val="00827868"/>
    <w:rsid w:val="00827B5C"/>
    <w:rsid w:val="00827D7D"/>
    <w:rsid w:val="00827EF0"/>
    <w:rsid w:val="008306CE"/>
    <w:rsid w:val="00830A31"/>
    <w:rsid w:val="00830AA4"/>
    <w:rsid w:val="00830E12"/>
    <w:rsid w:val="0083109D"/>
    <w:rsid w:val="00831272"/>
    <w:rsid w:val="008312E6"/>
    <w:rsid w:val="00831338"/>
    <w:rsid w:val="0083194B"/>
    <w:rsid w:val="0083238A"/>
    <w:rsid w:val="00832895"/>
    <w:rsid w:val="0083298B"/>
    <w:rsid w:val="00832A4D"/>
    <w:rsid w:val="0083364E"/>
    <w:rsid w:val="008337BE"/>
    <w:rsid w:val="00833A3B"/>
    <w:rsid w:val="00833EBC"/>
    <w:rsid w:val="00834006"/>
    <w:rsid w:val="00834607"/>
    <w:rsid w:val="00834B47"/>
    <w:rsid w:val="0083508F"/>
    <w:rsid w:val="0083513F"/>
    <w:rsid w:val="0083515A"/>
    <w:rsid w:val="00835177"/>
    <w:rsid w:val="0083554A"/>
    <w:rsid w:val="00835652"/>
    <w:rsid w:val="008358D6"/>
    <w:rsid w:val="00835D81"/>
    <w:rsid w:val="00835D98"/>
    <w:rsid w:val="00836545"/>
    <w:rsid w:val="00836EF5"/>
    <w:rsid w:val="008376B0"/>
    <w:rsid w:val="008378D2"/>
    <w:rsid w:val="00840011"/>
    <w:rsid w:val="0084031A"/>
    <w:rsid w:val="008409D5"/>
    <w:rsid w:val="00840EEE"/>
    <w:rsid w:val="008412EA"/>
    <w:rsid w:val="00841332"/>
    <w:rsid w:val="008415A7"/>
    <w:rsid w:val="008417D4"/>
    <w:rsid w:val="00841D0D"/>
    <w:rsid w:val="00841DE4"/>
    <w:rsid w:val="00841F05"/>
    <w:rsid w:val="00842119"/>
    <w:rsid w:val="0084255C"/>
    <w:rsid w:val="00842750"/>
    <w:rsid w:val="00842DB3"/>
    <w:rsid w:val="008431E3"/>
    <w:rsid w:val="0084345C"/>
    <w:rsid w:val="00843523"/>
    <w:rsid w:val="00843655"/>
    <w:rsid w:val="0084380C"/>
    <w:rsid w:val="00843C30"/>
    <w:rsid w:val="00844019"/>
    <w:rsid w:val="008441DD"/>
    <w:rsid w:val="008446BB"/>
    <w:rsid w:val="0084477A"/>
    <w:rsid w:val="00844AC0"/>
    <w:rsid w:val="00844CBB"/>
    <w:rsid w:val="00844D0B"/>
    <w:rsid w:val="0084567A"/>
    <w:rsid w:val="00845A9F"/>
    <w:rsid w:val="00845CC9"/>
    <w:rsid w:val="00846605"/>
    <w:rsid w:val="00846673"/>
    <w:rsid w:val="008468C5"/>
    <w:rsid w:val="00846FD2"/>
    <w:rsid w:val="008473B1"/>
    <w:rsid w:val="00847A6D"/>
    <w:rsid w:val="00847FAA"/>
    <w:rsid w:val="00850081"/>
    <w:rsid w:val="008508F1"/>
    <w:rsid w:val="00850C66"/>
    <w:rsid w:val="00851479"/>
    <w:rsid w:val="008515E3"/>
    <w:rsid w:val="008515E8"/>
    <w:rsid w:val="008517E0"/>
    <w:rsid w:val="00851BE5"/>
    <w:rsid w:val="008525AE"/>
    <w:rsid w:val="00852866"/>
    <w:rsid w:val="00852B10"/>
    <w:rsid w:val="00852FE8"/>
    <w:rsid w:val="008532E9"/>
    <w:rsid w:val="0085374E"/>
    <w:rsid w:val="00853751"/>
    <w:rsid w:val="00853BD5"/>
    <w:rsid w:val="00854586"/>
    <w:rsid w:val="008545F5"/>
    <w:rsid w:val="0085497A"/>
    <w:rsid w:val="00854AA0"/>
    <w:rsid w:val="00854AB9"/>
    <w:rsid w:val="008550A6"/>
    <w:rsid w:val="008550FA"/>
    <w:rsid w:val="008552B0"/>
    <w:rsid w:val="00855B03"/>
    <w:rsid w:val="00855B3B"/>
    <w:rsid w:val="00855BC4"/>
    <w:rsid w:val="0085694E"/>
    <w:rsid w:val="00856C7C"/>
    <w:rsid w:val="00856C83"/>
    <w:rsid w:val="00856D2A"/>
    <w:rsid w:val="00856EAC"/>
    <w:rsid w:val="00856EFE"/>
    <w:rsid w:val="00856F4A"/>
    <w:rsid w:val="00856FA5"/>
    <w:rsid w:val="0085732A"/>
    <w:rsid w:val="008573E5"/>
    <w:rsid w:val="0085774C"/>
    <w:rsid w:val="00857B69"/>
    <w:rsid w:val="0086007F"/>
    <w:rsid w:val="008609EB"/>
    <w:rsid w:val="00860CDE"/>
    <w:rsid w:val="00860D16"/>
    <w:rsid w:val="0086121F"/>
    <w:rsid w:val="00862137"/>
    <w:rsid w:val="008624F5"/>
    <w:rsid w:val="008625C1"/>
    <w:rsid w:val="00862960"/>
    <w:rsid w:val="00862A37"/>
    <w:rsid w:val="00862DE4"/>
    <w:rsid w:val="008635F8"/>
    <w:rsid w:val="00864284"/>
    <w:rsid w:val="00864656"/>
    <w:rsid w:val="00864949"/>
    <w:rsid w:val="008649BA"/>
    <w:rsid w:val="00864A3F"/>
    <w:rsid w:val="00864AFF"/>
    <w:rsid w:val="00864FAB"/>
    <w:rsid w:val="0086522C"/>
    <w:rsid w:val="008653AC"/>
    <w:rsid w:val="00865430"/>
    <w:rsid w:val="00866055"/>
    <w:rsid w:val="0086628F"/>
    <w:rsid w:val="00866313"/>
    <w:rsid w:val="00866F74"/>
    <w:rsid w:val="008671E2"/>
    <w:rsid w:val="008673AA"/>
    <w:rsid w:val="008676BD"/>
    <w:rsid w:val="00867912"/>
    <w:rsid w:val="00867E8B"/>
    <w:rsid w:val="0087023A"/>
    <w:rsid w:val="00870765"/>
    <w:rsid w:val="00870D19"/>
    <w:rsid w:val="00870D3A"/>
    <w:rsid w:val="008710F6"/>
    <w:rsid w:val="00871347"/>
    <w:rsid w:val="008715EC"/>
    <w:rsid w:val="008717FF"/>
    <w:rsid w:val="00871D95"/>
    <w:rsid w:val="0087206E"/>
    <w:rsid w:val="0087247C"/>
    <w:rsid w:val="008724D1"/>
    <w:rsid w:val="008729D5"/>
    <w:rsid w:val="00872DD1"/>
    <w:rsid w:val="008734E0"/>
    <w:rsid w:val="00873707"/>
    <w:rsid w:val="00873A20"/>
    <w:rsid w:val="00873D7A"/>
    <w:rsid w:val="00873DE8"/>
    <w:rsid w:val="0087405A"/>
    <w:rsid w:val="0087412D"/>
    <w:rsid w:val="008745CE"/>
    <w:rsid w:val="00874792"/>
    <w:rsid w:val="00874E88"/>
    <w:rsid w:val="00875077"/>
    <w:rsid w:val="008751B8"/>
    <w:rsid w:val="008759B4"/>
    <w:rsid w:val="00875A22"/>
    <w:rsid w:val="00875F7A"/>
    <w:rsid w:val="00876523"/>
    <w:rsid w:val="0087655D"/>
    <w:rsid w:val="00876AB6"/>
    <w:rsid w:val="00876D16"/>
    <w:rsid w:val="00876E31"/>
    <w:rsid w:val="00876FC9"/>
    <w:rsid w:val="008775B9"/>
    <w:rsid w:val="008775DD"/>
    <w:rsid w:val="0087776A"/>
    <w:rsid w:val="008778EE"/>
    <w:rsid w:val="008779E5"/>
    <w:rsid w:val="00877AAB"/>
    <w:rsid w:val="00877B7A"/>
    <w:rsid w:val="00877C81"/>
    <w:rsid w:val="00877D3B"/>
    <w:rsid w:val="008800AC"/>
    <w:rsid w:val="00880125"/>
    <w:rsid w:val="0088023A"/>
    <w:rsid w:val="0088083E"/>
    <w:rsid w:val="008809E7"/>
    <w:rsid w:val="00880C20"/>
    <w:rsid w:val="0088167C"/>
    <w:rsid w:val="00881C76"/>
    <w:rsid w:val="008821D5"/>
    <w:rsid w:val="008821DA"/>
    <w:rsid w:val="00882454"/>
    <w:rsid w:val="008829D4"/>
    <w:rsid w:val="008829F7"/>
    <w:rsid w:val="00882C5E"/>
    <w:rsid w:val="00882F06"/>
    <w:rsid w:val="00882F60"/>
    <w:rsid w:val="00883009"/>
    <w:rsid w:val="00883752"/>
    <w:rsid w:val="00883914"/>
    <w:rsid w:val="00883A7A"/>
    <w:rsid w:val="00883DAC"/>
    <w:rsid w:val="008845FE"/>
    <w:rsid w:val="0088480D"/>
    <w:rsid w:val="00884D8B"/>
    <w:rsid w:val="0088521C"/>
    <w:rsid w:val="008852F4"/>
    <w:rsid w:val="00885B57"/>
    <w:rsid w:val="00885DAD"/>
    <w:rsid w:val="0088627B"/>
    <w:rsid w:val="0088669F"/>
    <w:rsid w:val="00886777"/>
    <w:rsid w:val="008870AD"/>
    <w:rsid w:val="00887E73"/>
    <w:rsid w:val="00890348"/>
    <w:rsid w:val="00890F8F"/>
    <w:rsid w:val="0089106A"/>
    <w:rsid w:val="00892136"/>
    <w:rsid w:val="00892382"/>
    <w:rsid w:val="008926BD"/>
    <w:rsid w:val="00892728"/>
    <w:rsid w:val="0089281A"/>
    <w:rsid w:val="00892845"/>
    <w:rsid w:val="008931D7"/>
    <w:rsid w:val="008933B7"/>
    <w:rsid w:val="0089348E"/>
    <w:rsid w:val="0089357F"/>
    <w:rsid w:val="008937FF"/>
    <w:rsid w:val="008939FB"/>
    <w:rsid w:val="00894E94"/>
    <w:rsid w:val="0089514E"/>
    <w:rsid w:val="00895593"/>
    <w:rsid w:val="0089695A"/>
    <w:rsid w:val="00896F87"/>
    <w:rsid w:val="008975CB"/>
    <w:rsid w:val="0089767C"/>
    <w:rsid w:val="00897AC1"/>
    <w:rsid w:val="008A0090"/>
    <w:rsid w:val="008A135D"/>
    <w:rsid w:val="008A13A6"/>
    <w:rsid w:val="008A1797"/>
    <w:rsid w:val="008A1BE2"/>
    <w:rsid w:val="008A20FB"/>
    <w:rsid w:val="008A2172"/>
    <w:rsid w:val="008A2401"/>
    <w:rsid w:val="008A289F"/>
    <w:rsid w:val="008A296D"/>
    <w:rsid w:val="008A2EBF"/>
    <w:rsid w:val="008A30AF"/>
    <w:rsid w:val="008A40C1"/>
    <w:rsid w:val="008A4C86"/>
    <w:rsid w:val="008A4DB4"/>
    <w:rsid w:val="008A4ECB"/>
    <w:rsid w:val="008A4FEC"/>
    <w:rsid w:val="008A532B"/>
    <w:rsid w:val="008A5432"/>
    <w:rsid w:val="008A5503"/>
    <w:rsid w:val="008A56A2"/>
    <w:rsid w:val="008A5B4B"/>
    <w:rsid w:val="008A5DB4"/>
    <w:rsid w:val="008A5F35"/>
    <w:rsid w:val="008A6389"/>
    <w:rsid w:val="008A719C"/>
    <w:rsid w:val="008A748F"/>
    <w:rsid w:val="008A7554"/>
    <w:rsid w:val="008A779F"/>
    <w:rsid w:val="008A7A1E"/>
    <w:rsid w:val="008B00D2"/>
    <w:rsid w:val="008B0887"/>
    <w:rsid w:val="008B0C1D"/>
    <w:rsid w:val="008B0D89"/>
    <w:rsid w:val="008B10A0"/>
    <w:rsid w:val="008B1189"/>
    <w:rsid w:val="008B1443"/>
    <w:rsid w:val="008B14D1"/>
    <w:rsid w:val="008B15E7"/>
    <w:rsid w:val="008B1D11"/>
    <w:rsid w:val="008B1D56"/>
    <w:rsid w:val="008B1DA9"/>
    <w:rsid w:val="008B200F"/>
    <w:rsid w:val="008B20E5"/>
    <w:rsid w:val="008B2290"/>
    <w:rsid w:val="008B2541"/>
    <w:rsid w:val="008B286A"/>
    <w:rsid w:val="008B2941"/>
    <w:rsid w:val="008B2AB4"/>
    <w:rsid w:val="008B2C15"/>
    <w:rsid w:val="008B2CCE"/>
    <w:rsid w:val="008B2E10"/>
    <w:rsid w:val="008B2E34"/>
    <w:rsid w:val="008B2FCC"/>
    <w:rsid w:val="008B2FDE"/>
    <w:rsid w:val="008B32FD"/>
    <w:rsid w:val="008B3488"/>
    <w:rsid w:val="008B363A"/>
    <w:rsid w:val="008B3E54"/>
    <w:rsid w:val="008B4115"/>
    <w:rsid w:val="008B4398"/>
    <w:rsid w:val="008B48E3"/>
    <w:rsid w:val="008B5129"/>
    <w:rsid w:val="008B53D0"/>
    <w:rsid w:val="008B55E4"/>
    <w:rsid w:val="008B5A1B"/>
    <w:rsid w:val="008B6548"/>
    <w:rsid w:val="008B70B8"/>
    <w:rsid w:val="008B71E2"/>
    <w:rsid w:val="008B7588"/>
    <w:rsid w:val="008B7F44"/>
    <w:rsid w:val="008B7F9E"/>
    <w:rsid w:val="008C025E"/>
    <w:rsid w:val="008C070A"/>
    <w:rsid w:val="008C0E74"/>
    <w:rsid w:val="008C0F0E"/>
    <w:rsid w:val="008C1374"/>
    <w:rsid w:val="008C17C9"/>
    <w:rsid w:val="008C2004"/>
    <w:rsid w:val="008C2A73"/>
    <w:rsid w:val="008C2F70"/>
    <w:rsid w:val="008C3193"/>
    <w:rsid w:val="008C3405"/>
    <w:rsid w:val="008C371C"/>
    <w:rsid w:val="008C3793"/>
    <w:rsid w:val="008C3A4A"/>
    <w:rsid w:val="008C3B36"/>
    <w:rsid w:val="008C414E"/>
    <w:rsid w:val="008C42C8"/>
    <w:rsid w:val="008C4471"/>
    <w:rsid w:val="008C4533"/>
    <w:rsid w:val="008C46BB"/>
    <w:rsid w:val="008C473B"/>
    <w:rsid w:val="008C4994"/>
    <w:rsid w:val="008C4AA4"/>
    <w:rsid w:val="008C4F0E"/>
    <w:rsid w:val="008C5131"/>
    <w:rsid w:val="008C5690"/>
    <w:rsid w:val="008C5921"/>
    <w:rsid w:val="008C5CB2"/>
    <w:rsid w:val="008C5D85"/>
    <w:rsid w:val="008C5D88"/>
    <w:rsid w:val="008C6220"/>
    <w:rsid w:val="008C6341"/>
    <w:rsid w:val="008C640C"/>
    <w:rsid w:val="008C64CC"/>
    <w:rsid w:val="008C65EB"/>
    <w:rsid w:val="008C6735"/>
    <w:rsid w:val="008C6813"/>
    <w:rsid w:val="008C6AF0"/>
    <w:rsid w:val="008C7434"/>
    <w:rsid w:val="008C77FE"/>
    <w:rsid w:val="008C7999"/>
    <w:rsid w:val="008C7D67"/>
    <w:rsid w:val="008C7E62"/>
    <w:rsid w:val="008D017C"/>
    <w:rsid w:val="008D0602"/>
    <w:rsid w:val="008D0833"/>
    <w:rsid w:val="008D0D68"/>
    <w:rsid w:val="008D1562"/>
    <w:rsid w:val="008D19BA"/>
    <w:rsid w:val="008D1CAA"/>
    <w:rsid w:val="008D1F92"/>
    <w:rsid w:val="008D20E5"/>
    <w:rsid w:val="008D220E"/>
    <w:rsid w:val="008D24FD"/>
    <w:rsid w:val="008D2CA4"/>
    <w:rsid w:val="008D2DE6"/>
    <w:rsid w:val="008D33AC"/>
    <w:rsid w:val="008D3679"/>
    <w:rsid w:val="008D3745"/>
    <w:rsid w:val="008D3AB7"/>
    <w:rsid w:val="008D3D01"/>
    <w:rsid w:val="008D3E9E"/>
    <w:rsid w:val="008D3EB0"/>
    <w:rsid w:val="008D41DF"/>
    <w:rsid w:val="008D42AB"/>
    <w:rsid w:val="008D44CC"/>
    <w:rsid w:val="008D4B4A"/>
    <w:rsid w:val="008D4CFA"/>
    <w:rsid w:val="008D5878"/>
    <w:rsid w:val="008D5F09"/>
    <w:rsid w:val="008D71E3"/>
    <w:rsid w:val="008D76D3"/>
    <w:rsid w:val="008D79B0"/>
    <w:rsid w:val="008E01E9"/>
    <w:rsid w:val="008E02E3"/>
    <w:rsid w:val="008E02F8"/>
    <w:rsid w:val="008E03EE"/>
    <w:rsid w:val="008E045F"/>
    <w:rsid w:val="008E08BA"/>
    <w:rsid w:val="008E0C54"/>
    <w:rsid w:val="008E0D9E"/>
    <w:rsid w:val="008E201D"/>
    <w:rsid w:val="008E2243"/>
    <w:rsid w:val="008E2711"/>
    <w:rsid w:val="008E2C9D"/>
    <w:rsid w:val="008E2D01"/>
    <w:rsid w:val="008E3638"/>
    <w:rsid w:val="008E376E"/>
    <w:rsid w:val="008E37FB"/>
    <w:rsid w:val="008E38CF"/>
    <w:rsid w:val="008E3A15"/>
    <w:rsid w:val="008E3A35"/>
    <w:rsid w:val="008E3B4F"/>
    <w:rsid w:val="008E4A85"/>
    <w:rsid w:val="008E4BA3"/>
    <w:rsid w:val="008E4CA9"/>
    <w:rsid w:val="008E52C9"/>
    <w:rsid w:val="008E52E9"/>
    <w:rsid w:val="008E54A2"/>
    <w:rsid w:val="008E5D6A"/>
    <w:rsid w:val="008E6017"/>
    <w:rsid w:val="008E623D"/>
    <w:rsid w:val="008E62DA"/>
    <w:rsid w:val="008E67EB"/>
    <w:rsid w:val="008E6AE2"/>
    <w:rsid w:val="008E6E58"/>
    <w:rsid w:val="008E7046"/>
    <w:rsid w:val="008E71B1"/>
    <w:rsid w:val="008E7413"/>
    <w:rsid w:val="008E749D"/>
    <w:rsid w:val="008E74E8"/>
    <w:rsid w:val="008F010D"/>
    <w:rsid w:val="008F04DF"/>
    <w:rsid w:val="008F0B65"/>
    <w:rsid w:val="008F0E15"/>
    <w:rsid w:val="008F107F"/>
    <w:rsid w:val="008F16CB"/>
    <w:rsid w:val="008F1F70"/>
    <w:rsid w:val="008F22CE"/>
    <w:rsid w:val="008F2679"/>
    <w:rsid w:val="008F29B2"/>
    <w:rsid w:val="008F2C19"/>
    <w:rsid w:val="008F34FE"/>
    <w:rsid w:val="008F3744"/>
    <w:rsid w:val="008F3DE0"/>
    <w:rsid w:val="008F40E1"/>
    <w:rsid w:val="008F435C"/>
    <w:rsid w:val="008F446E"/>
    <w:rsid w:val="008F481D"/>
    <w:rsid w:val="008F49F1"/>
    <w:rsid w:val="008F4BAB"/>
    <w:rsid w:val="008F4FF0"/>
    <w:rsid w:val="008F5055"/>
    <w:rsid w:val="008F5DEB"/>
    <w:rsid w:val="008F5F6B"/>
    <w:rsid w:val="008F6050"/>
    <w:rsid w:val="008F608A"/>
    <w:rsid w:val="008F62D3"/>
    <w:rsid w:val="008F6331"/>
    <w:rsid w:val="008F6C87"/>
    <w:rsid w:val="008F6CAB"/>
    <w:rsid w:val="008F6E20"/>
    <w:rsid w:val="008F70B7"/>
    <w:rsid w:val="008F7362"/>
    <w:rsid w:val="008F7537"/>
    <w:rsid w:val="008F7711"/>
    <w:rsid w:val="008F7776"/>
    <w:rsid w:val="008F7817"/>
    <w:rsid w:val="008F78E3"/>
    <w:rsid w:val="008F7D01"/>
    <w:rsid w:val="008F7D15"/>
    <w:rsid w:val="00900121"/>
    <w:rsid w:val="009001AA"/>
    <w:rsid w:val="009003CE"/>
    <w:rsid w:val="0090043C"/>
    <w:rsid w:val="009004D4"/>
    <w:rsid w:val="00900777"/>
    <w:rsid w:val="00900F9F"/>
    <w:rsid w:val="00900FF2"/>
    <w:rsid w:val="00901034"/>
    <w:rsid w:val="00901194"/>
    <w:rsid w:val="00901345"/>
    <w:rsid w:val="00901C4E"/>
    <w:rsid w:val="00901D06"/>
    <w:rsid w:val="0090220C"/>
    <w:rsid w:val="00902867"/>
    <w:rsid w:val="00903627"/>
    <w:rsid w:val="0090364D"/>
    <w:rsid w:val="00903C3C"/>
    <w:rsid w:val="00903CBC"/>
    <w:rsid w:val="00903D55"/>
    <w:rsid w:val="0090400A"/>
    <w:rsid w:val="00904A5E"/>
    <w:rsid w:val="00905626"/>
    <w:rsid w:val="00905636"/>
    <w:rsid w:val="00905E4B"/>
    <w:rsid w:val="00906254"/>
    <w:rsid w:val="009062CA"/>
    <w:rsid w:val="009064C2"/>
    <w:rsid w:val="00906A67"/>
    <w:rsid w:val="00906B57"/>
    <w:rsid w:val="00906C40"/>
    <w:rsid w:val="00906FA6"/>
    <w:rsid w:val="00907009"/>
    <w:rsid w:val="009073DA"/>
    <w:rsid w:val="00907723"/>
    <w:rsid w:val="00907BD5"/>
    <w:rsid w:val="00907CAB"/>
    <w:rsid w:val="0091005E"/>
    <w:rsid w:val="0091019D"/>
    <w:rsid w:val="00910380"/>
    <w:rsid w:val="0091069B"/>
    <w:rsid w:val="009107BC"/>
    <w:rsid w:val="00910E39"/>
    <w:rsid w:val="00910EED"/>
    <w:rsid w:val="009110C1"/>
    <w:rsid w:val="00911794"/>
    <w:rsid w:val="00911905"/>
    <w:rsid w:val="00911B74"/>
    <w:rsid w:val="00911EBB"/>
    <w:rsid w:val="0091267B"/>
    <w:rsid w:val="0091285E"/>
    <w:rsid w:val="009128CC"/>
    <w:rsid w:val="00912C4B"/>
    <w:rsid w:val="00912D46"/>
    <w:rsid w:val="0091357D"/>
    <w:rsid w:val="00913817"/>
    <w:rsid w:val="00913B9B"/>
    <w:rsid w:val="00913CD8"/>
    <w:rsid w:val="00913D41"/>
    <w:rsid w:val="009140EF"/>
    <w:rsid w:val="00914421"/>
    <w:rsid w:val="0091457C"/>
    <w:rsid w:val="009149A1"/>
    <w:rsid w:val="009153FD"/>
    <w:rsid w:val="00915C6E"/>
    <w:rsid w:val="00915D44"/>
    <w:rsid w:val="00915DBE"/>
    <w:rsid w:val="00915E7C"/>
    <w:rsid w:val="009160C5"/>
    <w:rsid w:val="009167B9"/>
    <w:rsid w:val="009169DF"/>
    <w:rsid w:val="00917133"/>
    <w:rsid w:val="009172F8"/>
    <w:rsid w:val="00917381"/>
    <w:rsid w:val="00917806"/>
    <w:rsid w:val="009178E8"/>
    <w:rsid w:val="009178EE"/>
    <w:rsid w:val="00917C2B"/>
    <w:rsid w:val="0092082E"/>
    <w:rsid w:val="0092095F"/>
    <w:rsid w:val="0092096E"/>
    <w:rsid w:val="009209C0"/>
    <w:rsid w:val="00920FC2"/>
    <w:rsid w:val="00922080"/>
    <w:rsid w:val="00922091"/>
    <w:rsid w:val="0092246F"/>
    <w:rsid w:val="00922711"/>
    <w:rsid w:val="009229C4"/>
    <w:rsid w:val="00922F4A"/>
    <w:rsid w:val="0092302E"/>
    <w:rsid w:val="009234CC"/>
    <w:rsid w:val="00923518"/>
    <w:rsid w:val="00923709"/>
    <w:rsid w:val="00923D9F"/>
    <w:rsid w:val="00923DFE"/>
    <w:rsid w:val="00923F23"/>
    <w:rsid w:val="00923F8A"/>
    <w:rsid w:val="00924666"/>
    <w:rsid w:val="009246AB"/>
    <w:rsid w:val="00924F7F"/>
    <w:rsid w:val="00925B4A"/>
    <w:rsid w:val="00925C29"/>
    <w:rsid w:val="00925D9E"/>
    <w:rsid w:val="00925EBC"/>
    <w:rsid w:val="009264F1"/>
    <w:rsid w:val="00926723"/>
    <w:rsid w:val="009272DF"/>
    <w:rsid w:val="009275B3"/>
    <w:rsid w:val="00927815"/>
    <w:rsid w:val="00927BE7"/>
    <w:rsid w:val="00927F17"/>
    <w:rsid w:val="0093055A"/>
    <w:rsid w:val="00930B4F"/>
    <w:rsid w:val="00930C44"/>
    <w:rsid w:val="00930C8D"/>
    <w:rsid w:val="00930CE6"/>
    <w:rsid w:val="009315FF"/>
    <w:rsid w:val="00932906"/>
    <w:rsid w:val="009329AA"/>
    <w:rsid w:val="00932C4B"/>
    <w:rsid w:val="00932FFA"/>
    <w:rsid w:val="009333E1"/>
    <w:rsid w:val="009335AE"/>
    <w:rsid w:val="0093374F"/>
    <w:rsid w:val="009337B9"/>
    <w:rsid w:val="00933807"/>
    <w:rsid w:val="00934418"/>
    <w:rsid w:val="0093491C"/>
    <w:rsid w:val="00934C41"/>
    <w:rsid w:val="0093555E"/>
    <w:rsid w:val="009355A0"/>
    <w:rsid w:val="0093615B"/>
    <w:rsid w:val="009367B3"/>
    <w:rsid w:val="00936B3B"/>
    <w:rsid w:val="00937323"/>
    <w:rsid w:val="00937B63"/>
    <w:rsid w:val="00937D5E"/>
    <w:rsid w:val="00937E85"/>
    <w:rsid w:val="009404EA"/>
    <w:rsid w:val="009406A8"/>
    <w:rsid w:val="00940904"/>
    <w:rsid w:val="009412A9"/>
    <w:rsid w:val="0094177F"/>
    <w:rsid w:val="009417FD"/>
    <w:rsid w:val="009418B5"/>
    <w:rsid w:val="00942AEA"/>
    <w:rsid w:val="00942C20"/>
    <w:rsid w:val="00942CAF"/>
    <w:rsid w:val="00942CE0"/>
    <w:rsid w:val="00942D08"/>
    <w:rsid w:val="00943123"/>
    <w:rsid w:val="0094328E"/>
    <w:rsid w:val="009434B2"/>
    <w:rsid w:val="009436AA"/>
    <w:rsid w:val="00943E31"/>
    <w:rsid w:val="00943E6B"/>
    <w:rsid w:val="00943F6D"/>
    <w:rsid w:val="0094415C"/>
    <w:rsid w:val="0094424E"/>
    <w:rsid w:val="00944360"/>
    <w:rsid w:val="0094456C"/>
    <w:rsid w:val="0094493B"/>
    <w:rsid w:val="00944A70"/>
    <w:rsid w:val="0094531E"/>
    <w:rsid w:val="0094536E"/>
    <w:rsid w:val="0094543D"/>
    <w:rsid w:val="00945447"/>
    <w:rsid w:val="0094566A"/>
    <w:rsid w:val="00945EC5"/>
    <w:rsid w:val="009460C0"/>
    <w:rsid w:val="00946249"/>
    <w:rsid w:val="009464ED"/>
    <w:rsid w:val="009465FD"/>
    <w:rsid w:val="009468CB"/>
    <w:rsid w:val="00946993"/>
    <w:rsid w:val="00946C14"/>
    <w:rsid w:val="00947260"/>
    <w:rsid w:val="00947AAA"/>
    <w:rsid w:val="0095033D"/>
    <w:rsid w:val="00950462"/>
    <w:rsid w:val="00950978"/>
    <w:rsid w:val="00950AB9"/>
    <w:rsid w:val="00950BA5"/>
    <w:rsid w:val="00950E5B"/>
    <w:rsid w:val="00950F16"/>
    <w:rsid w:val="0095132B"/>
    <w:rsid w:val="009514BD"/>
    <w:rsid w:val="00951DBA"/>
    <w:rsid w:val="00951EB1"/>
    <w:rsid w:val="009530D3"/>
    <w:rsid w:val="00953297"/>
    <w:rsid w:val="009533FB"/>
    <w:rsid w:val="0095388B"/>
    <w:rsid w:val="009538ED"/>
    <w:rsid w:val="009539D6"/>
    <w:rsid w:val="00953FB9"/>
    <w:rsid w:val="00954152"/>
    <w:rsid w:val="00954524"/>
    <w:rsid w:val="009546E2"/>
    <w:rsid w:val="00954EAC"/>
    <w:rsid w:val="00954FB2"/>
    <w:rsid w:val="0095533A"/>
    <w:rsid w:val="0095560F"/>
    <w:rsid w:val="00955791"/>
    <w:rsid w:val="00955C9D"/>
    <w:rsid w:val="00955CF7"/>
    <w:rsid w:val="00955EA1"/>
    <w:rsid w:val="00955EC9"/>
    <w:rsid w:val="00955F0D"/>
    <w:rsid w:val="009560DC"/>
    <w:rsid w:val="00956297"/>
    <w:rsid w:val="009563B2"/>
    <w:rsid w:val="009566A9"/>
    <w:rsid w:val="00956926"/>
    <w:rsid w:val="00956E30"/>
    <w:rsid w:val="0095754E"/>
    <w:rsid w:val="009575F7"/>
    <w:rsid w:val="00957686"/>
    <w:rsid w:val="009576E5"/>
    <w:rsid w:val="00957977"/>
    <w:rsid w:val="00957B11"/>
    <w:rsid w:val="00957B2E"/>
    <w:rsid w:val="00960026"/>
    <w:rsid w:val="0096009F"/>
    <w:rsid w:val="00960302"/>
    <w:rsid w:val="009605DC"/>
    <w:rsid w:val="0096085D"/>
    <w:rsid w:val="00960A42"/>
    <w:rsid w:val="00960B79"/>
    <w:rsid w:val="00960E65"/>
    <w:rsid w:val="009612CA"/>
    <w:rsid w:val="0096181B"/>
    <w:rsid w:val="00961DE9"/>
    <w:rsid w:val="00961EEF"/>
    <w:rsid w:val="00961F1B"/>
    <w:rsid w:val="00962484"/>
    <w:rsid w:val="0096269F"/>
    <w:rsid w:val="00963B68"/>
    <w:rsid w:val="00963B8A"/>
    <w:rsid w:val="00964CA1"/>
    <w:rsid w:val="00964CD1"/>
    <w:rsid w:val="00965061"/>
    <w:rsid w:val="00965649"/>
    <w:rsid w:val="0096581F"/>
    <w:rsid w:val="00965966"/>
    <w:rsid w:val="00965CA4"/>
    <w:rsid w:val="009664C7"/>
    <w:rsid w:val="0096657B"/>
    <w:rsid w:val="009668A4"/>
    <w:rsid w:val="00966A8E"/>
    <w:rsid w:val="00966AF4"/>
    <w:rsid w:val="00966D0D"/>
    <w:rsid w:val="00966E4A"/>
    <w:rsid w:val="0096700C"/>
    <w:rsid w:val="009673D5"/>
    <w:rsid w:val="00967568"/>
    <w:rsid w:val="0096769A"/>
    <w:rsid w:val="009678E9"/>
    <w:rsid w:val="00967A9C"/>
    <w:rsid w:val="00967AC5"/>
    <w:rsid w:val="00967D79"/>
    <w:rsid w:val="00970351"/>
    <w:rsid w:val="009703D1"/>
    <w:rsid w:val="009706A5"/>
    <w:rsid w:val="00970B9C"/>
    <w:rsid w:val="0097118C"/>
    <w:rsid w:val="009716AD"/>
    <w:rsid w:val="00971A0E"/>
    <w:rsid w:val="00971B71"/>
    <w:rsid w:val="00971D73"/>
    <w:rsid w:val="009721AA"/>
    <w:rsid w:val="0097245A"/>
    <w:rsid w:val="00972655"/>
    <w:rsid w:val="009726B0"/>
    <w:rsid w:val="00972F0E"/>
    <w:rsid w:val="00973189"/>
    <w:rsid w:val="00973C84"/>
    <w:rsid w:val="00973E84"/>
    <w:rsid w:val="0097401A"/>
    <w:rsid w:val="00974967"/>
    <w:rsid w:val="009752A3"/>
    <w:rsid w:val="00975A50"/>
    <w:rsid w:val="00975C4A"/>
    <w:rsid w:val="00975C92"/>
    <w:rsid w:val="00975E8F"/>
    <w:rsid w:val="0097617A"/>
    <w:rsid w:val="009768F6"/>
    <w:rsid w:val="00976D98"/>
    <w:rsid w:val="00976EC8"/>
    <w:rsid w:val="00976EF1"/>
    <w:rsid w:val="0097752B"/>
    <w:rsid w:val="00977901"/>
    <w:rsid w:val="00977C45"/>
    <w:rsid w:val="00977E1F"/>
    <w:rsid w:val="00980323"/>
    <w:rsid w:val="009808C2"/>
    <w:rsid w:val="00980B5F"/>
    <w:rsid w:val="00980B6E"/>
    <w:rsid w:val="0098104A"/>
    <w:rsid w:val="00981736"/>
    <w:rsid w:val="00981CBC"/>
    <w:rsid w:val="00981E40"/>
    <w:rsid w:val="009822E3"/>
    <w:rsid w:val="00982FEC"/>
    <w:rsid w:val="00983212"/>
    <w:rsid w:val="0098330B"/>
    <w:rsid w:val="0098338D"/>
    <w:rsid w:val="009833A2"/>
    <w:rsid w:val="0098386E"/>
    <w:rsid w:val="00983BEF"/>
    <w:rsid w:val="00983D75"/>
    <w:rsid w:val="0098401B"/>
    <w:rsid w:val="0098425C"/>
    <w:rsid w:val="00984732"/>
    <w:rsid w:val="0098478E"/>
    <w:rsid w:val="009848FD"/>
    <w:rsid w:val="0098492E"/>
    <w:rsid w:val="00984A90"/>
    <w:rsid w:val="00984B87"/>
    <w:rsid w:val="0098541C"/>
    <w:rsid w:val="009857EA"/>
    <w:rsid w:val="0098605B"/>
    <w:rsid w:val="009862B5"/>
    <w:rsid w:val="009862CD"/>
    <w:rsid w:val="009863D3"/>
    <w:rsid w:val="009868CA"/>
    <w:rsid w:val="009871C5"/>
    <w:rsid w:val="0098779C"/>
    <w:rsid w:val="00987843"/>
    <w:rsid w:val="00987945"/>
    <w:rsid w:val="00987F7E"/>
    <w:rsid w:val="00987F97"/>
    <w:rsid w:val="0099003E"/>
    <w:rsid w:val="0099024C"/>
    <w:rsid w:val="009904FA"/>
    <w:rsid w:val="0099060C"/>
    <w:rsid w:val="00990E27"/>
    <w:rsid w:val="00990F4D"/>
    <w:rsid w:val="00991B4D"/>
    <w:rsid w:val="00991CC2"/>
    <w:rsid w:val="00991EFB"/>
    <w:rsid w:val="00991F3A"/>
    <w:rsid w:val="00991F7C"/>
    <w:rsid w:val="00992219"/>
    <w:rsid w:val="00992227"/>
    <w:rsid w:val="009925A2"/>
    <w:rsid w:val="00992790"/>
    <w:rsid w:val="00992975"/>
    <w:rsid w:val="00992B41"/>
    <w:rsid w:val="0099369F"/>
    <w:rsid w:val="00993D12"/>
    <w:rsid w:val="00994DE7"/>
    <w:rsid w:val="009955D3"/>
    <w:rsid w:val="00995C7C"/>
    <w:rsid w:val="0099624A"/>
    <w:rsid w:val="00996502"/>
    <w:rsid w:val="00996783"/>
    <w:rsid w:val="009975BD"/>
    <w:rsid w:val="009976A7"/>
    <w:rsid w:val="0099798A"/>
    <w:rsid w:val="00997A62"/>
    <w:rsid w:val="009A0673"/>
    <w:rsid w:val="009A0689"/>
    <w:rsid w:val="009A09DE"/>
    <w:rsid w:val="009A247E"/>
    <w:rsid w:val="009A255F"/>
    <w:rsid w:val="009A26C1"/>
    <w:rsid w:val="009A28BC"/>
    <w:rsid w:val="009A2ABB"/>
    <w:rsid w:val="009A2FF7"/>
    <w:rsid w:val="009A3030"/>
    <w:rsid w:val="009A3AC4"/>
    <w:rsid w:val="009A422B"/>
    <w:rsid w:val="009A46C9"/>
    <w:rsid w:val="009A4AE1"/>
    <w:rsid w:val="009A4E75"/>
    <w:rsid w:val="009A4ED4"/>
    <w:rsid w:val="009A5D89"/>
    <w:rsid w:val="009A5FF7"/>
    <w:rsid w:val="009A619C"/>
    <w:rsid w:val="009A6BF2"/>
    <w:rsid w:val="009A6E0B"/>
    <w:rsid w:val="009A7563"/>
    <w:rsid w:val="009A76BB"/>
    <w:rsid w:val="009A771A"/>
    <w:rsid w:val="009A7B6B"/>
    <w:rsid w:val="009A7D26"/>
    <w:rsid w:val="009A7DB1"/>
    <w:rsid w:val="009B0269"/>
    <w:rsid w:val="009B04E8"/>
    <w:rsid w:val="009B062D"/>
    <w:rsid w:val="009B0684"/>
    <w:rsid w:val="009B0C2A"/>
    <w:rsid w:val="009B0D07"/>
    <w:rsid w:val="009B0D80"/>
    <w:rsid w:val="009B12D0"/>
    <w:rsid w:val="009B1A85"/>
    <w:rsid w:val="009B1E02"/>
    <w:rsid w:val="009B23B4"/>
    <w:rsid w:val="009B2969"/>
    <w:rsid w:val="009B2AFF"/>
    <w:rsid w:val="009B2E6C"/>
    <w:rsid w:val="009B3930"/>
    <w:rsid w:val="009B399D"/>
    <w:rsid w:val="009B4169"/>
    <w:rsid w:val="009B424F"/>
    <w:rsid w:val="009B49A7"/>
    <w:rsid w:val="009B49D2"/>
    <w:rsid w:val="009B4AB9"/>
    <w:rsid w:val="009B590A"/>
    <w:rsid w:val="009B5961"/>
    <w:rsid w:val="009B5D5F"/>
    <w:rsid w:val="009B6027"/>
    <w:rsid w:val="009B6819"/>
    <w:rsid w:val="009B6AB1"/>
    <w:rsid w:val="009B6C48"/>
    <w:rsid w:val="009B6E39"/>
    <w:rsid w:val="009B73C0"/>
    <w:rsid w:val="009B7826"/>
    <w:rsid w:val="009B7906"/>
    <w:rsid w:val="009B7BAD"/>
    <w:rsid w:val="009B7D63"/>
    <w:rsid w:val="009B7DE8"/>
    <w:rsid w:val="009B7E1B"/>
    <w:rsid w:val="009C05D1"/>
    <w:rsid w:val="009C0A83"/>
    <w:rsid w:val="009C0E57"/>
    <w:rsid w:val="009C13D9"/>
    <w:rsid w:val="009C25A7"/>
    <w:rsid w:val="009C28E1"/>
    <w:rsid w:val="009C2C46"/>
    <w:rsid w:val="009C310F"/>
    <w:rsid w:val="009C31CB"/>
    <w:rsid w:val="009C33BE"/>
    <w:rsid w:val="009C4546"/>
    <w:rsid w:val="009C4633"/>
    <w:rsid w:val="009C4E75"/>
    <w:rsid w:val="009C5133"/>
    <w:rsid w:val="009C5495"/>
    <w:rsid w:val="009C55A1"/>
    <w:rsid w:val="009C601F"/>
    <w:rsid w:val="009C61E5"/>
    <w:rsid w:val="009C64A7"/>
    <w:rsid w:val="009C6542"/>
    <w:rsid w:val="009C6721"/>
    <w:rsid w:val="009C6EC5"/>
    <w:rsid w:val="009C6FAC"/>
    <w:rsid w:val="009C7217"/>
    <w:rsid w:val="009C74AE"/>
    <w:rsid w:val="009C7A07"/>
    <w:rsid w:val="009D00F6"/>
    <w:rsid w:val="009D0608"/>
    <w:rsid w:val="009D098D"/>
    <w:rsid w:val="009D0C5C"/>
    <w:rsid w:val="009D0D5E"/>
    <w:rsid w:val="009D12E1"/>
    <w:rsid w:val="009D147E"/>
    <w:rsid w:val="009D14EF"/>
    <w:rsid w:val="009D1FDF"/>
    <w:rsid w:val="009D25C9"/>
    <w:rsid w:val="009D26A6"/>
    <w:rsid w:val="009D27D5"/>
    <w:rsid w:val="009D27E1"/>
    <w:rsid w:val="009D2DA2"/>
    <w:rsid w:val="009D3107"/>
    <w:rsid w:val="009D3823"/>
    <w:rsid w:val="009D3921"/>
    <w:rsid w:val="009D3CEE"/>
    <w:rsid w:val="009D4819"/>
    <w:rsid w:val="009D4B71"/>
    <w:rsid w:val="009D50B8"/>
    <w:rsid w:val="009D50BA"/>
    <w:rsid w:val="009D529F"/>
    <w:rsid w:val="009D5576"/>
    <w:rsid w:val="009D5687"/>
    <w:rsid w:val="009D5D45"/>
    <w:rsid w:val="009D5F6F"/>
    <w:rsid w:val="009D622D"/>
    <w:rsid w:val="009D639C"/>
    <w:rsid w:val="009D67F7"/>
    <w:rsid w:val="009D6B6E"/>
    <w:rsid w:val="009D6DB5"/>
    <w:rsid w:val="009D6F6F"/>
    <w:rsid w:val="009D7A45"/>
    <w:rsid w:val="009D7D10"/>
    <w:rsid w:val="009D7EA8"/>
    <w:rsid w:val="009D7FAD"/>
    <w:rsid w:val="009E0377"/>
    <w:rsid w:val="009E038C"/>
    <w:rsid w:val="009E066C"/>
    <w:rsid w:val="009E07B0"/>
    <w:rsid w:val="009E0A21"/>
    <w:rsid w:val="009E0CC2"/>
    <w:rsid w:val="009E1269"/>
    <w:rsid w:val="009E1CFA"/>
    <w:rsid w:val="009E2107"/>
    <w:rsid w:val="009E268D"/>
    <w:rsid w:val="009E26A7"/>
    <w:rsid w:val="009E2910"/>
    <w:rsid w:val="009E2B01"/>
    <w:rsid w:val="009E2C3F"/>
    <w:rsid w:val="009E2F26"/>
    <w:rsid w:val="009E3177"/>
    <w:rsid w:val="009E368F"/>
    <w:rsid w:val="009E3742"/>
    <w:rsid w:val="009E37FB"/>
    <w:rsid w:val="009E4319"/>
    <w:rsid w:val="009E45F2"/>
    <w:rsid w:val="009E460D"/>
    <w:rsid w:val="009E4930"/>
    <w:rsid w:val="009E49B2"/>
    <w:rsid w:val="009E4CE7"/>
    <w:rsid w:val="009E4D62"/>
    <w:rsid w:val="009E4E01"/>
    <w:rsid w:val="009E5122"/>
    <w:rsid w:val="009E5262"/>
    <w:rsid w:val="009E550E"/>
    <w:rsid w:val="009E638D"/>
    <w:rsid w:val="009E6A59"/>
    <w:rsid w:val="009E6CC9"/>
    <w:rsid w:val="009E6D7C"/>
    <w:rsid w:val="009E6DF7"/>
    <w:rsid w:val="009E70F5"/>
    <w:rsid w:val="009E7189"/>
    <w:rsid w:val="009E742B"/>
    <w:rsid w:val="009E7A1D"/>
    <w:rsid w:val="009E7B43"/>
    <w:rsid w:val="009E7D55"/>
    <w:rsid w:val="009F02C0"/>
    <w:rsid w:val="009F0895"/>
    <w:rsid w:val="009F0BD7"/>
    <w:rsid w:val="009F0F40"/>
    <w:rsid w:val="009F1683"/>
    <w:rsid w:val="009F18C3"/>
    <w:rsid w:val="009F1F66"/>
    <w:rsid w:val="009F22AF"/>
    <w:rsid w:val="009F258B"/>
    <w:rsid w:val="009F2688"/>
    <w:rsid w:val="009F287F"/>
    <w:rsid w:val="009F2C20"/>
    <w:rsid w:val="009F2C6A"/>
    <w:rsid w:val="009F2D79"/>
    <w:rsid w:val="009F3295"/>
    <w:rsid w:val="009F3445"/>
    <w:rsid w:val="009F3853"/>
    <w:rsid w:val="009F3F60"/>
    <w:rsid w:val="009F3FFC"/>
    <w:rsid w:val="009F4440"/>
    <w:rsid w:val="009F46E9"/>
    <w:rsid w:val="009F4C24"/>
    <w:rsid w:val="009F4D02"/>
    <w:rsid w:val="009F57FB"/>
    <w:rsid w:val="009F58F9"/>
    <w:rsid w:val="009F5A3F"/>
    <w:rsid w:val="009F5C25"/>
    <w:rsid w:val="009F5DBA"/>
    <w:rsid w:val="009F6262"/>
    <w:rsid w:val="009F6390"/>
    <w:rsid w:val="009F6812"/>
    <w:rsid w:val="009F687B"/>
    <w:rsid w:val="009F690F"/>
    <w:rsid w:val="009F733B"/>
    <w:rsid w:val="009F73BB"/>
    <w:rsid w:val="009F74DB"/>
    <w:rsid w:val="009F7698"/>
    <w:rsid w:val="009F7B7A"/>
    <w:rsid w:val="009F7E25"/>
    <w:rsid w:val="00A01275"/>
    <w:rsid w:val="00A01355"/>
    <w:rsid w:val="00A015C2"/>
    <w:rsid w:val="00A017C5"/>
    <w:rsid w:val="00A01852"/>
    <w:rsid w:val="00A02106"/>
    <w:rsid w:val="00A02155"/>
    <w:rsid w:val="00A02190"/>
    <w:rsid w:val="00A0248F"/>
    <w:rsid w:val="00A02652"/>
    <w:rsid w:val="00A0265E"/>
    <w:rsid w:val="00A02760"/>
    <w:rsid w:val="00A0278A"/>
    <w:rsid w:val="00A027C2"/>
    <w:rsid w:val="00A02A50"/>
    <w:rsid w:val="00A02CD2"/>
    <w:rsid w:val="00A02D6E"/>
    <w:rsid w:val="00A02D88"/>
    <w:rsid w:val="00A03252"/>
    <w:rsid w:val="00A034D0"/>
    <w:rsid w:val="00A03700"/>
    <w:rsid w:val="00A04691"/>
    <w:rsid w:val="00A0498C"/>
    <w:rsid w:val="00A04BA4"/>
    <w:rsid w:val="00A062D2"/>
    <w:rsid w:val="00A06789"/>
    <w:rsid w:val="00A068FB"/>
    <w:rsid w:val="00A06B91"/>
    <w:rsid w:val="00A06EB7"/>
    <w:rsid w:val="00A073D3"/>
    <w:rsid w:val="00A0748B"/>
    <w:rsid w:val="00A076A7"/>
    <w:rsid w:val="00A07BCF"/>
    <w:rsid w:val="00A07F65"/>
    <w:rsid w:val="00A1062C"/>
    <w:rsid w:val="00A1078F"/>
    <w:rsid w:val="00A108CE"/>
    <w:rsid w:val="00A1145B"/>
    <w:rsid w:val="00A116F8"/>
    <w:rsid w:val="00A1190C"/>
    <w:rsid w:val="00A11DBE"/>
    <w:rsid w:val="00A11EC9"/>
    <w:rsid w:val="00A11F1B"/>
    <w:rsid w:val="00A11F3D"/>
    <w:rsid w:val="00A12147"/>
    <w:rsid w:val="00A125B2"/>
    <w:rsid w:val="00A127A3"/>
    <w:rsid w:val="00A12B7D"/>
    <w:rsid w:val="00A1309A"/>
    <w:rsid w:val="00A13471"/>
    <w:rsid w:val="00A135BE"/>
    <w:rsid w:val="00A136A8"/>
    <w:rsid w:val="00A13C3B"/>
    <w:rsid w:val="00A14084"/>
    <w:rsid w:val="00A150BD"/>
    <w:rsid w:val="00A1515F"/>
    <w:rsid w:val="00A152CC"/>
    <w:rsid w:val="00A153CD"/>
    <w:rsid w:val="00A15843"/>
    <w:rsid w:val="00A1609B"/>
    <w:rsid w:val="00A17723"/>
    <w:rsid w:val="00A17D60"/>
    <w:rsid w:val="00A17DFD"/>
    <w:rsid w:val="00A20029"/>
    <w:rsid w:val="00A203C5"/>
    <w:rsid w:val="00A20672"/>
    <w:rsid w:val="00A20815"/>
    <w:rsid w:val="00A2087D"/>
    <w:rsid w:val="00A210E3"/>
    <w:rsid w:val="00A21189"/>
    <w:rsid w:val="00A21366"/>
    <w:rsid w:val="00A21481"/>
    <w:rsid w:val="00A21613"/>
    <w:rsid w:val="00A21906"/>
    <w:rsid w:val="00A21C6B"/>
    <w:rsid w:val="00A22176"/>
    <w:rsid w:val="00A2238A"/>
    <w:rsid w:val="00A22582"/>
    <w:rsid w:val="00A227B6"/>
    <w:rsid w:val="00A2284C"/>
    <w:rsid w:val="00A22B91"/>
    <w:rsid w:val="00A22C48"/>
    <w:rsid w:val="00A2367F"/>
    <w:rsid w:val="00A2383D"/>
    <w:rsid w:val="00A23908"/>
    <w:rsid w:val="00A23AAC"/>
    <w:rsid w:val="00A23B6A"/>
    <w:rsid w:val="00A23FAC"/>
    <w:rsid w:val="00A24187"/>
    <w:rsid w:val="00A24215"/>
    <w:rsid w:val="00A24667"/>
    <w:rsid w:val="00A24689"/>
    <w:rsid w:val="00A246CB"/>
    <w:rsid w:val="00A24D39"/>
    <w:rsid w:val="00A2552F"/>
    <w:rsid w:val="00A2553A"/>
    <w:rsid w:val="00A25C32"/>
    <w:rsid w:val="00A25C97"/>
    <w:rsid w:val="00A260D5"/>
    <w:rsid w:val="00A26463"/>
    <w:rsid w:val="00A267C0"/>
    <w:rsid w:val="00A26BB2"/>
    <w:rsid w:val="00A27B61"/>
    <w:rsid w:val="00A27E1C"/>
    <w:rsid w:val="00A302BC"/>
    <w:rsid w:val="00A30413"/>
    <w:rsid w:val="00A3086C"/>
    <w:rsid w:val="00A30B6E"/>
    <w:rsid w:val="00A30CA1"/>
    <w:rsid w:val="00A30E0F"/>
    <w:rsid w:val="00A3102B"/>
    <w:rsid w:val="00A310E4"/>
    <w:rsid w:val="00A310EC"/>
    <w:rsid w:val="00A31211"/>
    <w:rsid w:val="00A31373"/>
    <w:rsid w:val="00A315C4"/>
    <w:rsid w:val="00A316EE"/>
    <w:rsid w:val="00A317DF"/>
    <w:rsid w:val="00A322C2"/>
    <w:rsid w:val="00A32316"/>
    <w:rsid w:val="00A325E9"/>
    <w:rsid w:val="00A3272D"/>
    <w:rsid w:val="00A327C1"/>
    <w:rsid w:val="00A328B7"/>
    <w:rsid w:val="00A32FBA"/>
    <w:rsid w:val="00A331ED"/>
    <w:rsid w:val="00A331F0"/>
    <w:rsid w:val="00A33707"/>
    <w:rsid w:val="00A3393C"/>
    <w:rsid w:val="00A33E3B"/>
    <w:rsid w:val="00A33EB7"/>
    <w:rsid w:val="00A33ED3"/>
    <w:rsid w:val="00A33FF4"/>
    <w:rsid w:val="00A34096"/>
    <w:rsid w:val="00A3418E"/>
    <w:rsid w:val="00A348C7"/>
    <w:rsid w:val="00A35722"/>
    <w:rsid w:val="00A35758"/>
    <w:rsid w:val="00A357AE"/>
    <w:rsid w:val="00A35A93"/>
    <w:rsid w:val="00A35E3A"/>
    <w:rsid w:val="00A35EED"/>
    <w:rsid w:val="00A36499"/>
    <w:rsid w:val="00A36541"/>
    <w:rsid w:val="00A36B53"/>
    <w:rsid w:val="00A36CCE"/>
    <w:rsid w:val="00A36D8C"/>
    <w:rsid w:val="00A36D9A"/>
    <w:rsid w:val="00A36DBE"/>
    <w:rsid w:val="00A37045"/>
    <w:rsid w:val="00A377A8"/>
    <w:rsid w:val="00A37C2F"/>
    <w:rsid w:val="00A40456"/>
    <w:rsid w:val="00A40579"/>
    <w:rsid w:val="00A40602"/>
    <w:rsid w:val="00A40B24"/>
    <w:rsid w:val="00A41216"/>
    <w:rsid w:val="00A41525"/>
    <w:rsid w:val="00A41526"/>
    <w:rsid w:val="00A418BF"/>
    <w:rsid w:val="00A41A6A"/>
    <w:rsid w:val="00A42381"/>
    <w:rsid w:val="00A4240A"/>
    <w:rsid w:val="00A429F6"/>
    <w:rsid w:val="00A43A0E"/>
    <w:rsid w:val="00A43AE7"/>
    <w:rsid w:val="00A43E8C"/>
    <w:rsid w:val="00A4415E"/>
    <w:rsid w:val="00A4464D"/>
    <w:rsid w:val="00A44AC4"/>
    <w:rsid w:val="00A44B4C"/>
    <w:rsid w:val="00A44BAC"/>
    <w:rsid w:val="00A45686"/>
    <w:rsid w:val="00A4583E"/>
    <w:rsid w:val="00A4613E"/>
    <w:rsid w:val="00A46180"/>
    <w:rsid w:val="00A461BE"/>
    <w:rsid w:val="00A46510"/>
    <w:rsid w:val="00A4670E"/>
    <w:rsid w:val="00A47557"/>
    <w:rsid w:val="00A47DC2"/>
    <w:rsid w:val="00A50257"/>
    <w:rsid w:val="00A502A6"/>
    <w:rsid w:val="00A502FF"/>
    <w:rsid w:val="00A50751"/>
    <w:rsid w:val="00A508C1"/>
    <w:rsid w:val="00A50D09"/>
    <w:rsid w:val="00A50D4C"/>
    <w:rsid w:val="00A5171B"/>
    <w:rsid w:val="00A51C6D"/>
    <w:rsid w:val="00A51C97"/>
    <w:rsid w:val="00A51E6B"/>
    <w:rsid w:val="00A51FA8"/>
    <w:rsid w:val="00A520A2"/>
    <w:rsid w:val="00A520D6"/>
    <w:rsid w:val="00A52125"/>
    <w:rsid w:val="00A5217B"/>
    <w:rsid w:val="00A5285D"/>
    <w:rsid w:val="00A52A28"/>
    <w:rsid w:val="00A52C5A"/>
    <w:rsid w:val="00A52E5F"/>
    <w:rsid w:val="00A532C2"/>
    <w:rsid w:val="00A53624"/>
    <w:rsid w:val="00A53BDA"/>
    <w:rsid w:val="00A53EFA"/>
    <w:rsid w:val="00A5414B"/>
    <w:rsid w:val="00A54B7C"/>
    <w:rsid w:val="00A54DD2"/>
    <w:rsid w:val="00A556A0"/>
    <w:rsid w:val="00A55EC2"/>
    <w:rsid w:val="00A56057"/>
    <w:rsid w:val="00A56C01"/>
    <w:rsid w:val="00A57A5D"/>
    <w:rsid w:val="00A6006D"/>
    <w:rsid w:val="00A6024B"/>
    <w:rsid w:val="00A60533"/>
    <w:rsid w:val="00A60C1F"/>
    <w:rsid w:val="00A610F0"/>
    <w:rsid w:val="00A6122F"/>
    <w:rsid w:val="00A61629"/>
    <w:rsid w:val="00A6172F"/>
    <w:rsid w:val="00A61B4B"/>
    <w:rsid w:val="00A61B51"/>
    <w:rsid w:val="00A61BFE"/>
    <w:rsid w:val="00A61C5F"/>
    <w:rsid w:val="00A62AFB"/>
    <w:rsid w:val="00A62D0A"/>
    <w:rsid w:val="00A62DD5"/>
    <w:rsid w:val="00A62DE4"/>
    <w:rsid w:val="00A62EA3"/>
    <w:rsid w:val="00A62EF4"/>
    <w:rsid w:val="00A62EF8"/>
    <w:rsid w:val="00A630CF"/>
    <w:rsid w:val="00A63382"/>
    <w:rsid w:val="00A63655"/>
    <w:rsid w:val="00A6370C"/>
    <w:rsid w:val="00A6392E"/>
    <w:rsid w:val="00A639DD"/>
    <w:rsid w:val="00A64413"/>
    <w:rsid w:val="00A647C4"/>
    <w:rsid w:val="00A649D6"/>
    <w:rsid w:val="00A649E3"/>
    <w:rsid w:val="00A64A8F"/>
    <w:rsid w:val="00A64DC9"/>
    <w:rsid w:val="00A64F10"/>
    <w:rsid w:val="00A6514D"/>
    <w:rsid w:val="00A65D7D"/>
    <w:rsid w:val="00A66A29"/>
    <w:rsid w:val="00A67011"/>
    <w:rsid w:val="00A671A1"/>
    <w:rsid w:val="00A671F5"/>
    <w:rsid w:val="00A672F4"/>
    <w:rsid w:val="00A6735D"/>
    <w:rsid w:val="00A673BB"/>
    <w:rsid w:val="00A6768D"/>
    <w:rsid w:val="00A6768F"/>
    <w:rsid w:val="00A677D0"/>
    <w:rsid w:val="00A67A28"/>
    <w:rsid w:val="00A67D8D"/>
    <w:rsid w:val="00A67F4F"/>
    <w:rsid w:val="00A70346"/>
    <w:rsid w:val="00A705EB"/>
    <w:rsid w:val="00A70E9A"/>
    <w:rsid w:val="00A710E3"/>
    <w:rsid w:val="00A714E0"/>
    <w:rsid w:val="00A71850"/>
    <w:rsid w:val="00A72BFF"/>
    <w:rsid w:val="00A72CC4"/>
    <w:rsid w:val="00A72CD0"/>
    <w:rsid w:val="00A72DB5"/>
    <w:rsid w:val="00A731D8"/>
    <w:rsid w:val="00A732B1"/>
    <w:rsid w:val="00A7341E"/>
    <w:rsid w:val="00A7369D"/>
    <w:rsid w:val="00A737FC"/>
    <w:rsid w:val="00A73C5D"/>
    <w:rsid w:val="00A742AF"/>
    <w:rsid w:val="00A746A6"/>
    <w:rsid w:val="00A7476B"/>
    <w:rsid w:val="00A74B67"/>
    <w:rsid w:val="00A74ECD"/>
    <w:rsid w:val="00A74FBC"/>
    <w:rsid w:val="00A750F6"/>
    <w:rsid w:val="00A75306"/>
    <w:rsid w:val="00A75609"/>
    <w:rsid w:val="00A75642"/>
    <w:rsid w:val="00A75F38"/>
    <w:rsid w:val="00A7626D"/>
    <w:rsid w:val="00A762A1"/>
    <w:rsid w:val="00A763DC"/>
    <w:rsid w:val="00A7640B"/>
    <w:rsid w:val="00A7666B"/>
    <w:rsid w:val="00A76B4F"/>
    <w:rsid w:val="00A76D08"/>
    <w:rsid w:val="00A77253"/>
    <w:rsid w:val="00A77A80"/>
    <w:rsid w:val="00A77D95"/>
    <w:rsid w:val="00A77DC4"/>
    <w:rsid w:val="00A8006F"/>
    <w:rsid w:val="00A804A2"/>
    <w:rsid w:val="00A80A91"/>
    <w:rsid w:val="00A80CBF"/>
    <w:rsid w:val="00A80D26"/>
    <w:rsid w:val="00A80DD2"/>
    <w:rsid w:val="00A80FD1"/>
    <w:rsid w:val="00A8124A"/>
    <w:rsid w:val="00A8131D"/>
    <w:rsid w:val="00A81445"/>
    <w:rsid w:val="00A815ED"/>
    <w:rsid w:val="00A816CB"/>
    <w:rsid w:val="00A8172E"/>
    <w:rsid w:val="00A817BE"/>
    <w:rsid w:val="00A819BC"/>
    <w:rsid w:val="00A81A86"/>
    <w:rsid w:val="00A81B7E"/>
    <w:rsid w:val="00A81B81"/>
    <w:rsid w:val="00A81F8E"/>
    <w:rsid w:val="00A826A0"/>
    <w:rsid w:val="00A827BD"/>
    <w:rsid w:val="00A82957"/>
    <w:rsid w:val="00A82A14"/>
    <w:rsid w:val="00A82C6D"/>
    <w:rsid w:val="00A83359"/>
    <w:rsid w:val="00A83D09"/>
    <w:rsid w:val="00A84170"/>
    <w:rsid w:val="00A844EC"/>
    <w:rsid w:val="00A84888"/>
    <w:rsid w:val="00A84E31"/>
    <w:rsid w:val="00A84F84"/>
    <w:rsid w:val="00A855AD"/>
    <w:rsid w:val="00A8574C"/>
    <w:rsid w:val="00A85A3F"/>
    <w:rsid w:val="00A8676B"/>
    <w:rsid w:val="00A867E6"/>
    <w:rsid w:val="00A86FB3"/>
    <w:rsid w:val="00A86FDE"/>
    <w:rsid w:val="00A8742F"/>
    <w:rsid w:val="00A8775B"/>
    <w:rsid w:val="00A87BB5"/>
    <w:rsid w:val="00A87C79"/>
    <w:rsid w:val="00A90226"/>
    <w:rsid w:val="00A902FF"/>
    <w:rsid w:val="00A905A3"/>
    <w:rsid w:val="00A908D6"/>
    <w:rsid w:val="00A9094B"/>
    <w:rsid w:val="00A909E4"/>
    <w:rsid w:val="00A9127A"/>
    <w:rsid w:val="00A91533"/>
    <w:rsid w:val="00A91D1F"/>
    <w:rsid w:val="00A9214A"/>
    <w:rsid w:val="00A923F7"/>
    <w:rsid w:val="00A92B4A"/>
    <w:rsid w:val="00A9334F"/>
    <w:rsid w:val="00A934CE"/>
    <w:rsid w:val="00A93A45"/>
    <w:rsid w:val="00A93C45"/>
    <w:rsid w:val="00A943AC"/>
    <w:rsid w:val="00A94D41"/>
    <w:rsid w:val="00A951E2"/>
    <w:rsid w:val="00A9550B"/>
    <w:rsid w:val="00A95764"/>
    <w:rsid w:val="00A962B0"/>
    <w:rsid w:val="00A96368"/>
    <w:rsid w:val="00A96577"/>
    <w:rsid w:val="00A96681"/>
    <w:rsid w:val="00A966C7"/>
    <w:rsid w:val="00A969F4"/>
    <w:rsid w:val="00A971D1"/>
    <w:rsid w:val="00A97479"/>
    <w:rsid w:val="00A9784C"/>
    <w:rsid w:val="00A97862"/>
    <w:rsid w:val="00AA0641"/>
    <w:rsid w:val="00AA0766"/>
    <w:rsid w:val="00AA08B2"/>
    <w:rsid w:val="00AA08E6"/>
    <w:rsid w:val="00AA0BB6"/>
    <w:rsid w:val="00AA11B3"/>
    <w:rsid w:val="00AA1587"/>
    <w:rsid w:val="00AA15A9"/>
    <w:rsid w:val="00AA1829"/>
    <w:rsid w:val="00AA1A4A"/>
    <w:rsid w:val="00AA1E5F"/>
    <w:rsid w:val="00AA21D2"/>
    <w:rsid w:val="00AA2A82"/>
    <w:rsid w:val="00AA2FFC"/>
    <w:rsid w:val="00AA3439"/>
    <w:rsid w:val="00AA36F2"/>
    <w:rsid w:val="00AA3957"/>
    <w:rsid w:val="00AA465A"/>
    <w:rsid w:val="00AA473E"/>
    <w:rsid w:val="00AA510F"/>
    <w:rsid w:val="00AA5271"/>
    <w:rsid w:val="00AA53C1"/>
    <w:rsid w:val="00AA5460"/>
    <w:rsid w:val="00AA5B3E"/>
    <w:rsid w:val="00AA5F9F"/>
    <w:rsid w:val="00AA6706"/>
    <w:rsid w:val="00AA70AE"/>
    <w:rsid w:val="00AA727D"/>
    <w:rsid w:val="00AA7481"/>
    <w:rsid w:val="00AA754D"/>
    <w:rsid w:val="00AA77F0"/>
    <w:rsid w:val="00AA7851"/>
    <w:rsid w:val="00AA7B85"/>
    <w:rsid w:val="00AA7E52"/>
    <w:rsid w:val="00AB05DE"/>
    <w:rsid w:val="00AB05DF"/>
    <w:rsid w:val="00AB0FB9"/>
    <w:rsid w:val="00AB137A"/>
    <w:rsid w:val="00AB1EBF"/>
    <w:rsid w:val="00AB1F85"/>
    <w:rsid w:val="00AB1FC3"/>
    <w:rsid w:val="00AB2354"/>
    <w:rsid w:val="00AB26FA"/>
    <w:rsid w:val="00AB29FF"/>
    <w:rsid w:val="00AB2E9D"/>
    <w:rsid w:val="00AB2FAB"/>
    <w:rsid w:val="00AB329B"/>
    <w:rsid w:val="00AB3A64"/>
    <w:rsid w:val="00AB3B68"/>
    <w:rsid w:val="00AB3CF2"/>
    <w:rsid w:val="00AB3DF4"/>
    <w:rsid w:val="00AB477B"/>
    <w:rsid w:val="00AB4925"/>
    <w:rsid w:val="00AB4973"/>
    <w:rsid w:val="00AB4C80"/>
    <w:rsid w:val="00AB4ECB"/>
    <w:rsid w:val="00AB50FB"/>
    <w:rsid w:val="00AB57BC"/>
    <w:rsid w:val="00AB5F83"/>
    <w:rsid w:val="00AB5F9B"/>
    <w:rsid w:val="00AB612A"/>
    <w:rsid w:val="00AB6877"/>
    <w:rsid w:val="00AB69DA"/>
    <w:rsid w:val="00AB7299"/>
    <w:rsid w:val="00AB7D41"/>
    <w:rsid w:val="00AB7D8F"/>
    <w:rsid w:val="00AB7F37"/>
    <w:rsid w:val="00AC0566"/>
    <w:rsid w:val="00AC0993"/>
    <w:rsid w:val="00AC0E33"/>
    <w:rsid w:val="00AC1783"/>
    <w:rsid w:val="00AC17EE"/>
    <w:rsid w:val="00AC1AA6"/>
    <w:rsid w:val="00AC210E"/>
    <w:rsid w:val="00AC22D8"/>
    <w:rsid w:val="00AC2842"/>
    <w:rsid w:val="00AC2984"/>
    <w:rsid w:val="00AC29FD"/>
    <w:rsid w:val="00AC2AF4"/>
    <w:rsid w:val="00AC2CC8"/>
    <w:rsid w:val="00AC4017"/>
    <w:rsid w:val="00AC4990"/>
    <w:rsid w:val="00AC4F95"/>
    <w:rsid w:val="00AC5062"/>
    <w:rsid w:val="00AC52B3"/>
    <w:rsid w:val="00AC52C1"/>
    <w:rsid w:val="00AC57F9"/>
    <w:rsid w:val="00AC5865"/>
    <w:rsid w:val="00AC5985"/>
    <w:rsid w:val="00AC5F17"/>
    <w:rsid w:val="00AC6513"/>
    <w:rsid w:val="00AC657A"/>
    <w:rsid w:val="00AC666A"/>
    <w:rsid w:val="00AC6AB8"/>
    <w:rsid w:val="00AC7025"/>
    <w:rsid w:val="00AC70AE"/>
    <w:rsid w:val="00AC7D55"/>
    <w:rsid w:val="00AD02BD"/>
    <w:rsid w:val="00AD0591"/>
    <w:rsid w:val="00AD05A6"/>
    <w:rsid w:val="00AD0B50"/>
    <w:rsid w:val="00AD132B"/>
    <w:rsid w:val="00AD15BE"/>
    <w:rsid w:val="00AD1A8E"/>
    <w:rsid w:val="00AD1BC7"/>
    <w:rsid w:val="00AD2520"/>
    <w:rsid w:val="00AD2554"/>
    <w:rsid w:val="00AD267B"/>
    <w:rsid w:val="00AD36EC"/>
    <w:rsid w:val="00AD3941"/>
    <w:rsid w:val="00AD3BD5"/>
    <w:rsid w:val="00AD3F06"/>
    <w:rsid w:val="00AD42CF"/>
    <w:rsid w:val="00AD4485"/>
    <w:rsid w:val="00AD4783"/>
    <w:rsid w:val="00AD4EF1"/>
    <w:rsid w:val="00AD51EB"/>
    <w:rsid w:val="00AD5324"/>
    <w:rsid w:val="00AD5B8B"/>
    <w:rsid w:val="00AD5BD3"/>
    <w:rsid w:val="00AD5DD7"/>
    <w:rsid w:val="00AD5E1C"/>
    <w:rsid w:val="00AD5E2B"/>
    <w:rsid w:val="00AD5F37"/>
    <w:rsid w:val="00AD5F9A"/>
    <w:rsid w:val="00AD6155"/>
    <w:rsid w:val="00AD63CE"/>
    <w:rsid w:val="00AD666B"/>
    <w:rsid w:val="00AD6AF9"/>
    <w:rsid w:val="00AD6E47"/>
    <w:rsid w:val="00AD746F"/>
    <w:rsid w:val="00AD7530"/>
    <w:rsid w:val="00AD77C1"/>
    <w:rsid w:val="00AD7C2F"/>
    <w:rsid w:val="00AD7DEE"/>
    <w:rsid w:val="00AD7F2F"/>
    <w:rsid w:val="00ADCC29"/>
    <w:rsid w:val="00AE003A"/>
    <w:rsid w:val="00AE0144"/>
    <w:rsid w:val="00AE02AC"/>
    <w:rsid w:val="00AE031C"/>
    <w:rsid w:val="00AE03AE"/>
    <w:rsid w:val="00AE055D"/>
    <w:rsid w:val="00AE0ED3"/>
    <w:rsid w:val="00AE0FE8"/>
    <w:rsid w:val="00AE10CB"/>
    <w:rsid w:val="00AE1A1B"/>
    <w:rsid w:val="00AE1A96"/>
    <w:rsid w:val="00AE1C1E"/>
    <w:rsid w:val="00AE20CB"/>
    <w:rsid w:val="00AE21DE"/>
    <w:rsid w:val="00AE22FF"/>
    <w:rsid w:val="00AE2479"/>
    <w:rsid w:val="00AE249A"/>
    <w:rsid w:val="00AE279B"/>
    <w:rsid w:val="00AE28EE"/>
    <w:rsid w:val="00AE2991"/>
    <w:rsid w:val="00AE2CAF"/>
    <w:rsid w:val="00AE2EC4"/>
    <w:rsid w:val="00AE30D5"/>
    <w:rsid w:val="00AE345A"/>
    <w:rsid w:val="00AE35C6"/>
    <w:rsid w:val="00AE398D"/>
    <w:rsid w:val="00AE399B"/>
    <w:rsid w:val="00AE3FC5"/>
    <w:rsid w:val="00AE3FCE"/>
    <w:rsid w:val="00AE4113"/>
    <w:rsid w:val="00AE48F2"/>
    <w:rsid w:val="00AE4A78"/>
    <w:rsid w:val="00AE4B4D"/>
    <w:rsid w:val="00AE4EFC"/>
    <w:rsid w:val="00AE6086"/>
    <w:rsid w:val="00AE6240"/>
    <w:rsid w:val="00AE63C0"/>
    <w:rsid w:val="00AE6A25"/>
    <w:rsid w:val="00AE763F"/>
    <w:rsid w:val="00AE76F0"/>
    <w:rsid w:val="00AE7B6B"/>
    <w:rsid w:val="00AF0461"/>
    <w:rsid w:val="00AF0D82"/>
    <w:rsid w:val="00AF0FAB"/>
    <w:rsid w:val="00AF1191"/>
    <w:rsid w:val="00AF18C6"/>
    <w:rsid w:val="00AF196E"/>
    <w:rsid w:val="00AF1B82"/>
    <w:rsid w:val="00AF1BFA"/>
    <w:rsid w:val="00AF1E7C"/>
    <w:rsid w:val="00AF2001"/>
    <w:rsid w:val="00AF22F4"/>
    <w:rsid w:val="00AF23F7"/>
    <w:rsid w:val="00AF2475"/>
    <w:rsid w:val="00AF2642"/>
    <w:rsid w:val="00AF28F8"/>
    <w:rsid w:val="00AF2C39"/>
    <w:rsid w:val="00AF33BE"/>
    <w:rsid w:val="00AF37CE"/>
    <w:rsid w:val="00AF385D"/>
    <w:rsid w:val="00AF3860"/>
    <w:rsid w:val="00AF3D1B"/>
    <w:rsid w:val="00AF42B8"/>
    <w:rsid w:val="00AF49BD"/>
    <w:rsid w:val="00AF4CB3"/>
    <w:rsid w:val="00AF517E"/>
    <w:rsid w:val="00AF5392"/>
    <w:rsid w:val="00AF576F"/>
    <w:rsid w:val="00AF6307"/>
    <w:rsid w:val="00AF6655"/>
    <w:rsid w:val="00AF6ACD"/>
    <w:rsid w:val="00AF6B1B"/>
    <w:rsid w:val="00AF6DF1"/>
    <w:rsid w:val="00AF701C"/>
    <w:rsid w:val="00AF7343"/>
    <w:rsid w:val="00AF771C"/>
    <w:rsid w:val="00AF7790"/>
    <w:rsid w:val="00AF7932"/>
    <w:rsid w:val="00AF7A7C"/>
    <w:rsid w:val="00AF7B82"/>
    <w:rsid w:val="00AF7E61"/>
    <w:rsid w:val="00AF7F09"/>
    <w:rsid w:val="00B00398"/>
    <w:rsid w:val="00B006B9"/>
    <w:rsid w:val="00B00B2F"/>
    <w:rsid w:val="00B0112D"/>
    <w:rsid w:val="00B013BF"/>
    <w:rsid w:val="00B0146A"/>
    <w:rsid w:val="00B0152C"/>
    <w:rsid w:val="00B0258F"/>
    <w:rsid w:val="00B03320"/>
    <w:rsid w:val="00B03340"/>
    <w:rsid w:val="00B03669"/>
    <w:rsid w:val="00B036A1"/>
    <w:rsid w:val="00B037E9"/>
    <w:rsid w:val="00B03D22"/>
    <w:rsid w:val="00B04469"/>
    <w:rsid w:val="00B045E3"/>
    <w:rsid w:val="00B046BE"/>
    <w:rsid w:val="00B04B4F"/>
    <w:rsid w:val="00B04E0A"/>
    <w:rsid w:val="00B0597C"/>
    <w:rsid w:val="00B05C07"/>
    <w:rsid w:val="00B0624C"/>
    <w:rsid w:val="00B0645B"/>
    <w:rsid w:val="00B0656C"/>
    <w:rsid w:val="00B0656D"/>
    <w:rsid w:val="00B06E27"/>
    <w:rsid w:val="00B070FD"/>
    <w:rsid w:val="00B07297"/>
    <w:rsid w:val="00B072A5"/>
    <w:rsid w:val="00B07591"/>
    <w:rsid w:val="00B07A92"/>
    <w:rsid w:val="00B10014"/>
    <w:rsid w:val="00B10285"/>
    <w:rsid w:val="00B102E8"/>
    <w:rsid w:val="00B105F7"/>
    <w:rsid w:val="00B107FA"/>
    <w:rsid w:val="00B10866"/>
    <w:rsid w:val="00B112B2"/>
    <w:rsid w:val="00B12189"/>
    <w:rsid w:val="00B12275"/>
    <w:rsid w:val="00B128DA"/>
    <w:rsid w:val="00B129AE"/>
    <w:rsid w:val="00B12C2B"/>
    <w:rsid w:val="00B12DCD"/>
    <w:rsid w:val="00B131B6"/>
    <w:rsid w:val="00B13F69"/>
    <w:rsid w:val="00B142CE"/>
    <w:rsid w:val="00B1439E"/>
    <w:rsid w:val="00B1460C"/>
    <w:rsid w:val="00B14CCC"/>
    <w:rsid w:val="00B1503D"/>
    <w:rsid w:val="00B154DB"/>
    <w:rsid w:val="00B15534"/>
    <w:rsid w:val="00B158EE"/>
    <w:rsid w:val="00B15B97"/>
    <w:rsid w:val="00B15FBE"/>
    <w:rsid w:val="00B165B2"/>
    <w:rsid w:val="00B168E2"/>
    <w:rsid w:val="00B16BDE"/>
    <w:rsid w:val="00B170AC"/>
    <w:rsid w:val="00B17451"/>
    <w:rsid w:val="00B20133"/>
    <w:rsid w:val="00B20686"/>
    <w:rsid w:val="00B20DF2"/>
    <w:rsid w:val="00B210DD"/>
    <w:rsid w:val="00B21DE9"/>
    <w:rsid w:val="00B2236D"/>
    <w:rsid w:val="00B22449"/>
    <w:rsid w:val="00B224CA"/>
    <w:rsid w:val="00B2268A"/>
    <w:rsid w:val="00B22E2D"/>
    <w:rsid w:val="00B230B1"/>
    <w:rsid w:val="00B23727"/>
    <w:rsid w:val="00B237DE"/>
    <w:rsid w:val="00B23F1E"/>
    <w:rsid w:val="00B2436A"/>
    <w:rsid w:val="00B24483"/>
    <w:rsid w:val="00B24A19"/>
    <w:rsid w:val="00B24D7E"/>
    <w:rsid w:val="00B250EE"/>
    <w:rsid w:val="00B2532B"/>
    <w:rsid w:val="00B25681"/>
    <w:rsid w:val="00B258C7"/>
    <w:rsid w:val="00B25B48"/>
    <w:rsid w:val="00B25E7A"/>
    <w:rsid w:val="00B25FF2"/>
    <w:rsid w:val="00B267D6"/>
    <w:rsid w:val="00B26847"/>
    <w:rsid w:val="00B2743E"/>
    <w:rsid w:val="00B27448"/>
    <w:rsid w:val="00B27456"/>
    <w:rsid w:val="00B27AD2"/>
    <w:rsid w:val="00B27D47"/>
    <w:rsid w:val="00B27E2F"/>
    <w:rsid w:val="00B30194"/>
    <w:rsid w:val="00B30401"/>
    <w:rsid w:val="00B3058D"/>
    <w:rsid w:val="00B3064A"/>
    <w:rsid w:val="00B30B14"/>
    <w:rsid w:val="00B30D5A"/>
    <w:rsid w:val="00B30E0C"/>
    <w:rsid w:val="00B30EFC"/>
    <w:rsid w:val="00B30F6B"/>
    <w:rsid w:val="00B3125B"/>
    <w:rsid w:val="00B3144C"/>
    <w:rsid w:val="00B31A65"/>
    <w:rsid w:val="00B31CC8"/>
    <w:rsid w:val="00B3200A"/>
    <w:rsid w:val="00B32010"/>
    <w:rsid w:val="00B32784"/>
    <w:rsid w:val="00B328F9"/>
    <w:rsid w:val="00B32A43"/>
    <w:rsid w:val="00B32D8C"/>
    <w:rsid w:val="00B33059"/>
    <w:rsid w:val="00B336E6"/>
    <w:rsid w:val="00B33840"/>
    <w:rsid w:val="00B3385E"/>
    <w:rsid w:val="00B33B26"/>
    <w:rsid w:val="00B33D7D"/>
    <w:rsid w:val="00B33EE9"/>
    <w:rsid w:val="00B33FDA"/>
    <w:rsid w:val="00B34043"/>
    <w:rsid w:val="00B343B2"/>
    <w:rsid w:val="00B3470C"/>
    <w:rsid w:val="00B34835"/>
    <w:rsid w:val="00B3485F"/>
    <w:rsid w:val="00B34CD5"/>
    <w:rsid w:val="00B34DFE"/>
    <w:rsid w:val="00B34F42"/>
    <w:rsid w:val="00B3522D"/>
    <w:rsid w:val="00B35703"/>
    <w:rsid w:val="00B35904"/>
    <w:rsid w:val="00B35954"/>
    <w:rsid w:val="00B35D7D"/>
    <w:rsid w:val="00B36CCB"/>
    <w:rsid w:val="00B3703F"/>
    <w:rsid w:val="00B370B8"/>
    <w:rsid w:val="00B376DE"/>
    <w:rsid w:val="00B37A44"/>
    <w:rsid w:val="00B37BF2"/>
    <w:rsid w:val="00B4002A"/>
    <w:rsid w:val="00B40050"/>
    <w:rsid w:val="00B401DA"/>
    <w:rsid w:val="00B405B3"/>
    <w:rsid w:val="00B40901"/>
    <w:rsid w:val="00B40BE2"/>
    <w:rsid w:val="00B40DC3"/>
    <w:rsid w:val="00B40EC0"/>
    <w:rsid w:val="00B4113B"/>
    <w:rsid w:val="00B412C7"/>
    <w:rsid w:val="00B4164C"/>
    <w:rsid w:val="00B41B4A"/>
    <w:rsid w:val="00B41CED"/>
    <w:rsid w:val="00B42388"/>
    <w:rsid w:val="00B42429"/>
    <w:rsid w:val="00B42809"/>
    <w:rsid w:val="00B4299A"/>
    <w:rsid w:val="00B42B0A"/>
    <w:rsid w:val="00B42B13"/>
    <w:rsid w:val="00B42BE4"/>
    <w:rsid w:val="00B42C7E"/>
    <w:rsid w:val="00B43AC4"/>
    <w:rsid w:val="00B43CB1"/>
    <w:rsid w:val="00B43DCE"/>
    <w:rsid w:val="00B4410F"/>
    <w:rsid w:val="00B44159"/>
    <w:rsid w:val="00B4467C"/>
    <w:rsid w:val="00B448BF"/>
    <w:rsid w:val="00B44945"/>
    <w:rsid w:val="00B44A55"/>
    <w:rsid w:val="00B44CE0"/>
    <w:rsid w:val="00B45128"/>
    <w:rsid w:val="00B4554A"/>
    <w:rsid w:val="00B45780"/>
    <w:rsid w:val="00B45CF4"/>
    <w:rsid w:val="00B45EF2"/>
    <w:rsid w:val="00B46BAE"/>
    <w:rsid w:val="00B46F8A"/>
    <w:rsid w:val="00B470F7"/>
    <w:rsid w:val="00B475CE"/>
    <w:rsid w:val="00B4784C"/>
    <w:rsid w:val="00B47F49"/>
    <w:rsid w:val="00B5024D"/>
    <w:rsid w:val="00B5060E"/>
    <w:rsid w:val="00B50811"/>
    <w:rsid w:val="00B50964"/>
    <w:rsid w:val="00B51005"/>
    <w:rsid w:val="00B5112C"/>
    <w:rsid w:val="00B516B5"/>
    <w:rsid w:val="00B519BA"/>
    <w:rsid w:val="00B51B08"/>
    <w:rsid w:val="00B51E3D"/>
    <w:rsid w:val="00B51F78"/>
    <w:rsid w:val="00B51FA6"/>
    <w:rsid w:val="00B52078"/>
    <w:rsid w:val="00B527C2"/>
    <w:rsid w:val="00B52D76"/>
    <w:rsid w:val="00B530DA"/>
    <w:rsid w:val="00B5346B"/>
    <w:rsid w:val="00B534E2"/>
    <w:rsid w:val="00B536D3"/>
    <w:rsid w:val="00B53762"/>
    <w:rsid w:val="00B5378F"/>
    <w:rsid w:val="00B53BF3"/>
    <w:rsid w:val="00B53EAA"/>
    <w:rsid w:val="00B53F5B"/>
    <w:rsid w:val="00B5418D"/>
    <w:rsid w:val="00B54379"/>
    <w:rsid w:val="00B5439C"/>
    <w:rsid w:val="00B54792"/>
    <w:rsid w:val="00B5498F"/>
    <w:rsid w:val="00B54D2C"/>
    <w:rsid w:val="00B54D38"/>
    <w:rsid w:val="00B54F86"/>
    <w:rsid w:val="00B55500"/>
    <w:rsid w:val="00B55903"/>
    <w:rsid w:val="00B5661A"/>
    <w:rsid w:val="00B5698B"/>
    <w:rsid w:val="00B56AD6"/>
    <w:rsid w:val="00B56EDA"/>
    <w:rsid w:val="00B574AD"/>
    <w:rsid w:val="00B57701"/>
    <w:rsid w:val="00B5782F"/>
    <w:rsid w:val="00B579F4"/>
    <w:rsid w:val="00B57BC5"/>
    <w:rsid w:val="00B57C8F"/>
    <w:rsid w:val="00B57C92"/>
    <w:rsid w:val="00B57CEE"/>
    <w:rsid w:val="00B60590"/>
    <w:rsid w:val="00B616DB"/>
    <w:rsid w:val="00B61A0F"/>
    <w:rsid w:val="00B61D92"/>
    <w:rsid w:val="00B61E79"/>
    <w:rsid w:val="00B61F91"/>
    <w:rsid w:val="00B62462"/>
    <w:rsid w:val="00B62A9D"/>
    <w:rsid w:val="00B62CB0"/>
    <w:rsid w:val="00B62ED2"/>
    <w:rsid w:val="00B630FC"/>
    <w:rsid w:val="00B638AC"/>
    <w:rsid w:val="00B63DA1"/>
    <w:rsid w:val="00B64093"/>
    <w:rsid w:val="00B640BB"/>
    <w:rsid w:val="00B6415B"/>
    <w:rsid w:val="00B64187"/>
    <w:rsid w:val="00B6418D"/>
    <w:rsid w:val="00B642C3"/>
    <w:rsid w:val="00B643A7"/>
    <w:rsid w:val="00B64416"/>
    <w:rsid w:val="00B64429"/>
    <w:rsid w:val="00B64772"/>
    <w:rsid w:val="00B64C33"/>
    <w:rsid w:val="00B64D8B"/>
    <w:rsid w:val="00B65158"/>
    <w:rsid w:val="00B65215"/>
    <w:rsid w:val="00B6541C"/>
    <w:rsid w:val="00B65977"/>
    <w:rsid w:val="00B668C1"/>
    <w:rsid w:val="00B67380"/>
    <w:rsid w:val="00B673FD"/>
    <w:rsid w:val="00B67672"/>
    <w:rsid w:val="00B67E57"/>
    <w:rsid w:val="00B67F65"/>
    <w:rsid w:val="00B70016"/>
    <w:rsid w:val="00B70B90"/>
    <w:rsid w:val="00B70FFD"/>
    <w:rsid w:val="00B71417"/>
    <w:rsid w:val="00B71733"/>
    <w:rsid w:val="00B719F3"/>
    <w:rsid w:val="00B726F2"/>
    <w:rsid w:val="00B728F6"/>
    <w:rsid w:val="00B72CF8"/>
    <w:rsid w:val="00B73407"/>
    <w:rsid w:val="00B744DA"/>
    <w:rsid w:val="00B7486D"/>
    <w:rsid w:val="00B74B79"/>
    <w:rsid w:val="00B753F0"/>
    <w:rsid w:val="00B75694"/>
    <w:rsid w:val="00B75697"/>
    <w:rsid w:val="00B759C9"/>
    <w:rsid w:val="00B75A0A"/>
    <w:rsid w:val="00B75E38"/>
    <w:rsid w:val="00B76284"/>
    <w:rsid w:val="00B764D9"/>
    <w:rsid w:val="00B76793"/>
    <w:rsid w:val="00B76CD4"/>
    <w:rsid w:val="00B76D32"/>
    <w:rsid w:val="00B77369"/>
    <w:rsid w:val="00B77727"/>
    <w:rsid w:val="00B77947"/>
    <w:rsid w:val="00B77A4E"/>
    <w:rsid w:val="00B77DAD"/>
    <w:rsid w:val="00B80031"/>
    <w:rsid w:val="00B8058F"/>
    <w:rsid w:val="00B80C75"/>
    <w:rsid w:val="00B80D1A"/>
    <w:rsid w:val="00B80E6D"/>
    <w:rsid w:val="00B80E8A"/>
    <w:rsid w:val="00B80EBF"/>
    <w:rsid w:val="00B814C5"/>
    <w:rsid w:val="00B8153E"/>
    <w:rsid w:val="00B815B8"/>
    <w:rsid w:val="00B81BDA"/>
    <w:rsid w:val="00B821D3"/>
    <w:rsid w:val="00B82402"/>
    <w:rsid w:val="00B82A88"/>
    <w:rsid w:val="00B82F0E"/>
    <w:rsid w:val="00B83056"/>
    <w:rsid w:val="00B83312"/>
    <w:rsid w:val="00B8338C"/>
    <w:rsid w:val="00B83563"/>
    <w:rsid w:val="00B83769"/>
    <w:rsid w:val="00B83911"/>
    <w:rsid w:val="00B83C51"/>
    <w:rsid w:val="00B83FE8"/>
    <w:rsid w:val="00B840CF"/>
    <w:rsid w:val="00B842C8"/>
    <w:rsid w:val="00B8435A"/>
    <w:rsid w:val="00B848AF"/>
    <w:rsid w:val="00B84C85"/>
    <w:rsid w:val="00B84F90"/>
    <w:rsid w:val="00B85008"/>
    <w:rsid w:val="00B85801"/>
    <w:rsid w:val="00B85D82"/>
    <w:rsid w:val="00B85ED5"/>
    <w:rsid w:val="00B8612A"/>
    <w:rsid w:val="00B86460"/>
    <w:rsid w:val="00B86795"/>
    <w:rsid w:val="00B870EF"/>
    <w:rsid w:val="00B87306"/>
    <w:rsid w:val="00B87383"/>
    <w:rsid w:val="00B873BA"/>
    <w:rsid w:val="00B875C1"/>
    <w:rsid w:val="00B87728"/>
    <w:rsid w:val="00B878AF"/>
    <w:rsid w:val="00B87964"/>
    <w:rsid w:val="00B87AEA"/>
    <w:rsid w:val="00B904DD"/>
    <w:rsid w:val="00B9059B"/>
    <w:rsid w:val="00B90BED"/>
    <w:rsid w:val="00B90CD1"/>
    <w:rsid w:val="00B90FE4"/>
    <w:rsid w:val="00B91344"/>
    <w:rsid w:val="00B914F7"/>
    <w:rsid w:val="00B91D08"/>
    <w:rsid w:val="00B91F3D"/>
    <w:rsid w:val="00B91F6D"/>
    <w:rsid w:val="00B91FCA"/>
    <w:rsid w:val="00B920E4"/>
    <w:rsid w:val="00B9216D"/>
    <w:rsid w:val="00B92374"/>
    <w:rsid w:val="00B924C4"/>
    <w:rsid w:val="00B92542"/>
    <w:rsid w:val="00B92BD9"/>
    <w:rsid w:val="00B92DBA"/>
    <w:rsid w:val="00B92EE8"/>
    <w:rsid w:val="00B93283"/>
    <w:rsid w:val="00B934AF"/>
    <w:rsid w:val="00B9378A"/>
    <w:rsid w:val="00B939B9"/>
    <w:rsid w:val="00B93FBD"/>
    <w:rsid w:val="00B94C65"/>
    <w:rsid w:val="00B94E37"/>
    <w:rsid w:val="00B95305"/>
    <w:rsid w:val="00B95340"/>
    <w:rsid w:val="00B953D2"/>
    <w:rsid w:val="00B9540F"/>
    <w:rsid w:val="00B95543"/>
    <w:rsid w:val="00B9593A"/>
    <w:rsid w:val="00B95A18"/>
    <w:rsid w:val="00B95D25"/>
    <w:rsid w:val="00B95E32"/>
    <w:rsid w:val="00B9619A"/>
    <w:rsid w:val="00B96237"/>
    <w:rsid w:val="00B968DD"/>
    <w:rsid w:val="00B96E2C"/>
    <w:rsid w:val="00B970B2"/>
    <w:rsid w:val="00B97172"/>
    <w:rsid w:val="00B97B2F"/>
    <w:rsid w:val="00B97F81"/>
    <w:rsid w:val="00B97F8C"/>
    <w:rsid w:val="00B97FEE"/>
    <w:rsid w:val="00BA0079"/>
    <w:rsid w:val="00BA040A"/>
    <w:rsid w:val="00BA05A9"/>
    <w:rsid w:val="00BA0986"/>
    <w:rsid w:val="00BA12D8"/>
    <w:rsid w:val="00BA1350"/>
    <w:rsid w:val="00BA13A6"/>
    <w:rsid w:val="00BA1402"/>
    <w:rsid w:val="00BA1495"/>
    <w:rsid w:val="00BA15AA"/>
    <w:rsid w:val="00BA1D95"/>
    <w:rsid w:val="00BA2025"/>
    <w:rsid w:val="00BA2336"/>
    <w:rsid w:val="00BA2C7F"/>
    <w:rsid w:val="00BA2F11"/>
    <w:rsid w:val="00BA35AF"/>
    <w:rsid w:val="00BA36BA"/>
    <w:rsid w:val="00BA37FB"/>
    <w:rsid w:val="00BA3BBF"/>
    <w:rsid w:val="00BA3F4F"/>
    <w:rsid w:val="00BA434A"/>
    <w:rsid w:val="00BA440C"/>
    <w:rsid w:val="00BA44B4"/>
    <w:rsid w:val="00BA4645"/>
    <w:rsid w:val="00BA4992"/>
    <w:rsid w:val="00BA4DF5"/>
    <w:rsid w:val="00BA5991"/>
    <w:rsid w:val="00BA5A1B"/>
    <w:rsid w:val="00BA5E79"/>
    <w:rsid w:val="00BA5F78"/>
    <w:rsid w:val="00BA6028"/>
    <w:rsid w:val="00BA691F"/>
    <w:rsid w:val="00BA6A04"/>
    <w:rsid w:val="00BA71A1"/>
    <w:rsid w:val="00BA75B8"/>
    <w:rsid w:val="00BB044C"/>
    <w:rsid w:val="00BB0A32"/>
    <w:rsid w:val="00BB0AE5"/>
    <w:rsid w:val="00BB0B91"/>
    <w:rsid w:val="00BB0D79"/>
    <w:rsid w:val="00BB11EC"/>
    <w:rsid w:val="00BB1362"/>
    <w:rsid w:val="00BB1620"/>
    <w:rsid w:val="00BB1694"/>
    <w:rsid w:val="00BB17BB"/>
    <w:rsid w:val="00BB1953"/>
    <w:rsid w:val="00BB204E"/>
    <w:rsid w:val="00BB20EE"/>
    <w:rsid w:val="00BB271E"/>
    <w:rsid w:val="00BB2B5E"/>
    <w:rsid w:val="00BB2C67"/>
    <w:rsid w:val="00BB3552"/>
    <w:rsid w:val="00BB3A74"/>
    <w:rsid w:val="00BB3A9A"/>
    <w:rsid w:val="00BB3F85"/>
    <w:rsid w:val="00BB4273"/>
    <w:rsid w:val="00BB4344"/>
    <w:rsid w:val="00BB447F"/>
    <w:rsid w:val="00BB4879"/>
    <w:rsid w:val="00BB4988"/>
    <w:rsid w:val="00BB4B6A"/>
    <w:rsid w:val="00BB4B8D"/>
    <w:rsid w:val="00BB5252"/>
    <w:rsid w:val="00BB5A1F"/>
    <w:rsid w:val="00BB5ACA"/>
    <w:rsid w:val="00BB5D38"/>
    <w:rsid w:val="00BB5D5F"/>
    <w:rsid w:val="00BB5D71"/>
    <w:rsid w:val="00BB5DBA"/>
    <w:rsid w:val="00BB6571"/>
    <w:rsid w:val="00BB68DC"/>
    <w:rsid w:val="00BB691E"/>
    <w:rsid w:val="00BB6F24"/>
    <w:rsid w:val="00BB7374"/>
    <w:rsid w:val="00BB7522"/>
    <w:rsid w:val="00BB779E"/>
    <w:rsid w:val="00BB7E01"/>
    <w:rsid w:val="00BB7F20"/>
    <w:rsid w:val="00BB7F3A"/>
    <w:rsid w:val="00BC0843"/>
    <w:rsid w:val="00BC0BB6"/>
    <w:rsid w:val="00BC0CB5"/>
    <w:rsid w:val="00BC0F15"/>
    <w:rsid w:val="00BC1155"/>
    <w:rsid w:val="00BC1359"/>
    <w:rsid w:val="00BC1362"/>
    <w:rsid w:val="00BC16ED"/>
    <w:rsid w:val="00BC1934"/>
    <w:rsid w:val="00BC19BC"/>
    <w:rsid w:val="00BC1DE3"/>
    <w:rsid w:val="00BC22CF"/>
    <w:rsid w:val="00BC2741"/>
    <w:rsid w:val="00BC2B7E"/>
    <w:rsid w:val="00BC2DDB"/>
    <w:rsid w:val="00BC32FB"/>
    <w:rsid w:val="00BC378E"/>
    <w:rsid w:val="00BC38A2"/>
    <w:rsid w:val="00BC3A14"/>
    <w:rsid w:val="00BC3B0A"/>
    <w:rsid w:val="00BC3B63"/>
    <w:rsid w:val="00BC40C5"/>
    <w:rsid w:val="00BC441B"/>
    <w:rsid w:val="00BC4955"/>
    <w:rsid w:val="00BC4E82"/>
    <w:rsid w:val="00BC4FDD"/>
    <w:rsid w:val="00BC52EA"/>
    <w:rsid w:val="00BC533A"/>
    <w:rsid w:val="00BC571C"/>
    <w:rsid w:val="00BC5AB5"/>
    <w:rsid w:val="00BC5F80"/>
    <w:rsid w:val="00BC680E"/>
    <w:rsid w:val="00BC6945"/>
    <w:rsid w:val="00BC72F4"/>
    <w:rsid w:val="00BC740D"/>
    <w:rsid w:val="00BC7492"/>
    <w:rsid w:val="00BC76C1"/>
    <w:rsid w:val="00BC7765"/>
    <w:rsid w:val="00BC7915"/>
    <w:rsid w:val="00BC7EE5"/>
    <w:rsid w:val="00BD0095"/>
    <w:rsid w:val="00BD0217"/>
    <w:rsid w:val="00BD053F"/>
    <w:rsid w:val="00BD095D"/>
    <w:rsid w:val="00BD0A85"/>
    <w:rsid w:val="00BD0C19"/>
    <w:rsid w:val="00BD1321"/>
    <w:rsid w:val="00BD1743"/>
    <w:rsid w:val="00BD1B98"/>
    <w:rsid w:val="00BD1DAF"/>
    <w:rsid w:val="00BD1EBD"/>
    <w:rsid w:val="00BD226E"/>
    <w:rsid w:val="00BD285F"/>
    <w:rsid w:val="00BD2961"/>
    <w:rsid w:val="00BD2D23"/>
    <w:rsid w:val="00BD323B"/>
    <w:rsid w:val="00BD3538"/>
    <w:rsid w:val="00BD35BF"/>
    <w:rsid w:val="00BD3607"/>
    <w:rsid w:val="00BD3951"/>
    <w:rsid w:val="00BD3C7F"/>
    <w:rsid w:val="00BD3D2F"/>
    <w:rsid w:val="00BD3DB9"/>
    <w:rsid w:val="00BD4076"/>
    <w:rsid w:val="00BD4A03"/>
    <w:rsid w:val="00BD4AAE"/>
    <w:rsid w:val="00BD5020"/>
    <w:rsid w:val="00BD522B"/>
    <w:rsid w:val="00BD5601"/>
    <w:rsid w:val="00BD5A3A"/>
    <w:rsid w:val="00BD5F0F"/>
    <w:rsid w:val="00BD6061"/>
    <w:rsid w:val="00BD64FE"/>
    <w:rsid w:val="00BD7F65"/>
    <w:rsid w:val="00BE0CBA"/>
    <w:rsid w:val="00BE0D5B"/>
    <w:rsid w:val="00BE0D9E"/>
    <w:rsid w:val="00BE0FC3"/>
    <w:rsid w:val="00BE1266"/>
    <w:rsid w:val="00BE15E3"/>
    <w:rsid w:val="00BE1774"/>
    <w:rsid w:val="00BE1EE5"/>
    <w:rsid w:val="00BE26E9"/>
    <w:rsid w:val="00BE34A1"/>
    <w:rsid w:val="00BE3AEB"/>
    <w:rsid w:val="00BE3C44"/>
    <w:rsid w:val="00BE3CAB"/>
    <w:rsid w:val="00BE3DEE"/>
    <w:rsid w:val="00BE4BB6"/>
    <w:rsid w:val="00BE5899"/>
    <w:rsid w:val="00BE5A48"/>
    <w:rsid w:val="00BE5D35"/>
    <w:rsid w:val="00BE61D0"/>
    <w:rsid w:val="00BE61E2"/>
    <w:rsid w:val="00BE64F7"/>
    <w:rsid w:val="00BE691D"/>
    <w:rsid w:val="00BE69B5"/>
    <w:rsid w:val="00BE69D0"/>
    <w:rsid w:val="00BE6FC1"/>
    <w:rsid w:val="00BE7574"/>
    <w:rsid w:val="00BE7730"/>
    <w:rsid w:val="00BF0617"/>
    <w:rsid w:val="00BF07E1"/>
    <w:rsid w:val="00BF0B32"/>
    <w:rsid w:val="00BF17FE"/>
    <w:rsid w:val="00BF1906"/>
    <w:rsid w:val="00BF1984"/>
    <w:rsid w:val="00BF19EA"/>
    <w:rsid w:val="00BF1A26"/>
    <w:rsid w:val="00BF2208"/>
    <w:rsid w:val="00BF241B"/>
    <w:rsid w:val="00BF2750"/>
    <w:rsid w:val="00BF2868"/>
    <w:rsid w:val="00BF2EBE"/>
    <w:rsid w:val="00BF310B"/>
    <w:rsid w:val="00BF32F8"/>
    <w:rsid w:val="00BF38CE"/>
    <w:rsid w:val="00BF3F73"/>
    <w:rsid w:val="00BF4052"/>
    <w:rsid w:val="00BF4094"/>
    <w:rsid w:val="00BF42EB"/>
    <w:rsid w:val="00BF4746"/>
    <w:rsid w:val="00BF4FB9"/>
    <w:rsid w:val="00BF522E"/>
    <w:rsid w:val="00BF57BD"/>
    <w:rsid w:val="00BF5C07"/>
    <w:rsid w:val="00BF5D55"/>
    <w:rsid w:val="00BF6237"/>
    <w:rsid w:val="00BF6549"/>
    <w:rsid w:val="00BF6B9F"/>
    <w:rsid w:val="00BF6DD7"/>
    <w:rsid w:val="00BF6DF1"/>
    <w:rsid w:val="00BF6EDA"/>
    <w:rsid w:val="00BF6EDC"/>
    <w:rsid w:val="00BF7031"/>
    <w:rsid w:val="00BF7091"/>
    <w:rsid w:val="00BF7E5F"/>
    <w:rsid w:val="00C0046F"/>
    <w:rsid w:val="00C0123B"/>
    <w:rsid w:val="00C01600"/>
    <w:rsid w:val="00C0190A"/>
    <w:rsid w:val="00C01BCE"/>
    <w:rsid w:val="00C02064"/>
    <w:rsid w:val="00C02454"/>
    <w:rsid w:val="00C02537"/>
    <w:rsid w:val="00C025CD"/>
    <w:rsid w:val="00C02873"/>
    <w:rsid w:val="00C02B3D"/>
    <w:rsid w:val="00C02B72"/>
    <w:rsid w:val="00C02BAC"/>
    <w:rsid w:val="00C03160"/>
    <w:rsid w:val="00C03262"/>
    <w:rsid w:val="00C033CE"/>
    <w:rsid w:val="00C0374D"/>
    <w:rsid w:val="00C03885"/>
    <w:rsid w:val="00C03F20"/>
    <w:rsid w:val="00C04613"/>
    <w:rsid w:val="00C04676"/>
    <w:rsid w:val="00C046C2"/>
    <w:rsid w:val="00C04D16"/>
    <w:rsid w:val="00C04E7C"/>
    <w:rsid w:val="00C04EAD"/>
    <w:rsid w:val="00C052E0"/>
    <w:rsid w:val="00C05541"/>
    <w:rsid w:val="00C0587A"/>
    <w:rsid w:val="00C05B14"/>
    <w:rsid w:val="00C05B9E"/>
    <w:rsid w:val="00C060F8"/>
    <w:rsid w:val="00C06275"/>
    <w:rsid w:val="00C06370"/>
    <w:rsid w:val="00C072CD"/>
    <w:rsid w:val="00C07549"/>
    <w:rsid w:val="00C076FF"/>
    <w:rsid w:val="00C077C8"/>
    <w:rsid w:val="00C07967"/>
    <w:rsid w:val="00C07989"/>
    <w:rsid w:val="00C07C54"/>
    <w:rsid w:val="00C108D6"/>
    <w:rsid w:val="00C10902"/>
    <w:rsid w:val="00C10CDB"/>
    <w:rsid w:val="00C10D37"/>
    <w:rsid w:val="00C1139E"/>
    <w:rsid w:val="00C1176D"/>
    <w:rsid w:val="00C1193F"/>
    <w:rsid w:val="00C1195F"/>
    <w:rsid w:val="00C11DBC"/>
    <w:rsid w:val="00C12331"/>
    <w:rsid w:val="00C1254A"/>
    <w:rsid w:val="00C1267C"/>
    <w:rsid w:val="00C12718"/>
    <w:rsid w:val="00C12862"/>
    <w:rsid w:val="00C12893"/>
    <w:rsid w:val="00C12AE3"/>
    <w:rsid w:val="00C12D51"/>
    <w:rsid w:val="00C12DBE"/>
    <w:rsid w:val="00C130FD"/>
    <w:rsid w:val="00C136CA"/>
    <w:rsid w:val="00C13862"/>
    <w:rsid w:val="00C13B04"/>
    <w:rsid w:val="00C13B7B"/>
    <w:rsid w:val="00C13F53"/>
    <w:rsid w:val="00C1418F"/>
    <w:rsid w:val="00C143D0"/>
    <w:rsid w:val="00C1460C"/>
    <w:rsid w:val="00C14D6B"/>
    <w:rsid w:val="00C15265"/>
    <w:rsid w:val="00C16381"/>
    <w:rsid w:val="00C164AC"/>
    <w:rsid w:val="00C1655C"/>
    <w:rsid w:val="00C16674"/>
    <w:rsid w:val="00C166C8"/>
    <w:rsid w:val="00C16BA7"/>
    <w:rsid w:val="00C16BD9"/>
    <w:rsid w:val="00C16E26"/>
    <w:rsid w:val="00C16E5D"/>
    <w:rsid w:val="00C17027"/>
    <w:rsid w:val="00C17574"/>
    <w:rsid w:val="00C1777B"/>
    <w:rsid w:val="00C20E19"/>
    <w:rsid w:val="00C211BF"/>
    <w:rsid w:val="00C2136A"/>
    <w:rsid w:val="00C21EC0"/>
    <w:rsid w:val="00C21F4B"/>
    <w:rsid w:val="00C22137"/>
    <w:rsid w:val="00C22855"/>
    <w:rsid w:val="00C228D9"/>
    <w:rsid w:val="00C2299F"/>
    <w:rsid w:val="00C22C13"/>
    <w:rsid w:val="00C22CD4"/>
    <w:rsid w:val="00C231DA"/>
    <w:rsid w:val="00C233A9"/>
    <w:rsid w:val="00C2356D"/>
    <w:rsid w:val="00C23B22"/>
    <w:rsid w:val="00C23EFC"/>
    <w:rsid w:val="00C2473C"/>
    <w:rsid w:val="00C24B19"/>
    <w:rsid w:val="00C24C7E"/>
    <w:rsid w:val="00C24D73"/>
    <w:rsid w:val="00C25027"/>
    <w:rsid w:val="00C255C0"/>
    <w:rsid w:val="00C2562F"/>
    <w:rsid w:val="00C25DDF"/>
    <w:rsid w:val="00C25FEB"/>
    <w:rsid w:val="00C26072"/>
    <w:rsid w:val="00C2642E"/>
    <w:rsid w:val="00C271F3"/>
    <w:rsid w:val="00C27203"/>
    <w:rsid w:val="00C2728A"/>
    <w:rsid w:val="00C27419"/>
    <w:rsid w:val="00C300DE"/>
    <w:rsid w:val="00C30106"/>
    <w:rsid w:val="00C30513"/>
    <w:rsid w:val="00C307F5"/>
    <w:rsid w:val="00C31162"/>
    <w:rsid w:val="00C313C3"/>
    <w:rsid w:val="00C315A5"/>
    <w:rsid w:val="00C31EFA"/>
    <w:rsid w:val="00C32713"/>
    <w:rsid w:val="00C32C61"/>
    <w:rsid w:val="00C333F8"/>
    <w:rsid w:val="00C33926"/>
    <w:rsid w:val="00C339C5"/>
    <w:rsid w:val="00C339F8"/>
    <w:rsid w:val="00C33A16"/>
    <w:rsid w:val="00C3408F"/>
    <w:rsid w:val="00C34305"/>
    <w:rsid w:val="00C34571"/>
    <w:rsid w:val="00C346BA"/>
    <w:rsid w:val="00C34DF6"/>
    <w:rsid w:val="00C3516E"/>
    <w:rsid w:val="00C354A0"/>
    <w:rsid w:val="00C35608"/>
    <w:rsid w:val="00C356ED"/>
    <w:rsid w:val="00C3575B"/>
    <w:rsid w:val="00C35BA3"/>
    <w:rsid w:val="00C35FCC"/>
    <w:rsid w:val="00C3640E"/>
    <w:rsid w:val="00C36530"/>
    <w:rsid w:val="00C367E3"/>
    <w:rsid w:val="00C36BC9"/>
    <w:rsid w:val="00C370F8"/>
    <w:rsid w:val="00C37AF7"/>
    <w:rsid w:val="00C400D9"/>
    <w:rsid w:val="00C400FF"/>
    <w:rsid w:val="00C402F8"/>
    <w:rsid w:val="00C40358"/>
    <w:rsid w:val="00C407C1"/>
    <w:rsid w:val="00C4080B"/>
    <w:rsid w:val="00C40A35"/>
    <w:rsid w:val="00C40E4A"/>
    <w:rsid w:val="00C41104"/>
    <w:rsid w:val="00C41621"/>
    <w:rsid w:val="00C41650"/>
    <w:rsid w:val="00C419D0"/>
    <w:rsid w:val="00C41A25"/>
    <w:rsid w:val="00C422E5"/>
    <w:rsid w:val="00C42563"/>
    <w:rsid w:val="00C42745"/>
    <w:rsid w:val="00C4276A"/>
    <w:rsid w:val="00C427B5"/>
    <w:rsid w:val="00C4292A"/>
    <w:rsid w:val="00C42B60"/>
    <w:rsid w:val="00C43079"/>
    <w:rsid w:val="00C431A8"/>
    <w:rsid w:val="00C43C3E"/>
    <w:rsid w:val="00C43D3A"/>
    <w:rsid w:val="00C43D6C"/>
    <w:rsid w:val="00C43E68"/>
    <w:rsid w:val="00C43ECE"/>
    <w:rsid w:val="00C4429D"/>
    <w:rsid w:val="00C449A4"/>
    <w:rsid w:val="00C45016"/>
    <w:rsid w:val="00C45492"/>
    <w:rsid w:val="00C456EB"/>
    <w:rsid w:val="00C457AF"/>
    <w:rsid w:val="00C45811"/>
    <w:rsid w:val="00C45C6C"/>
    <w:rsid w:val="00C45E21"/>
    <w:rsid w:val="00C46029"/>
    <w:rsid w:val="00C46447"/>
    <w:rsid w:val="00C4667E"/>
    <w:rsid w:val="00C46866"/>
    <w:rsid w:val="00C46886"/>
    <w:rsid w:val="00C47021"/>
    <w:rsid w:val="00C4707A"/>
    <w:rsid w:val="00C470A2"/>
    <w:rsid w:val="00C47716"/>
    <w:rsid w:val="00C479AE"/>
    <w:rsid w:val="00C47A28"/>
    <w:rsid w:val="00C47AE5"/>
    <w:rsid w:val="00C47FC9"/>
    <w:rsid w:val="00C5010D"/>
    <w:rsid w:val="00C50351"/>
    <w:rsid w:val="00C507F3"/>
    <w:rsid w:val="00C5114A"/>
    <w:rsid w:val="00C51780"/>
    <w:rsid w:val="00C5189B"/>
    <w:rsid w:val="00C51C09"/>
    <w:rsid w:val="00C526BF"/>
    <w:rsid w:val="00C52B5E"/>
    <w:rsid w:val="00C53192"/>
    <w:rsid w:val="00C5335C"/>
    <w:rsid w:val="00C534BA"/>
    <w:rsid w:val="00C53549"/>
    <w:rsid w:val="00C53561"/>
    <w:rsid w:val="00C535CA"/>
    <w:rsid w:val="00C538C6"/>
    <w:rsid w:val="00C53A6E"/>
    <w:rsid w:val="00C53C0E"/>
    <w:rsid w:val="00C5427E"/>
    <w:rsid w:val="00C54722"/>
    <w:rsid w:val="00C5542F"/>
    <w:rsid w:val="00C55AD0"/>
    <w:rsid w:val="00C55C7B"/>
    <w:rsid w:val="00C55E14"/>
    <w:rsid w:val="00C55EB7"/>
    <w:rsid w:val="00C55F05"/>
    <w:rsid w:val="00C57440"/>
    <w:rsid w:val="00C57650"/>
    <w:rsid w:val="00C578CF"/>
    <w:rsid w:val="00C57A0D"/>
    <w:rsid w:val="00C57C27"/>
    <w:rsid w:val="00C57D15"/>
    <w:rsid w:val="00C602BC"/>
    <w:rsid w:val="00C60800"/>
    <w:rsid w:val="00C6093B"/>
    <w:rsid w:val="00C6189A"/>
    <w:rsid w:val="00C61D29"/>
    <w:rsid w:val="00C61F36"/>
    <w:rsid w:val="00C61FA9"/>
    <w:rsid w:val="00C6274D"/>
    <w:rsid w:val="00C632E0"/>
    <w:rsid w:val="00C63499"/>
    <w:rsid w:val="00C634A9"/>
    <w:rsid w:val="00C634D4"/>
    <w:rsid w:val="00C63818"/>
    <w:rsid w:val="00C650DC"/>
    <w:rsid w:val="00C65503"/>
    <w:rsid w:val="00C6578A"/>
    <w:rsid w:val="00C65F16"/>
    <w:rsid w:val="00C65F27"/>
    <w:rsid w:val="00C66722"/>
    <w:rsid w:val="00C66D6B"/>
    <w:rsid w:val="00C67470"/>
    <w:rsid w:val="00C67537"/>
    <w:rsid w:val="00C67943"/>
    <w:rsid w:val="00C700EC"/>
    <w:rsid w:val="00C701D1"/>
    <w:rsid w:val="00C70418"/>
    <w:rsid w:val="00C70990"/>
    <w:rsid w:val="00C70B0E"/>
    <w:rsid w:val="00C714AD"/>
    <w:rsid w:val="00C7176E"/>
    <w:rsid w:val="00C717E1"/>
    <w:rsid w:val="00C717E2"/>
    <w:rsid w:val="00C71838"/>
    <w:rsid w:val="00C71AFC"/>
    <w:rsid w:val="00C71D2E"/>
    <w:rsid w:val="00C7213D"/>
    <w:rsid w:val="00C723B0"/>
    <w:rsid w:val="00C7250D"/>
    <w:rsid w:val="00C72B45"/>
    <w:rsid w:val="00C72B6D"/>
    <w:rsid w:val="00C72E5F"/>
    <w:rsid w:val="00C73449"/>
    <w:rsid w:val="00C73BD8"/>
    <w:rsid w:val="00C73D95"/>
    <w:rsid w:val="00C74364"/>
    <w:rsid w:val="00C7444B"/>
    <w:rsid w:val="00C744DB"/>
    <w:rsid w:val="00C74F20"/>
    <w:rsid w:val="00C752F3"/>
    <w:rsid w:val="00C75999"/>
    <w:rsid w:val="00C75C64"/>
    <w:rsid w:val="00C75FAF"/>
    <w:rsid w:val="00C761B5"/>
    <w:rsid w:val="00C76666"/>
    <w:rsid w:val="00C76B22"/>
    <w:rsid w:val="00C772FE"/>
    <w:rsid w:val="00C776F8"/>
    <w:rsid w:val="00C77BA7"/>
    <w:rsid w:val="00C77F98"/>
    <w:rsid w:val="00C8008E"/>
    <w:rsid w:val="00C800BA"/>
    <w:rsid w:val="00C80B7A"/>
    <w:rsid w:val="00C80D72"/>
    <w:rsid w:val="00C812D2"/>
    <w:rsid w:val="00C8140B"/>
    <w:rsid w:val="00C81C80"/>
    <w:rsid w:val="00C822B3"/>
    <w:rsid w:val="00C82760"/>
    <w:rsid w:val="00C82922"/>
    <w:rsid w:val="00C82993"/>
    <w:rsid w:val="00C82E70"/>
    <w:rsid w:val="00C82E99"/>
    <w:rsid w:val="00C82EF3"/>
    <w:rsid w:val="00C832B9"/>
    <w:rsid w:val="00C8335F"/>
    <w:rsid w:val="00C837B7"/>
    <w:rsid w:val="00C83841"/>
    <w:rsid w:val="00C839E7"/>
    <w:rsid w:val="00C83B16"/>
    <w:rsid w:val="00C83CEA"/>
    <w:rsid w:val="00C83EE0"/>
    <w:rsid w:val="00C840EC"/>
    <w:rsid w:val="00C842F8"/>
    <w:rsid w:val="00C843B8"/>
    <w:rsid w:val="00C843FF"/>
    <w:rsid w:val="00C84646"/>
    <w:rsid w:val="00C84654"/>
    <w:rsid w:val="00C8499F"/>
    <w:rsid w:val="00C84BDE"/>
    <w:rsid w:val="00C84D8F"/>
    <w:rsid w:val="00C84D94"/>
    <w:rsid w:val="00C84DE9"/>
    <w:rsid w:val="00C84E68"/>
    <w:rsid w:val="00C854BF"/>
    <w:rsid w:val="00C855F3"/>
    <w:rsid w:val="00C85953"/>
    <w:rsid w:val="00C860BE"/>
    <w:rsid w:val="00C861C8"/>
    <w:rsid w:val="00C86510"/>
    <w:rsid w:val="00C8654B"/>
    <w:rsid w:val="00C86703"/>
    <w:rsid w:val="00C86AF1"/>
    <w:rsid w:val="00C86D96"/>
    <w:rsid w:val="00C8748B"/>
    <w:rsid w:val="00C875A0"/>
    <w:rsid w:val="00C87ADD"/>
    <w:rsid w:val="00C9035A"/>
    <w:rsid w:val="00C904E6"/>
    <w:rsid w:val="00C9064D"/>
    <w:rsid w:val="00C9079F"/>
    <w:rsid w:val="00C9098B"/>
    <w:rsid w:val="00C90C96"/>
    <w:rsid w:val="00C90DA5"/>
    <w:rsid w:val="00C9119F"/>
    <w:rsid w:val="00C91262"/>
    <w:rsid w:val="00C914DD"/>
    <w:rsid w:val="00C917AD"/>
    <w:rsid w:val="00C9225C"/>
    <w:rsid w:val="00C92832"/>
    <w:rsid w:val="00C9297B"/>
    <w:rsid w:val="00C92C6F"/>
    <w:rsid w:val="00C9301A"/>
    <w:rsid w:val="00C930A9"/>
    <w:rsid w:val="00C934FF"/>
    <w:rsid w:val="00C93D9B"/>
    <w:rsid w:val="00C93E03"/>
    <w:rsid w:val="00C94117"/>
    <w:rsid w:val="00C9420C"/>
    <w:rsid w:val="00C94324"/>
    <w:rsid w:val="00C94639"/>
    <w:rsid w:val="00C95832"/>
    <w:rsid w:val="00C95A74"/>
    <w:rsid w:val="00C95A7B"/>
    <w:rsid w:val="00C95DE4"/>
    <w:rsid w:val="00C961E8"/>
    <w:rsid w:val="00C969BD"/>
    <w:rsid w:val="00C96D0C"/>
    <w:rsid w:val="00C976CD"/>
    <w:rsid w:val="00C97BEA"/>
    <w:rsid w:val="00CA0E31"/>
    <w:rsid w:val="00CA0E4A"/>
    <w:rsid w:val="00CA0F9E"/>
    <w:rsid w:val="00CA112B"/>
    <w:rsid w:val="00CA1172"/>
    <w:rsid w:val="00CA1392"/>
    <w:rsid w:val="00CA16F5"/>
    <w:rsid w:val="00CA175E"/>
    <w:rsid w:val="00CA1991"/>
    <w:rsid w:val="00CA1E61"/>
    <w:rsid w:val="00CA1E81"/>
    <w:rsid w:val="00CA1EAC"/>
    <w:rsid w:val="00CA1EE6"/>
    <w:rsid w:val="00CA1F7C"/>
    <w:rsid w:val="00CA2124"/>
    <w:rsid w:val="00CA23E9"/>
    <w:rsid w:val="00CA267B"/>
    <w:rsid w:val="00CA2B52"/>
    <w:rsid w:val="00CA2E33"/>
    <w:rsid w:val="00CA2F02"/>
    <w:rsid w:val="00CA3EAD"/>
    <w:rsid w:val="00CA43BA"/>
    <w:rsid w:val="00CA4902"/>
    <w:rsid w:val="00CA5B40"/>
    <w:rsid w:val="00CA5B42"/>
    <w:rsid w:val="00CA61A7"/>
    <w:rsid w:val="00CA721F"/>
    <w:rsid w:val="00CA72F5"/>
    <w:rsid w:val="00CA7716"/>
    <w:rsid w:val="00CA7A9C"/>
    <w:rsid w:val="00CB003D"/>
    <w:rsid w:val="00CB0085"/>
    <w:rsid w:val="00CB0218"/>
    <w:rsid w:val="00CB0A03"/>
    <w:rsid w:val="00CB0ACC"/>
    <w:rsid w:val="00CB0B0E"/>
    <w:rsid w:val="00CB0D96"/>
    <w:rsid w:val="00CB1230"/>
    <w:rsid w:val="00CB17C5"/>
    <w:rsid w:val="00CB18D5"/>
    <w:rsid w:val="00CB19F3"/>
    <w:rsid w:val="00CB1B3A"/>
    <w:rsid w:val="00CB1C81"/>
    <w:rsid w:val="00CB208B"/>
    <w:rsid w:val="00CB218A"/>
    <w:rsid w:val="00CB218F"/>
    <w:rsid w:val="00CB25EF"/>
    <w:rsid w:val="00CB27E1"/>
    <w:rsid w:val="00CB2A20"/>
    <w:rsid w:val="00CB2B54"/>
    <w:rsid w:val="00CB2E33"/>
    <w:rsid w:val="00CB31BB"/>
    <w:rsid w:val="00CB396B"/>
    <w:rsid w:val="00CB3DBE"/>
    <w:rsid w:val="00CB3ED3"/>
    <w:rsid w:val="00CB4097"/>
    <w:rsid w:val="00CB4135"/>
    <w:rsid w:val="00CB42A3"/>
    <w:rsid w:val="00CB463D"/>
    <w:rsid w:val="00CB4901"/>
    <w:rsid w:val="00CB4A7F"/>
    <w:rsid w:val="00CB5080"/>
    <w:rsid w:val="00CB529B"/>
    <w:rsid w:val="00CB530F"/>
    <w:rsid w:val="00CB57AE"/>
    <w:rsid w:val="00CB6146"/>
    <w:rsid w:val="00CB61F9"/>
    <w:rsid w:val="00CB6292"/>
    <w:rsid w:val="00CB63E8"/>
    <w:rsid w:val="00CB6439"/>
    <w:rsid w:val="00CB64E0"/>
    <w:rsid w:val="00CB6B59"/>
    <w:rsid w:val="00CB6BBD"/>
    <w:rsid w:val="00CB703D"/>
    <w:rsid w:val="00CB7365"/>
    <w:rsid w:val="00CC0256"/>
    <w:rsid w:val="00CC0381"/>
    <w:rsid w:val="00CC0D0D"/>
    <w:rsid w:val="00CC1113"/>
    <w:rsid w:val="00CC11DB"/>
    <w:rsid w:val="00CC1AB6"/>
    <w:rsid w:val="00CC251B"/>
    <w:rsid w:val="00CC25DF"/>
    <w:rsid w:val="00CC26B6"/>
    <w:rsid w:val="00CC2A5B"/>
    <w:rsid w:val="00CC2D2C"/>
    <w:rsid w:val="00CC2EA9"/>
    <w:rsid w:val="00CC318C"/>
    <w:rsid w:val="00CC328B"/>
    <w:rsid w:val="00CC3529"/>
    <w:rsid w:val="00CC35AC"/>
    <w:rsid w:val="00CC41BB"/>
    <w:rsid w:val="00CC4226"/>
    <w:rsid w:val="00CC4639"/>
    <w:rsid w:val="00CC5065"/>
    <w:rsid w:val="00CC50A9"/>
    <w:rsid w:val="00CC50BE"/>
    <w:rsid w:val="00CC5586"/>
    <w:rsid w:val="00CC558C"/>
    <w:rsid w:val="00CC56F9"/>
    <w:rsid w:val="00CC5A6F"/>
    <w:rsid w:val="00CC5D8E"/>
    <w:rsid w:val="00CC5E0E"/>
    <w:rsid w:val="00CC6510"/>
    <w:rsid w:val="00CC666A"/>
    <w:rsid w:val="00CC6E2D"/>
    <w:rsid w:val="00CC6F9E"/>
    <w:rsid w:val="00CC7235"/>
    <w:rsid w:val="00CC77F6"/>
    <w:rsid w:val="00CC7F0A"/>
    <w:rsid w:val="00CD006C"/>
    <w:rsid w:val="00CD044C"/>
    <w:rsid w:val="00CD0D69"/>
    <w:rsid w:val="00CD1354"/>
    <w:rsid w:val="00CD15F4"/>
    <w:rsid w:val="00CD1A77"/>
    <w:rsid w:val="00CD1BC2"/>
    <w:rsid w:val="00CD2138"/>
    <w:rsid w:val="00CD22C0"/>
    <w:rsid w:val="00CD22C4"/>
    <w:rsid w:val="00CD24E2"/>
    <w:rsid w:val="00CD2E91"/>
    <w:rsid w:val="00CD2F2F"/>
    <w:rsid w:val="00CD2F72"/>
    <w:rsid w:val="00CD304F"/>
    <w:rsid w:val="00CD31BE"/>
    <w:rsid w:val="00CD31D8"/>
    <w:rsid w:val="00CD3632"/>
    <w:rsid w:val="00CD3693"/>
    <w:rsid w:val="00CD3801"/>
    <w:rsid w:val="00CD3BC2"/>
    <w:rsid w:val="00CD3D64"/>
    <w:rsid w:val="00CD3EA3"/>
    <w:rsid w:val="00CD47FD"/>
    <w:rsid w:val="00CD4CC7"/>
    <w:rsid w:val="00CD4DE4"/>
    <w:rsid w:val="00CD4EC7"/>
    <w:rsid w:val="00CD5451"/>
    <w:rsid w:val="00CD58CF"/>
    <w:rsid w:val="00CD598C"/>
    <w:rsid w:val="00CD5E30"/>
    <w:rsid w:val="00CD60DA"/>
    <w:rsid w:val="00CD6273"/>
    <w:rsid w:val="00CD6330"/>
    <w:rsid w:val="00CD647A"/>
    <w:rsid w:val="00CD6A2F"/>
    <w:rsid w:val="00CD6F8A"/>
    <w:rsid w:val="00CD7200"/>
    <w:rsid w:val="00CD74FF"/>
    <w:rsid w:val="00CD78A1"/>
    <w:rsid w:val="00CE0236"/>
    <w:rsid w:val="00CE04CA"/>
    <w:rsid w:val="00CE06D8"/>
    <w:rsid w:val="00CE0D16"/>
    <w:rsid w:val="00CE0E0C"/>
    <w:rsid w:val="00CE13BD"/>
    <w:rsid w:val="00CE20B7"/>
    <w:rsid w:val="00CE2481"/>
    <w:rsid w:val="00CE2842"/>
    <w:rsid w:val="00CE3128"/>
    <w:rsid w:val="00CE31DC"/>
    <w:rsid w:val="00CE3941"/>
    <w:rsid w:val="00CE3CE3"/>
    <w:rsid w:val="00CE3E2B"/>
    <w:rsid w:val="00CE4286"/>
    <w:rsid w:val="00CE482E"/>
    <w:rsid w:val="00CE4C78"/>
    <w:rsid w:val="00CE50B5"/>
    <w:rsid w:val="00CE5457"/>
    <w:rsid w:val="00CE566E"/>
    <w:rsid w:val="00CE626F"/>
    <w:rsid w:val="00CE63F2"/>
    <w:rsid w:val="00CE64F5"/>
    <w:rsid w:val="00CE6596"/>
    <w:rsid w:val="00CE69E7"/>
    <w:rsid w:val="00CE7635"/>
    <w:rsid w:val="00CE7677"/>
    <w:rsid w:val="00CE76D9"/>
    <w:rsid w:val="00CE774B"/>
    <w:rsid w:val="00CE789D"/>
    <w:rsid w:val="00CE7A6D"/>
    <w:rsid w:val="00CE7DC1"/>
    <w:rsid w:val="00CF04A5"/>
    <w:rsid w:val="00CF06DF"/>
    <w:rsid w:val="00CF07A4"/>
    <w:rsid w:val="00CF07E6"/>
    <w:rsid w:val="00CF0FDD"/>
    <w:rsid w:val="00CF1140"/>
    <w:rsid w:val="00CF135A"/>
    <w:rsid w:val="00CF1633"/>
    <w:rsid w:val="00CF1A99"/>
    <w:rsid w:val="00CF1EDB"/>
    <w:rsid w:val="00CF1F52"/>
    <w:rsid w:val="00CF2175"/>
    <w:rsid w:val="00CF22F4"/>
    <w:rsid w:val="00CF2457"/>
    <w:rsid w:val="00CF2489"/>
    <w:rsid w:val="00CF2922"/>
    <w:rsid w:val="00CF2B25"/>
    <w:rsid w:val="00CF2B47"/>
    <w:rsid w:val="00CF344F"/>
    <w:rsid w:val="00CF3B2C"/>
    <w:rsid w:val="00CF3C88"/>
    <w:rsid w:val="00CF3D37"/>
    <w:rsid w:val="00CF405D"/>
    <w:rsid w:val="00CF45BD"/>
    <w:rsid w:val="00CF4750"/>
    <w:rsid w:val="00CF4988"/>
    <w:rsid w:val="00CF4EBE"/>
    <w:rsid w:val="00CF4F82"/>
    <w:rsid w:val="00CF526D"/>
    <w:rsid w:val="00CF5924"/>
    <w:rsid w:val="00CF5EC4"/>
    <w:rsid w:val="00CF6182"/>
    <w:rsid w:val="00CF63E3"/>
    <w:rsid w:val="00CF664E"/>
    <w:rsid w:val="00CF6812"/>
    <w:rsid w:val="00CF6D90"/>
    <w:rsid w:val="00CF6DAA"/>
    <w:rsid w:val="00CF7278"/>
    <w:rsid w:val="00CF7A34"/>
    <w:rsid w:val="00CF7BD0"/>
    <w:rsid w:val="00CF7CBA"/>
    <w:rsid w:val="00CF7E37"/>
    <w:rsid w:val="00CF7FC5"/>
    <w:rsid w:val="00D00144"/>
    <w:rsid w:val="00D00168"/>
    <w:rsid w:val="00D00AAA"/>
    <w:rsid w:val="00D00ADD"/>
    <w:rsid w:val="00D00EA2"/>
    <w:rsid w:val="00D01355"/>
    <w:rsid w:val="00D0151F"/>
    <w:rsid w:val="00D01534"/>
    <w:rsid w:val="00D0174A"/>
    <w:rsid w:val="00D01A91"/>
    <w:rsid w:val="00D01B72"/>
    <w:rsid w:val="00D01B82"/>
    <w:rsid w:val="00D02045"/>
    <w:rsid w:val="00D023D9"/>
    <w:rsid w:val="00D02768"/>
    <w:rsid w:val="00D02A50"/>
    <w:rsid w:val="00D02A55"/>
    <w:rsid w:val="00D02BD5"/>
    <w:rsid w:val="00D0335D"/>
    <w:rsid w:val="00D0358C"/>
    <w:rsid w:val="00D040AD"/>
    <w:rsid w:val="00D041EA"/>
    <w:rsid w:val="00D046D0"/>
    <w:rsid w:val="00D04CE7"/>
    <w:rsid w:val="00D04DC9"/>
    <w:rsid w:val="00D0503F"/>
    <w:rsid w:val="00D0559E"/>
    <w:rsid w:val="00D055C5"/>
    <w:rsid w:val="00D05845"/>
    <w:rsid w:val="00D05CDF"/>
    <w:rsid w:val="00D05D21"/>
    <w:rsid w:val="00D05D81"/>
    <w:rsid w:val="00D066AB"/>
    <w:rsid w:val="00D069F2"/>
    <w:rsid w:val="00D06F19"/>
    <w:rsid w:val="00D06F61"/>
    <w:rsid w:val="00D0739A"/>
    <w:rsid w:val="00D07501"/>
    <w:rsid w:val="00D075A8"/>
    <w:rsid w:val="00D0778F"/>
    <w:rsid w:val="00D0791D"/>
    <w:rsid w:val="00D07EBF"/>
    <w:rsid w:val="00D103D2"/>
    <w:rsid w:val="00D10A09"/>
    <w:rsid w:val="00D12479"/>
    <w:rsid w:val="00D1261C"/>
    <w:rsid w:val="00D12963"/>
    <w:rsid w:val="00D131CA"/>
    <w:rsid w:val="00D1332B"/>
    <w:rsid w:val="00D137EA"/>
    <w:rsid w:val="00D1387F"/>
    <w:rsid w:val="00D13CF7"/>
    <w:rsid w:val="00D13E7F"/>
    <w:rsid w:val="00D140ED"/>
    <w:rsid w:val="00D145F2"/>
    <w:rsid w:val="00D1484B"/>
    <w:rsid w:val="00D14C0C"/>
    <w:rsid w:val="00D14D4B"/>
    <w:rsid w:val="00D15044"/>
    <w:rsid w:val="00D1518A"/>
    <w:rsid w:val="00D15232"/>
    <w:rsid w:val="00D1574E"/>
    <w:rsid w:val="00D158C4"/>
    <w:rsid w:val="00D15EE1"/>
    <w:rsid w:val="00D1637C"/>
    <w:rsid w:val="00D1638F"/>
    <w:rsid w:val="00D16435"/>
    <w:rsid w:val="00D16675"/>
    <w:rsid w:val="00D167F8"/>
    <w:rsid w:val="00D16A62"/>
    <w:rsid w:val="00D16B1B"/>
    <w:rsid w:val="00D17034"/>
    <w:rsid w:val="00D17052"/>
    <w:rsid w:val="00D1748C"/>
    <w:rsid w:val="00D1749E"/>
    <w:rsid w:val="00D1780F"/>
    <w:rsid w:val="00D179E6"/>
    <w:rsid w:val="00D17D51"/>
    <w:rsid w:val="00D17E35"/>
    <w:rsid w:val="00D203FA"/>
    <w:rsid w:val="00D20443"/>
    <w:rsid w:val="00D20544"/>
    <w:rsid w:val="00D20570"/>
    <w:rsid w:val="00D20682"/>
    <w:rsid w:val="00D20D26"/>
    <w:rsid w:val="00D20DA6"/>
    <w:rsid w:val="00D20F49"/>
    <w:rsid w:val="00D2112C"/>
    <w:rsid w:val="00D21807"/>
    <w:rsid w:val="00D21E43"/>
    <w:rsid w:val="00D21E50"/>
    <w:rsid w:val="00D21E84"/>
    <w:rsid w:val="00D222B7"/>
    <w:rsid w:val="00D22495"/>
    <w:rsid w:val="00D22734"/>
    <w:rsid w:val="00D229A7"/>
    <w:rsid w:val="00D229DD"/>
    <w:rsid w:val="00D22BEF"/>
    <w:rsid w:val="00D22C03"/>
    <w:rsid w:val="00D22E40"/>
    <w:rsid w:val="00D231CD"/>
    <w:rsid w:val="00D231F2"/>
    <w:rsid w:val="00D2327C"/>
    <w:rsid w:val="00D23384"/>
    <w:rsid w:val="00D23418"/>
    <w:rsid w:val="00D2348C"/>
    <w:rsid w:val="00D2363B"/>
    <w:rsid w:val="00D2373C"/>
    <w:rsid w:val="00D23F4E"/>
    <w:rsid w:val="00D24110"/>
    <w:rsid w:val="00D2438A"/>
    <w:rsid w:val="00D248F3"/>
    <w:rsid w:val="00D24D34"/>
    <w:rsid w:val="00D24E4D"/>
    <w:rsid w:val="00D24FE6"/>
    <w:rsid w:val="00D2515E"/>
    <w:rsid w:val="00D25222"/>
    <w:rsid w:val="00D255E0"/>
    <w:rsid w:val="00D25707"/>
    <w:rsid w:val="00D257E5"/>
    <w:rsid w:val="00D258E7"/>
    <w:rsid w:val="00D25F19"/>
    <w:rsid w:val="00D2611A"/>
    <w:rsid w:val="00D2617F"/>
    <w:rsid w:val="00D26368"/>
    <w:rsid w:val="00D26397"/>
    <w:rsid w:val="00D266C1"/>
    <w:rsid w:val="00D268BF"/>
    <w:rsid w:val="00D26D36"/>
    <w:rsid w:val="00D26F70"/>
    <w:rsid w:val="00D27392"/>
    <w:rsid w:val="00D2739B"/>
    <w:rsid w:val="00D27A89"/>
    <w:rsid w:val="00D27F33"/>
    <w:rsid w:val="00D3025B"/>
    <w:rsid w:val="00D30960"/>
    <w:rsid w:val="00D309A2"/>
    <w:rsid w:val="00D31152"/>
    <w:rsid w:val="00D32107"/>
    <w:rsid w:val="00D32292"/>
    <w:rsid w:val="00D3232F"/>
    <w:rsid w:val="00D32949"/>
    <w:rsid w:val="00D32E1E"/>
    <w:rsid w:val="00D32ECD"/>
    <w:rsid w:val="00D33342"/>
    <w:rsid w:val="00D33677"/>
    <w:rsid w:val="00D336E1"/>
    <w:rsid w:val="00D33CA2"/>
    <w:rsid w:val="00D33DF1"/>
    <w:rsid w:val="00D33E14"/>
    <w:rsid w:val="00D34318"/>
    <w:rsid w:val="00D34990"/>
    <w:rsid w:val="00D349A5"/>
    <w:rsid w:val="00D3508F"/>
    <w:rsid w:val="00D350B7"/>
    <w:rsid w:val="00D35754"/>
    <w:rsid w:val="00D35CD6"/>
    <w:rsid w:val="00D3601F"/>
    <w:rsid w:val="00D36601"/>
    <w:rsid w:val="00D36B13"/>
    <w:rsid w:val="00D36FCB"/>
    <w:rsid w:val="00D376CD"/>
    <w:rsid w:val="00D37C9D"/>
    <w:rsid w:val="00D37FA3"/>
    <w:rsid w:val="00D4014F"/>
    <w:rsid w:val="00D402B6"/>
    <w:rsid w:val="00D4044A"/>
    <w:rsid w:val="00D40B7A"/>
    <w:rsid w:val="00D41444"/>
    <w:rsid w:val="00D417CB"/>
    <w:rsid w:val="00D41ADD"/>
    <w:rsid w:val="00D41CBB"/>
    <w:rsid w:val="00D41E57"/>
    <w:rsid w:val="00D42034"/>
    <w:rsid w:val="00D42035"/>
    <w:rsid w:val="00D42408"/>
    <w:rsid w:val="00D42AFF"/>
    <w:rsid w:val="00D42E93"/>
    <w:rsid w:val="00D43389"/>
    <w:rsid w:val="00D43459"/>
    <w:rsid w:val="00D43652"/>
    <w:rsid w:val="00D43696"/>
    <w:rsid w:val="00D43B94"/>
    <w:rsid w:val="00D43F22"/>
    <w:rsid w:val="00D44DE2"/>
    <w:rsid w:val="00D45024"/>
    <w:rsid w:val="00D460CC"/>
    <w:rsid w:val="00D46608"/>
    <w:rsid w:val="00D469CC"/>
    <w:rsid w:val="00D46B2F"/>
    <w:rsid w:val="00D46DE4"/>
    <w:rsid w:val="00D4770E"/>
    <w:rsid w:val="00D4773D"/>
    <w:rsid w:val="00D47EA9"/>
    <w:rsid w:val="00D503E2"/>
    <w:rsid w:val="00D504A6"/>
    <w:rsid w:val="00D509C2"/>
    <w:rsid w:val="00D50EB1"/>
    <w:rsid w:val="00D50F08"/>
    <w:rsid w:val="00D511A4"/>
    <w:rsid w:val="00D513C4"/>
    <w:rsid w:val="00D51A1F"/>
    <w:rsid w:val="00D521C9"/>
    <w:rsid w:val="00D52745"/>
    <w:rsid w:val="00D52A77"/>
    <w:rsid w:val="00D52D30"/>
    <w:rsid w:val="00D52E02"/>
    <w:rsid w:val="00D52FDD"/>
    <w:rsid w:val="00D5370F"/>
    <w:rsid w:val="00D53D71"/>
    <w:rsid w:val="00D53DFE"/>
    <w:rsid w:val="00D54C45"/>
    <w:rsid w:val="00D54E07"/>
    <w:rsid w:val="00D54ED0"/>
    <w:rsid w:val="00D5529A"/>
    <w:rsid w:val="00D554A9"/>
    <w:rsid w:val="00D55582"/>
    <w:rsid w:val="00D556BA"/>
    <w:rsid w:val="00D55936"/>
    <w:rsid w:val="00D5604E"/>
    <w:rsid w:val="00D56082"/>
    <w:rsid w:val="00D56141"/>
    <w:rsid w:val="00D563E5"/>
    <w:rsid w:val="00D564CC"/>
    <w:rsid w:val="00D56585"/>
    <w:rsid w:val="00D56D32"/>
    <w:rsid w:val="00D57195"/>
    <w:rsid w:val="00D57217"/>
    <w:rsid w:val="00D5790D"/>
    <w:rsid w:val="00D6004F"/>
    <w:rsid w:val="00D6019C"/>
    <w:rsid w:val="00D607D9"/>
    <w:rsid w:val="00D60E52"/>
    <w:rsid w:val="00D61759"/>
    <w:rsid w:val="00D61C6B"/>
    <w:rsid w:val="00D626ED"/>
    <w:rsid w:val="00D628B1"/>
    <w:rsid w:val="00D628BC"/>
    <w:rsid w:val="00D6290E"/>
    <w:rsid w:val="00D62A39"/>
    <w:rsid w:val="00D63052"/>
    <w:rsid w:val="00D639DC"/>
    <w:rsid w:val="00D63B11"/>
    <w:rsid w:val="00D63B6C"/>
    <w:rsid w:val="00D640DC"/>
    <w:rsid w:val="00D64179"/>
    <w:rsid w:val="00D64417"/>
    <w:rsid w:val="00D644B5"/>
    <w:rsid w:val="00D64529"/>
    <w:rsid w:val="00D647EE"/>
    <w:rsid w:val="00D64F42"/>
    <w:rsid w:val="00D65545"/>
    <w:rsid w:val="00D66279"/>
    <w:rsid w:val="00D663EA"/>
    <w:rsid w:val="00D6648E"/>
    <w:rsid w:val="00D664C0"/>
    <w:rsid w:val="00D66AB3"/>
    <w:rsid w:val="00D66C4D"/>
    <w:rsid w:val="00D66DE4"/>
    <w:rsid w:val="00D6726D"/>
    <w:rsid w:val="00D6742C"/>
    <w:rsid w:val="00D67817"/>
    <w:rsid w:val="00D67F2D"/>
    <w:rsid w:val="00D67F69"/>
    <w:rsid w:val="00D7058C"/>
    <w:rsid w:val="00D71629"/>
    <w:rsid w:val="00D71A26"/>
    <w:rsid w:val="00D7204B"/>
    <w:rsid w:val="00D7225A"/>
    <w:rsid w:val="00D7226B"/>
    <w:rsid w:val="00D72526"/>
    <w:rsid w:val="00D72910"/>
    <w:rsid w:val="00D72AF2"/>
    <w:rsid w:val="00D72CD8"/>
    <w:rsid w:val="00D72DF2"/>
    <w:rsid w:val="00D72E30"/>
    <w:rsid w:val="00D730DB"/>
    <w:rsid w:val="00D73183"/>
    <w:rsid w:val="00D73435"/>
    <w:rsid w:val="00D73494"/>
    <w:rsid w:val="00D73949"/>
    <w:rsid w:val="00D741F7"/>
    <w:rsid w:val="00D74316"/>
    <w:rsid w:val="00D745F1"/>
    <w:rsid w:val="00D747C5"/>
    <w:rsid w:val="00D74B9C"/>
    <w:rsid w:val="00D74C0C"/>
    <w:rsid w:val="00D74CA5"/>
    <w:rsid w:val="00D75023"/>
    <w:rsid w:val="00D758FD"/>
    <w:rsid w:val="00D75D6C"/>
    <w:rsid w:val="00D7611C"/>
    <w:rsid w:val="00D762AB"/>
    <w:rsid w:val="00D7635D"/>
    <w:rsid w:val="00D764D3"/>
    <w:rsid w:val="00D76812"/>
    <w:rsid w:val="00D769FC"/>
    <w:rsid w:val="00D76A98"/>
    <w:rsid w:val="00D76D12"/>
    <w:rsid w:val="00D76F97"/>
    <w:rsid w:val="00D77479"/>
    <w:rsid w:val="00D7776C"/>
    <w:rsid w:val="00D7791D"/>
    <w:rsid w:val="00D77CD6"/>
    <w:rsid w:val="00D8001F"/>
    <w:rsid w:val="00D800F2"/>
    <w:rsid w:val="00D803E8"/>
    <w:rsid w:val="00D80601"/>
    <w:rsid w:val="00D808A8"/>
    <w:rsid w:val="00D80A04"/>
    <w:rsid w:val="00D81AB5"/>
    <w:rsid w:val="00D81D7B"/>
    <w:rsid w:val="00D81EA5"/>
    <w:rsid w:val="00D81EC2"/>
    <w:rsid w:val="00D81FB5"/>
    <w:rsid w:val="00D821CE"/>
    <w:rsid w:val="00D822C1"/>
    <w:rsid w:val="00D823C6"/>
    <w:rsid w:val="00D833BE"/>
    <w:rsid w:val="00D837F8"/>
    <w:rsid w:val="00D83C85"/>
    <w:rsid w:val="00D83FA0"/>
    <w:rsid w:val="00D84142"/>
    <w:rsid w:val="00D84780"/>
    <w:rsid w:val="00D847A5"/>
    <w:rsid w:val="00D84811"/>
    <w:rsid w:val="00D84AAE"/>
    <w:rsid w:val="00D84CA0"/>
    <w:rsid w:val="00D84F60"/>
    <w:rsid w:val="00D854CB"/>
    <w:rsid w:val="00D85868"/>
    <w:rsid w:val="00D85EB4"/>
    <w:rsid w:val="00D86331"/>
    <w:rsid w:val="00D8650B"/>
    <w:rsid w:val="00D8675D"/>
    <w:rsid w:val="00D86862"/>
    <w:rsid w:val="00D868EB"/>
    <w:rsid w:val="00D86A49"/>
    <w:rsid w:val="00D86D4C"/>
    <w:rsid w:val="00D872BB"/>
    <w:rsid w:val="00D8754C"/>
    <w:rsid w:val="00D87757"/>
    <w:rsid w:val="00D8787A"/>
    <w:rsid w:val="00D90101"/>
    <w:rsid w:val="00D90218"/>
    <w:rsid w:val="00D90405"/>
    <w:rsid w:val="00D90456"/>
    <w:rsid w:val="00D90D21"/>
    <w:rsid w:val="00D910BF"/>
    <w:rsid w:val="00D911E1"/>
    <w:rsid w:val="00D9124A"/>
    <w:rsid w:val="00D9128F"/>
    <w:rsid w:val="00D912FE"/>
    <w:rsid w:val="00D914BE"/>
    <w:rsid w:val="00D915AB"/>
    <w:rsid w:val="00D9176E"/>
    <w:rsid w:val="00D91A2D"/>
    <w:rsid w:val="00D91C58"/>
    <w:rsid w:val="00D91C67"/>
    <w:rsid w:val="00D920AB"/>
    <w:rsid w:val="00D927CE"/>
    <w:rsid w:val="00D9297D"/>
    <w:rsid w:val="00D929A7"/>
    <w:rsid w:val="00D92CCE"/>
    <w:rsid w:val="00D9308E"/>
    <w:rsid w:val="00D93583"/>
    <w:rsid w:val="00D936F9"/>
    <w:rsid w:val="00D9373B"/>
    <w:rsid w:val="00D93C61"/>
    <w:rsid w:val="00D93FA0"/>
    <w:rsid w:val="00D944FC"/>
    <w:rsid w:val="00D949D2"/>
    <w:rsid w:val="00D94A43"/>
    <w:rsid w:val="00D950C5"/>
    <w:rsid w:val="00D957F1"/>
    <w:rsid w:val="00D959D1"/>
    <w:rsid w:val="00D960A5"/>
    <w:rsid w:val="00D96299"/>
    <w:rsid w:val="00D962CB"/>
    <w:rsid w:val="00D963B8"/>
    <w:rsid w:val="00D971DF"/>
    <w:rsid w:val="00D97494"/>
    <w:rsid w:val="00D9790A"/>
    <w:rsid w:val="00D97962"/>
    <w:rsid w:val="00D97C15"/>
    <w:rsid w:val="00DA0512"/>
    <w:rsid w:val="00DA0543"/>
    <w:rsid w:val="00DA0A13"/>
    <w:rsid w:val="00DA0AD9"/>
    <w:rsid w:val="00DA1870"/>
    <w:rsid w:val="00DA194C"/>
    <w:rsid w:val="00DA1AC6"/>
    <w:rsid w:val="00DA2051"/>
    <w:rsid w:val="00DA2247"/>
    <w:rsid w:val="00DA22B5"/>
    <w:rsid w:val="00DA2E82"/>
    <w:rsid w:val="00DA2ED3"/>
    <w:rsid w:val="00DA31E1"/>
    <w:rsid w:val="00DA335B"/>
    <w:rsid w:val="00DA33F4"/>
    <w:rsid w:val="00DA33FF"/>
    <w:rsid w:val="00DA370A"/>
    <w:rsid w:val="00DA379D"/>
    <w:rsid w:val="00DA3C1C"/>
    <w:rsid w:val="00DA3EF1"/>
    <w:rsid w:val="00DA456D"/>
    <w:rsid w:val="00DA462D"/>
    <w:rsid w:val="00DA4A08"/>
    <w:rsid w:val="00DA4E69"/>
    <w:rsid w:val="00DA5240"/>
    <w:rsid w:val="00DA5257"/>
    <w:rsid w:val="00DA52BA"/>
    <w:rsid w:val="00DA5461"/>
    <w:rsid w:val="00DA5667"/>
    <w:rsid w:val="00DA5718"/>
    <w:rsid w:val="00DA578E"/>
    <w:rsid w:val="00DA595C"/>
    <w:rsid w:val="00DA5C04"/>
    <w:rsid w:val="00DA5D38"/>
    <w:rsid w:val="00DA5D6A"/>
    <w:rsid w:val="00DA5EE2"/>
    <w:rsid w:val="00DA5FF2"/>
    <w:rsid w:val="00DA6151"/>
    <w:rsid w:val="00DA6C77"/>
    <w:rsid w:val="00DA6CBE"/>
    <w:rsid w:val="00DA6E22"/>
    <w:rsid w:val="00DA6FD1"/>
    <w:rsid w:val="00DA7571"/>
    <w:rsid w:val="00DA7598"/>
    <w:rsid w:val="00DA7996"/>
    <w:rsid w:val="00DA79F8"/>
    <w:rsid w:val="00DB0479"/>
    <w:rsid w:val="00DB085E"/>
    <w:rsid w:val="00DB0D95"/>
    <w:rsid w:val="00DB0FE2"/>
    <w:rsid w:val="00DB1559"/>
    <w:rsid w:val="00DB1A26"/>
    <w:rsid w:val="00DB1D63"/>
    <w:rsid w:val="00DB1D7C"/>
    <w:rsid w:val="00DB1DBF"/>
    <w:rsid w:val="00DB243D"/>
    <w:rsid w:val="00DB26A5"/>
    <w:rsid w:val="00DB27DE"/>
    <w:rsid w:val="00DB38F4"/>
    <w:rsid w:val="00DB41F6"/>
    <w:rsid w:val="00DB43D9"/>
    <w:rsid w:val="00DB4820"/>
    <w:rsid w:val="00DB483E"/>
    <w:rsid w:val="00DB5144"/>
    <w:rsid w:val="00DB55B1"/>
    <w:rsid w:val="00DB55C1"/>
    <w:rsid w:val="00DB5D57"/>
    <w:rsid w:val="00DB5DA9"/>
    <w:rsid w:val="00DB5E94"/>
    <w:rsid w:val="00DB602C"/>
    <w:rsid w:val="00DB60B2"/>
    <w:rsid w:val="00DB61AB"/>
    <w:rsid w:val="00DB62E5"/>
    <w:rsid w:val="00DB6482"/>
    <w:rsid w:val="00DB6CC1"/>
    <w:rsid w:val="00DB70B5"/>
    <w:rsid w:val="00DB74CD"/>
    <w:rsid w:val="00DB7559"/>
    <w:rsid w:val="00DB75EF"/>
    <w:rsid w:val="00DB7B82"/>
    <w:rsid w:val="00DB7D56"/>
    <w:rsid w:val="00DC006D"/>
    <w:rsid w:val="00DC029E"/>
    <w:rsid w:val="00DC053C"/>
    <w:rsid w:val="00DC05C9"/>
    <w:rsid w:val="00DC08AD"/>
    <w:rsid w:val="00DC0DE3"/>
    <w:rsid w:val="00DC0FA2"/>
    <w:rsid w:val="00DC0FE7"/>
    <w:rsid w:val="00DC1447"/>
    <w:rsid w:val="00DC1505"/>
    <w:rsid w:val="00DC15D4"/>
    <w:rsid w:val="00DC1629"/>
    <w:rsid w:val="00DC16CC"/>
    <w:rsid w:val="00DC1B50"/>
    <w:rsid w:val="00DC2292"/>
    <w:rsid w:val="00DC259E"/>
    <w:rsid w:val="00DC2A68"/>
    <w:rsid w:val="00DC3074"/>
    <w:rsid w:val="00DC34DC"/>
    <w:rsid w:val="00DC35D7"/>
    <w:rsid w:val="00DC3C17"/>
    <w:rsid w:val="00DC42B5"/>
    <w:rsid w:val="00DC4480"/>
    <w:rsid w:val="00DC4BA5"/>
    <w:rsid w:val="00DC4D26"/>
    <w:rsid w:val="00DC5621"/>
    <w:rsid w:val="00DC57C6"/>
    <w:rsid w:val="00DC5888"/>
    <w:rsid w:val="00DC60FB"/>
    <w:rsid w:val="00DC6164"/>
    <w:rsid w:val="00DC6358"/>
    <w:rsid w:val="00DC6513"/>
    <w:rsid w:val="00DC6537"/>
    <w:rsid w:val="00DC694E"/>
    <w:rsid w:val="00DC6CF5"/>
    <w:rsid w:val="00DC6DC8"/>
    <w:rsid w:val="00DC722F"/>
    <w:rsid w:val="00DC7587"/>
    <w:rsid w:val="00DC7591"/>
    <w:rsid w:val="00DC7FEC"/>
    <w:rsid w:val="00DD0740"/>
    <w:rsid w:val="00DD07E0"/>
    <w:rsid w:val="00DD1067"/>
    <w:rsid w:val="00DD1422"/>
    <w:rsid w:val="00DD1AA6"/>
    <w:rsid w:val="00DD1B29"/>
    <w:rsid w:val="00DD211D"/>
    <w:rsid w:val="00DD2277"/>
    <w:rsid w:val="00DD2306"/>
    <w:rsid w:val="00DD244B"/>
    <w:rsid w:val="00DD262F"/>
    <w:rsid w:val="00DD267A"/>
    <w:rsid w:val="00DD2917"/>
    <w:rsid w:val="00DD29D0"/>
    <w:rsid w:val="00DD314E"/>
    <w:rsid w:val="00DD3346"/>
    <w:rsid w:val="00DD37C6"/>
    <w:rsid w:val="00DD39A3"/>
    <w:rsid w:val="00DD3C44"/>
    <w:rsid w:val="00DD3C6F"/>
    <w:rsid w:val="00DD3C72"/>
    <w:rsid w:val="00DD3F86"/>
    <w:rsid w:val="00DD428B"/>
    <w:rsid w:val="00DD42A6"/>
    <w:rsid w:val="00DD4847"/>
    <w:rsid w:val="00DD4BF1"/>
    <w:rsid w:val="00DD4C4D"/>
    <w:rsid w:val="00DD5135"/>
    <w:rsid w:val="00DD5861"/>
    <w:rsid w:val="00DD5B49"/>
    <w:rsid w:val="00DD5BA0"/>
    <w:rsid w:val="00DD5CF4"/>
    <w:rsid w:val="00DD5DC5"/>
    <w:rsid w:val="00DD66F5"/>
    <w:rsid w:val="00DD66FA"/>
    <w:rsid w:val="00DD76E5"/>
    <w:rsid w:val="00DD7A6D"/>
    <w:rsid w:val="00DD7CA6"/>
    <w:rsid w:val="00DE0091"/>
    <w:rsid w:val="00DE02D9"/>
    <w:rsid w:val="00DE0408"/>
    <w:rsid w:val="00DE06C1"/>
    <w:rsid w:val="00DE06E8"/>
    <w:rsid w:val="00DE074D"/>
    <w:rsid w:val="00DE079A"/>
    <w:rsid w:val="00DE114F"/>
    <w:rsid w:val="00DE1386"/>
    <w:rsid w:val="00DE1C28"/>
    <w:rsid w:val="00DE229C"/>
    <w:rsid w:val="00DE2614"/>
    <w:rsid w:val="00DE2839"/>
    <w:rsid w:val="00DE3133"/>
    <w:rsid w:val="00DE32AC"/>
    <w:rsid w:val="00DE342F"/>
    <w:rsid w:val="00DE377F"/>
    <w:rsid w:val="00DE3844"/>
    <w:rsid w:val="00DE391B"/>
    <w:rsid w:val="00DE3C4D"/>
    <w:rsid w:val="00DE3DF1"/>
    <w:rsid w:val="00DE3FAC"/>
    <w:rsid w:val="00DE4252"/>
    <w:rsid w:val="00DE430A"/>
    <w:rsid w:val="00DE444E"/>
    <w:rsid w:val="00DE445A"/>
    <w:rsid w:val="00DE45A4"/>
    <w:rsid w:val="00DE53BC"/>
    <w:rsid w:val="00DE54B2"/>
    <w:rsid w:val="00DE5753"/>
    <w:rsid w:val="00DE5829"/>
    <w:rsid w:val="00DE5B59"/>
    <w:rsid w:val="00DE6327"/>
    <w:rsid w:val="00DE64BF"/>
    <w:rsid w:val="00DE68AA"/>
    <w:rsid w:val="00DE6982"/>
    <w:rsid w:val="00DE6C09"/>
    <w:rsid w:val="00DE7270"/>
    <w:rsid w:val="00DE7AFE"/>
    <w:rsid w:val="00DE7C52"/>
    <w:rsid w:val="00DE7D26"/>
    <w:rsid w:val="00DE7D63"/>
    <w:rsid w:val="00DE7EBF"/>
    <w:rsid w:val="00DE7FD1"/>
    <w:rsid w:val="00DF007B"/>
    <w:rsid w:val="00DF060B"/>
    <w:rsid w:val="00DF07CB"/>
    <w:rsid w:val="00DF087A"/>
    <w:rsid w:val="00DF0A6E"/>
    <w:rsid w:val="00DF0DE8"/>
    <w:rsid w:val="00DF1128"/>
    <w:rsid w:val="00DF1167"/>
    <w:rsid w:val="00DF14E9"/>
    <w:rsid w:val="00DF15EB"/>
    <w:rsid w:val="00DF162B"/>
    <w:rsid w:val="00DF1700"/>
    <w:rsid w:val="00DF18B6"/>
    <w:rsid w:val="00DF1DB6"/>
    <w:rsid w:val="00DF221D"/>
    <w:rsid w:val="00DF23C4"/>
    <w:rsid w:val="00DF23DC"/>
    <w:rsid w:val="00DF25E4"/>
    <w:rsid w:val="00DF2D59"/>
    <w:rsid w:val="00DF2E7C"/>
    <w:rsid w:val="00DF3087"/>
    <w:rsid w:val="00DF3A82"/>
    <w:rsid w:val="00DF3B72"/>
    <w:rsid w:val="00DF3BC0"/>
    <w:rsid w:val="00DF3F19"/>
    <w:rsid w:val="00DF414B"/>
    <w:rsid w:val="00DF54C2"/>
    <w:rsid w:val="00DF5C6A"/>
    <w:rsid w:val="00DF5C72"/>
    <w:rsid w:val="00DF5D8F"/>
    <w:rsid w:val="00DF5E04"/>
    <w:rsid w:val="00DF608F"/>
    <w:rsid w:val="00DF60B6"/>
    <w:rsid w:val="00DF62CB"/>
    <w:rsid w:val="00DF6355"/>
    <w:rsid w:val="00DF650E"/>
    <w:rsid w:val="00DF6D87"/>
    <w:rsid w:val="00DF74CF"/>
    <w:rsid w:val="00DF75A0"/>
    <w:rsid w:val="00DF785F"/>
    <w:rsid w:val="00DF7D9B"/>
    <w:rsid w:val="00E0013A"/>
    <w:rsid w:val="00E0027F"/>
    <w:rsid w:val="00E00698"/>
    <w:rsid w:val="00E00712"/>
    <w:rsid w:val="00E00B6E"/>
    <w:rsid w:val="00E00C41"/>
    <w:rsid w:val="00E01116"/>
    <w:rsid w:val="00E013AA"/>
    <w:rsid w:val="00E020C9"/>
    <w:rsid w:val="00E021DC"/>
    <w:rsid w:val="00E022C0"/>
    <w:rsid w:val="00E025AE"/>
    <w:rsid w:val="00E0291D"/>
    <w:rsid w:val="00E0307A"/>
    <w:rsid w:val="00E03158"/>
    <w:rsid w:val="00E0339A"/>
    <w:rsid w:val="00E038BE"/>
    <w:rsid w:val="00E0435A"/>
    <w:rsid w:val="00E0461B"/>
    <w:rsid w:val="00E04874"/>
    <w:rsid w:val="00E04A9C"/>
    <w:rsid w:val="00E04F53"/>
    <w:rsid w:val="00E0508D"/>
    <w:rsid w:val="00E05188"/>
    <w:rsid w:val="00E05426"/>
    <w:rsid w:val="00E0558D"/>
    <w:rsid w:val="00E05977"/>
    <w:rsid w:val="00E05A53"/>
    <w:rsid w:val="00E05AE0"/>
    <w:rsid w:val="00E061CD"/>
    <w:rsid w:val="00E064BE"/>
    <w:rsid w:val="00E0673B"/>
    <w:rsid w:val="00E06B64"/>
    <w:rsid w:val="00E06BE2"/>
    <w:rsid w:val="00E0748B"/>
    <w:rsid w:val="00E07A2F"/>
    <w:rsid w:val="00E07D7C"/>
    <w:rsid w:val="00E07FD4"/>
    <w:rsid w:val="00E102EB"/>
    <w:rsid w:val="00E10838"/>
    <w:rsid w:val="00E10AB5"/>
    <w:rsid w:val="00E11096"/>
    <w:rsid w:val="00E116ED"/>
    <w:rsid w:val="00E1190F"/>
    <w:rsid w:val="00E11CD6"/>
    <w:rsid w:val="00E12562"/>
    <w:rsid w:val="00E1296A"/>
    <w:rsid w:val="00E12C84"/>
    <w:rsid w:val="00E12CCC"/>
    <w:rsid w:val="00E13632"/>
    <w:rsid w:val="00E13F86"/>
    <w:rsid w:val="00E143DC"/>
    <w:rsid w:val="00E1442B"/>
    <w:rsid w:val="00E14550"/>
    <w:rsid w:val="00E147E0"/>
    <w:rsid w:val="00E14DEA"/>
    <w:rsid w:val="00E14EB0"/>
    <w:rsid w:val="00E15468"/>
    <w:rsid w:val="00E15C27"/>
    <w:rsid w:val="00E15C72"/>
    <w:rsid w:val="00E15DE9"/>
    <w:rsid w:val="00E16000"/>
    <w:rsid w:val="00E162CB"/>
    <w:rsid w:val="00E1686C"/>
    <w:rsid w:val="00E16ABE"/>
    <w:rsid w:val="00E16B44"/>
    <w:rsid w:val="00E16B9E"/>
    <w:rsid w:val="00E16C69"/>
    <w:rsid w:val="00E16E25"/>
    <w:rsid w:val="00E16EE8"/>
    <w:rsid w:val="00E174A3"/>
    <w:rsid w:val="00E176D1"/>
    <w:rsid w:val="00E176FF"/>
    <w:rsid w:val="00E177ED"/>
    <w:rsid w:val="00E179B8"/>
    <w:rsid w:val="00E204EF"/>
    <w:rsid w:val="00E205FC"/>
    <w:rsid w:val="00E20ABF"/>
    <w:rsid w:val="00E21487"/>
    <w:rsid w:val="00E2171B"/>
    <w:rsid w:val="00E2207F"/>
    <w:rsid w:val="00E226D7"/>
    <w:rsid w:val="00E22A2F"/>
    <w:rsid w:val="00E230DC"/>
    <w:rsid w:val="00E232B7"/>
    <w:rsid w:val="00E235B4"/>
    <w:rsid w:val="00E2382C"/>
    <w:rsid w:val="00E23F2C"/>
    <w:rsid w:val="00E241CF"/>
    <w:rsid w:val="00E24548"/>
    <w:rsid w:val="00E246EC"/>
    <w:rsid w:val="00E24923"/>
    <w:rsid w:val="00E24A22"/>
    <w:rsid w:val="00E24E22"/>
    <w:rsid w:val="00E250AE"/>
    <w:rsid w:val="00E2582C"/>
    <w:rsid w:val="00E25989"/>
    <w:rsid w:val="00E25C36"/>
    <w:rsid w:val="00E25F6E"/>
    <w:rsid w:val="00E263EC"/>
    <w:rsid w:val="00E26414"/>
    <w:rsid w:val="00E2658A"/>
    <w:rsid w:val="00E26830"/>
    <w:rsid w:val="00E26AAC"/>
    <w:rsid w:val="00E26BF5"/>
    <w:rsid w:val="00E26E5C"/>
    <w:rsid w:val="00E2700F"/>
    <w:rsid w:val="00E2745F"/>
    <w:rsid w:val="00E3009A"/>
    <w:rsid w:val="00E30108"/>
    <w:rsid w:val="00E303E5"/>
    <w:rsid w:val="00E30541"/>
    <w:rsid w:val="00E309BE"/>
    <w:rsid w:val="00E30A83"/>
    <w:rsid w:val="00E311EC"/>
    <w:rsid w:val="00E31E8A"/>
    <w:rsid w:val="00E321C6"/>
    <w:rsid w:val="00E3260C"/>
    <w:rsid w:val="00E32753"/>
    <w:rsid w:val="00E32CAE"/>
    <w:rsid w:val="00E32E13"/>
    <w:rsid w:val="00E334C3"/>
    <w:rsid w:val="00E337B2"/>
    <w:rsid w:val="00E33848"/>
    <w:rsid w:val="00E33CFA"/>
    <w:rsid w:val="00E33F0A"/>
    <w:rsid w:val="00E34173"/>
    <w:rsid w:val="00E3421D"/>
    <w:rsid w:val="00E34B21"/>
    <w:rsid w:val="00E34B26"/>
    <w:rsid w:val="00E34BE0"/>
    <w:rsid w:val="00E35135"/>
    <w:rsid w:val="00E35479"/>
    <w:rsid w:val="00E35516"/>
    <w:rsid w:val="00E35634"/>
    <w:rsid w:val="00E35AFB"/>
    <w:rsid w:val="00E35C8F"/>
    <w:rsid w:val="00E360E9"/>
    <w:rsid w:val="00E36858"/>
    <w:rsid w:val="00E36B67"/>
    <w:rsid w:val="00E36F24"/>
    <w:rsid w:val="00E36F26"/>
    <w:rsid w:val="00E371E3"/>
    <w:rsid w:val="00E372D9"/>
    <w:rsid w:val="00E37485"/>
    <w:rsid w:val="00E375CE"/>
    <w:rsid w:val="00E3784E"/>
    <w:rsid w:val="00E37AC0"/>
    <w:rsid w:val="00E37AEA"/>
    <w:rsid w:val="00E37B2D"/>
    <w:rsid w:val="00E40446"/>
    <w:rsid w:val="00E404C4"/>
    <w:rsid w:val="00E407A4"/>
    <w:rsid w:val="00E416D1"/>
    <w:rsid w:val="00E41808"/>
    <w:rsid w:val="00E41B80"/>
    <w:rsid w:val="00E41C16"/>
    <w:rsid w:val="00E41C1F"/>
    <w:rsid w:val="00E41EA7"/>
    <w:rsid w:val="00E41EAC"/>
    <w:rsid w:val="00E41EE8"/>
    <w:rsid w:val="00E42110"/>
    <w:rsid w:val="00E4242A"/>
    <w:rsid w:val="00E42F93"/>
    <w:rsid w:val="00E431CC"/>
    <w:rsid w:val="00E4341B"/>
    <w:rsid w:val="00E439A3"/>
    <w:rsid w:val="00E43A12"/>
    <w:rsid w:val="00E43C2C"/>
    <w:rsid w:val="00E43CB7"/>
    <w:rsid w:val="00E43EBA"/>
    <w:rsid w:val="00E4430C"/>
    <w:rsid w:val="00E44387"/>
    <w:rsid w:val="00E44675"/>
    <w:rsid w:val="00E44BDD"/>
    <w:rsid w:val="00E455AA"/>
    <w:rsid w:val="00E457A8"/>
    <w:rsid w:val="00E45809"/>
    <w:rsid w:val="00E45931"/>
    <w:rsid w:val="00E46041"/>
    <w:rsid w:val="00E4637B"/>
    <w:rsid w:val="00E4652F"/>
    <w:rsid w:val="00E46D3F"/>
    <w:rsid w:val="00E46F6F"/>
    <w:rsid w:val="00E46FAC"/>
    <w:rsid w:val="00E47236"/>
    <w:rsid w:val="00E47570"/>
    <w:rsid w:val="00E476DA"/>
    <w:rsid w:val="00E47AF1"/>
    <w:rsid w:val="00E47B68"/>
    <w:rsid w:val="00E47CDD"/>
    <w:rsid w:val="00E47D49"/>
    <w:rsid w:val="00E50593"/>
    <w:rsid w:val="00E50CF3"/>
    <w:rsid w:val="00E510BA"/>
    <w:rsid w:val="00E513EC"/>
    <w:rsid w:val="00E51405"/>
    <w:rsid w:val="00E5174F"/>
    <w:rsid w:val="00E518C7"/>
    <w:rsid w:val="00E520F1"/>
    <w:rsid w:val="00E524D5"/>
    <w:rsid w:val="00E52730"/>
    <w:rsid w:val="00E53147"/>
    <w:rsid w:val="00E531B3"/>
    <w:rsid w:val="00E53209"/>
    <w:rsid w:val="00E5352D"/>
    <w:rsid w:val="00E53599"/>
    <w:rsid w:val="00E53848"/>
    <w:rsid w:val="00E5415A"/>
    <w:rsid w:val="00E541F9"/>
    <w:rsid w:val="00E54AA6"/>
    <w:rsid w:val="00E54B03"/>
    <w:rsid w:val="00E565B8"/>
    <w:rsid w:val="00E567E0"/>
    <w:rsid w:val="00E56827"/>
    <w:rsid w:val="00E56D70"/>
    <w:rsid w:val="00E57B15"/>
    <w:rsid w:val="00E57C22"/>
    <w:rsid w:val="00E6087A"/>
    <w:rsid w:val="00E609BA"/>
    <w:rsid w:val="00E61390"/>
    <w:rsid w:val="00E618A7"/>
    <w:rsid w:val="00E622F9"/>
    <w:rsid w:val="00E626F7"/>
    <w:rsid w:val="00E627FB"/>
    <w:rsid w:val="00E628E0"/>
    <w:rsid w:val="00E62BEB"/>
    <w:rsid w:val="00E62DDB"/>
    <w:rsid w:val="00E63237"/>
    <w:rsid w:val="00E634C5"/>
    <w:rsid w:val="00E638C2"/>
    <w:rsid w:val="00E63B7F"/>
    <w:rsid w:val="00E63D87"/>
    <w:rsid w:val="00E63E0A"/>
    <w:rsid w:val="00E64804"/>
    <w:rsid w:val="00E64926"/>
    <w:rsid w:val="00E64C7F"/>
    <w:rsid w:val="00E64E3F"/>
    <w:rsid w:val="00E64FB3"/>
    <w:rsid w:val="00E65233"/>
    <w:rsid w:val="00E6527D"/>
    <w:rsid w:val="00E65BD9"/>
    <w:rsid w:val="00E65D38"/>
    <w:rsid w:val="00E66293"/>
    <w:rsid w:val="00E662CF"/>
    <w:rsid w:val="00E66558"/>
    <w:rsid w:val="00E66616"/>
    <w:rsid w:val="00E667BB"/>
    <w:rsid w:val="00E66B91"/>
    <w:rsid w:val="00E66F16"/>
    <w:rsid w:val="00E67034"/>
    <w:rsid w:val="00E67046"/>
    <w:rsid w:val="00E6719E"/>
    <w:rsid w:val="00E6743B"/>
    <w:rsid w:val="00E67609"/>
    <w:rsid w:val="00E676D9"/>
    <w:rsid w:val="00E678E3"/>
    <w:rsid w:val="00E67C19"/>
    <w:rsid w:val="00E67FEE"/>
    <w:rsid w:val="00E700E2"/>
    <w:rsid w:val="00E702A3"/>
    <w:rsid w:val="00E70641"/>
    <w:rsid w:val="00E71636"/>
    <w:rsid w:val="00E7165A"/>
    <w:rsid w:val="00E716C0"/>
    <w:rsid w:val="00E71749"/>
    <w:rsid w:val="00E717C2"/>
    <w:rsid w:val="00E71A6B"/>
    <w:rsid w:val="00E72084"/>
    <w:rsid w:val="00E724CE"/>
    <w:rsid w:val="00E724ED"/>
    <w:rsid w:val="00E73103"/>
    <w:rsid w:val="00E73316"/>
    <w:rsid w:val="00E73411"/>
    <w:rsid w:val="00E7353E"/>
    <w:rsid w:val="00E73A64"/>
    <w:rsid w:val="00E73CBF"/>
    <w:rsid w:val="00E73EBD"/>
    <w:rsid w:val="00E74576"/>
    <w:rsid w:val="00E74843"/>
    <w:rsid w:val="00E74A91"/>
    <w:rsid w:val="00E74FEF"/>
    <w:rsid w:val="00E75B55"/>
    <w:rsid w:val="00E75EE0"/>
    <w:rsid w:val="00E760B4"/>
    <w:rsid w:val="00E768A6"/>
    <w:rsid w:val="00E76964"/>
    <w:rsid w:val="00E76BAB"/>
    <w:rsid w:val="00E76F90"/>
    <w:rsid w:val="00E772A1"/>
    <w:rsid w:val="00E77405"/>
    <w:rsid w:val="00E774B3"/>
    <w:rsid w:val="00E7771C"/>
    <w:rsid w:val="00E77B61"/>
    <w:rsid w:val="00E77C48"/>
    <w:rsid w:val="00E77D8C"/>
    <w:rsid w:val="00E77F48"/>
    <w:rsid w:val="00E7B572"/>
    <w:rsid w:val="00E80248"/>
    <w:rsid w:val="00E80482"/>
    <w:rsid w:val="00E80504"/>
    <w:rsid w:val="00E807C2"/>
    <w:rsid w:val="00E80A6D"/>
    <w:rsid w:val="00E80B14"/>
    <w:rsid w:val="00E813C4"/>
    <w:rsid w:val="00E817F5"/>
    <w:rsid w:val="00E81842"/>
    <w:rsid w:val="00E819F4"/>
    <w:rsid w:val="00E81A7F"/>
    <w:rsid w:val="00E81C07"/>
    <w:rsid w:val="00E81EC8"/>
    <w:rsid w:val="00E8207F"/>
    <w:rsid w:val="00E82750"/>
    <w:rsid w:val="00E82D46"/>
    <w:rsid w:val="00E82D60"/>
    <w:rsid w:val="00E8302E"/>
    <w:rsid w:val="00E83073"/>
    <w:rsid w:val="00E831BD"/>
    <w:rsid w:val="00E832CD"/>
    <w:rsid w:val="00E837D8"/>
    <w:rsid w:val="00E83814"/>
    <w:rsid w:val="00E838F1"/>
    <w:rsid w:val="00E84593"/>
    <w:rsid w:val="00E846AF"/>
    <w:rsid w:val="00E84A01"/>
    <w:rsid w:val="00E85036"/>
    <w:rsid w:val="00E851AD"/>
    <w:rsid w:val="00E85822"/>
    <w:rsid w:val="00E85948"/>
    <w:rsid w:val="00E867BB"/>
    <w:rsid w:val="00E86C9D"/>
    <w:rsid w:val="00E871A1"/>
    <w:rsid w:val="00E8734F"/>
    <w:rsid w:val="00E874E6"/>
    <w:rsid w:val="00E875C1"/>
    <w:rsid w:val="00E87710"/>
    <w:rsid w:val="00E8791E"/>
    <w:rsid w:val="00E87C00"/>
    <w:rsid w:val="00E87C4A"/>
    <w:rsid w:val="00E87D25"/>
    <w:rsid w:val="00E90354"/>
    <w:rsid w:val="00E907C5"/>
    <w:rsid w:val="00E907ED"/>
    <w:rsid w:val="00E9135B"/>
    <w:rsid w:val="00E9146D"/>
    <w:rsid w:val="00E91723"/>
    <w:rsid w:val="00E9191C"/>
    <w:rsid w:val="00E91B34"/>
    <w:rsid w:val="00E91F92"/>
    <w:rsid w:val="00E925DE"/>
    <w:rsid w:val="00E92EBA"/>
    <w:rsid w:val="00E92F28"/>
    <w:rsid w:val="00E9317C"/>
    <w:rsid w:val="00E934F4"/>
    <w:rsid w:val="00E9375C"/>
    <w:rsid w:val="00E93919"/>
    <w:rsid w:val="00E9396A"/>
    <w:rsid w:val="00E93A0C"/>
    <w:rsid w:val="00E94100"/>
    <w:rsid w:val="00E94235"/>
    <w:rsid w:val="00E94C58"/>
    <w:rsid w:val="00E94CB2"/>
    <w:rsid w:val="00E9542B"/>
    <w:rsid w:val="00E9543A"/>
    <w:rsid w:val="00E9575A"/>
    <w:rsid w:val="00E9595C"/>
    <w:rsid w:val="00E959A5"/>
    <w:rsid w:val="00E960D0"/>
    <w:rsid w:val="00E9640E"/>
    <w:rsid w:val="00E96883"/>
    <w:rsid w:val="00E9710E"/>
    <w:rsid w:val="00E971AD"/>
    <w:rsid w:val="00E974C1"/>
    <w:rsid w:val="00E9782E"/>
    <w:rsid w:val="00E97AFC"/>
    <w:rsid w:val="00E97C21"/>
    <w:rsid w:val="00EA02EB"/>
    <w:rsid w:val="00EA056D"/>
    <w:rsid w:val="00EA0846"/>
    <w:rsid w:val="00EA0A91"/>
    <w:rsid w:val="00EA0D24"/>
    <w:rsid w:val="00EA237D"/>
    <w:rsid w:val="00EA23BF"/>
    <w:rsid w:val="00EA252B"/>
    <w:rsid w:val="00EA27AA"/>
    <w:rsid w:val="00EA288A"/>
    <w:rsid w:val="00EA2F17"/>
    <w:rsid w:val="00EA3049"/>
    <w:rsid w:val="00EA3169"/>
    <w:rsid w:val="00EA3206"/>
    <w:rsid w:val="00EA345D"/>
    <w:rsid w:val="00EA3CFE"/>
    <w:rsid w:val="00EA3EEC"/>
    <w:rsid w:val="00EA3F60"/>
    <w:rsid w:val="00EA46EB"/>
    <w:rsid w:val="00EA47B8"/>
    <w:rsid w:val="00EA4886"/>
    <w:rsid w:val="00EA4945"/>
    <w:rsid w:val="00EA49B6"/>
    <w:rsid w:val="00EA4D95"/>
    <w:rsid w:val="00EA5250"/>
    <w:rsid w:val="00EA53A3"/>
    <w:rsid w:val="00EA568E"/>
    <w:rsid w:val="00EA5AB0"/>
    <w:rsid w:val="00EA655A"/>
    <w:rsid w:val="00EA6BF1"/>
    <w:rsid w:val="00EA6E39"/>
    <w:rsid w:val="00EA6E93"/>
    <w:rsid w:val="00EA6F1F"/>
    <w:rsid w:val="00EA70EB"/>
    <w:rsid w:val="00EA799C"/>
    <w:rsid w:val="00EA7BA5"/>
    <w:rsid w:val="00EA7F6F"/>
    <w:rsid w:val="00EB043E"/>
    <w:rsid w:val="00EB0568"/>
    <w:rsid w:val="00EB0728"/>
    <w:rsid w:val="00EB072F"/>
    <w:rsid w:val="00EB09B2"/>
    <w:rsid w:val="00EB0A45"/>
    <w:rsid w:val="00EB12D2"/>
    <w:rsid w:val="00EB1F48"/>
    <w:rsid w:val="00EB227B"/>
    <w:rsid w:val="00EB2CFC"/>
    <w:rsid w:val="00EB2D19"/>
    <w:rsid w:val="00EB3533"/>
    <w:rsid w:val="00EB36E2"/>
    <w:rsid w:val="00EB37BA"/>
    <w:rsid w:val="00EB3916"/>
    <w:rsid w:val="00EB4325"/>
    <w:rsid w:val="00EB4332"/>
    <w:rsid w:val="00EB43EA"/>
    <w:rsid w:val="00EB48FF"/>
    <w:rsid w:val="00EB49A5"/>
    <w:rsid w:val="00EB4A10"/>
    <w:rsid w:val="00EB521E"/>
    <w:rsid w:val="00EB558F"/>
    <w:rsid w:val="00EB5686"/>
    <w:rsid w:val="00EB5A34"/>
    <w:rsid w:val="00EB5DF0"/>
    <w:rsid w:val="00EB60B5"/>
    <w:rsid w:val="00EB62F9"/>
    <w:rsid w:val="00EB74FF"/>
    <w:rsid w:val="00EB7903"/>
    <w:rsid w:val="00EB792C"/>
    <w:rsid w:val="00EB7A00"/>
    <w:rsid w:val="00EB7B5F"/>
    <w:rsid w:val="00EB7C4F"/>
    <w:rsid w:val="00EC029B"/>
    <w:rsid w:val="00EC0810"/>
    <w:rsid w:val="00EC0FC5"/>
    <w:rsid w:val="00EC123E"/>
    <w:rsid w:val="00EC14A6"/>
    <w:rsid w:val="00EC1644"/>
    <w:rsid w:val="00EC1761"/>
    <w:rsid w:val="00EC1783"/>
    <w:rsid w:val="00EC1A0C"/>
    <w:rsid w:val="00EC2072"/>
    <w:rsid w:val="00EC20AE"/>
    <w:rsid w:val="00EC25C7"/>
    <w:rsid w:val="00EC3217"/>
    <w:rsid w:val="00EC35AA"/>
    <w:rsid w:val="00EC3EBC"/>
    <w:rsid w:val="00EC4018"/>
    <w:rsid w:val="00EC4023"/>
    <w:rsid w:val="00EC4AE2"/>
    <w:rsid w:val="00EC4C32"/>
    <w:rsid w:val="00EC4D0F"/>
    <w:rsid w:val="00EC4DD7"/>
    <w:rsid w:val="00EC4E6B"/>
    <w:rsid w:val="00EC4FAB"/>
    <w:rsid w:val="00EC534C"/>
    <w:rsid w:val="00EC54FC"/>
    <w:rsid w:val="00EC566A"/>
    <w:rsid w:val="00EC5A16"/>
    <w:rsid w:val="00EC5BEA"/>
    <w:rsid w:val="00EC5D66"/>
    <w:rsid w:val="00EC605A"/>
    <w:rsid w:val="00EC64A6"/>
    <w:rsid w:val="00EC6E2F"/>
    <w:rsid w:val="00EC7294"/>
    <w:rsid w:val="00EC785B"/>
    <w:rsid w:val="00EC78F4"/>
    <w:rsid w:val="00EC791E"/>
    <w:rsid w:val="00EC7B78"/>
    <w:rsid w:val="00EC7DC3"/>
    <w:rsid w:val="00ED0130"/>
    <w:rsid w:val="00ED08C7"/>
    <w:rsid w:val="00ED08EE"/>
    <w:rsid w:val="00ED092C"/>
    <w:rsid w:val="00ED0F4C"/>
    <w:rsid w:val="00ED1583"/>
    <w:rsid w:val="00ED19FF"/>
    <w:rsid w:val="00ED1AC5"/>
    <w:rsid w:val="00ED21D8"/>
    <w:rsid w:val="00ED2251"/>
    <w:rsid w:val="00ED249C"/>
    <w:rsid w:val="00ED2821"/>
    <w:rsid w:val="00ED3066"/>
    <w:rsid w:val="00ED3360"/>
    <w:rsid w:val="00ED3545"/>
    <w:rsid w:val="00ED359A"/>
    <w:rsid w:val="00ED35DE"/>
    <w:rsid w:val="00ED382A"/>
    <w:rsid w:val="00ED395B"/>
    <w:rsid w:val="00ED398F"/>
    <w:rsid w:val="00ED3DCD"/>
    <w:rsid w:val="00ED4030"/>
    <w:rsid w:val="00ED4189"/>
    <w:rsid w:val="00ED4480"/>
    <w:rsid w:val="00ED49A4"/>
    <w:rsid w:val="00ED4B44"/>
    <w:rsid w:val="00ED5188"/>
    <w:rsid w:val="00ED5843"/>
    <w:rsid w:val="00ED5AF5"/>
    <w:rsid w:val="00ED5C50"/>
    <w:rsid w:val="00ED5EC1"/>
    <w:rsid w:val="00ED6526"/>
    <w:rsid w:val="00ED672B"/>
    <w:rsid w:val="00ED6AA5"/>
    <w:rsid w:val="00ED6D10"/>
    <w:rsid w:val="00ED71D6"/>
    <w:rsid w:val="00ED798F"/>
    <w:rsid w:val="00ED7BE4"/>
    <w:rsid w:val="00ED7E4E"/>
    <w:rsid w:val="00EE00C0"/>
    <w:rsid w:val="00EE0147"/>
    <w:rsid w:val="00EE04FB"/>
    <w:rsid w:val="00EE0898"/>
    <w:rsid w:val="00EE0E6D"/>
    <w:rsid w:val="00EE0F0B"/>
    <w:rsid w:val="00EE0FE5"/>
    <w:rsid w:val="00EE1265"/>
    <w:rsid w:val="00EE1B73"/>
    <w:rsid w:val="00EE1EC5"/>
    <w:rsid w:val="00EE216F"/>
    <w:rsid w:val="00EE234C"/>
    <w:rsid w:val="00EE237F"/>
    <w:rsid w:val="00EE2413"/>
    <w:rsid w:val="00EE2689"/>
    <w:rsid w:val="00EE28F3"/>
    <w:rsid w:val="00EE2A74"/>
    <w:rsid w:val="00EE2BE5"/>
    <w:rsid w:val="00EE2F3D"/>
    <w:rsid w:val="00EE31E3"/>
    <w:rsid w:val="00EE3710"/>
    <w:rsid w:val="00EE3771"/>
    <w:rsid w:val="00EE3788"/>
    <w:rsid w:val="00EE37C3"/>
    <w:rsid w:val="00EE411A"/>
    <w:rsid w:val="00EE4206"/>
    <w:rsid w:val="00EE42E5"/>
    <w:rsid w:val="00EE4440"/>
    <w:rsid w:val="00EE45D8"/>
    <w:rsid w:val="00EE4AF1"/>
    <w:rsid w:val="00EE54FC"/>
    <w:rsid w:val="00EE56EF"/>
    <w:rsid w:val="00EE5724"/>
    <w:rsid w:val="00EE57F7"/>
    <w:rsid w:val="00EE59E3"/>
    <w:rsid w:val="00EE6004"/>
    <w:rsid w:val="00EE60D1"/>
    <w:rsid w:val="00EE62B9"/>
    <w:rsid w:val="00EE63A2"/>
    <w:rsid w:val="00EE6748"/>
    <w:rsid w:val="00EE6752"/>
    <w:rsid w:val="00EE6D1E"/>
    <w:rsid w:val="00EE6E3B"/>
    <w:rsid w:val="00EE7023"/>
    <w:rsid w:val="00EE7290"/>
    <w:rsid w:val="00EE7375"/>
    <w:rsid w:val="00EE742E"/>
    <w:rsid w:val="00EE746A"/>
    <w:rsid w:val="00EE78CB"/>
    <w:rsid w:val="00EE7982"/>
    <w:rsid w:val="00EE7D4E"/>
    <w:rsid w:val="00EE7FF5"/>
    <w:rsid w:val="00EF04D4"/>
    <w:rsid w:val="00EF084A"/>
    <w:rsid w:val="00EF0AA1"/>
    <w:rsid w:val="00EF1983"/>
    <w:rsid w:val="00EF19A6"/>
    <w:rsid w:val="00EF1C78"/>
    <w:rsid w:val="00EF2594"/>
    <w:rsid w:val="00EF3097"/>
    <w:rsid w:val="00EF3407"/>
    <w:rsid w:val="00EF35EB"/>
    <w:rsid w:val="00EF37B8"/>
    <w:rsid w:val="00EF414B"/>
    <w:rsid w:val="00EF42D3"/>
    <w:rsid w:val="00EF463E"/>
    <w:rsid w:val="00EF469D"/>
    <w:rsid w:val="00EF474F"/>
    <w:rsid w:val="00EF4900"/>
    <w:rsid w:val="00EF51EA"/>
    <w:rsid w:val="00EF52C5"/>
    <w:rsid w:val="00EF56B9"/>
    <w:rsid w:val="00EF5804"/>
    <w:rsid w:val="00EF5D43"/>
    <w:rsid w:val="00EF62B8"/>
    <w:rsid w:val="00EF63AF"/>
    <w:rsid w:val="00EF6B09"/>
    <w:rsid w:val="00EF6BB0"/>
    <w:rsid w:val="00EF6E85"/>
    <w:rsid w:val="00EF6F97"/>
    <w:rsid w:val="00EF7BBB"/>
    <w:rsid w:val="00F00461"/>
    <w:rsid w:val="00F0086A"/>
    <w:rsid w:val="00F009E9"/>
    <w:rsid w:val="00F00C46"/>
    <w:rsid w:val="00F00E8E"/>
    <w:rsid w:val="00F0145B"/>
    <w:rsid w:val="00F019BE"/>
    <w:rsid w:val="00F02133"/>
    <w:rsid w:val="00F02195"/>
    <w:rsid w:val="00F029F0"/>
    <w:rsid w:val="00F031D6"/>
    <w:rsid w:val="00F0334D"/>
    <w:rsid w:val="00F03441"/>
    <w:rsid w:val="00F036B5"/>
    <w:rsid w:val="00F03FE2"/>
    <w:rsid w:val="00F0410D"/>
    <w:rsid w:val="00F04224"/>
    <w:rsid w:val="00F04442"/>
    <w:rsid w:val="00F045D1"/>
    <w:rsid w:val="00F04AC4"/>
    <w:rsid w:val="00F04F30"/>
    <w:rsid w:val="00F05AF3"/>
    <w:rsid w:val="00F05CC9"/>
    <w:rsid w:val="00F0620C"/>
    <w:rsid w:val="00F0667A"/>
    <w:rsid w:val="00F066FD"/>
    <w:rsid w:val="00F0696F"/>
    <w:rsid w:val="00F06DE0"/>
    <w:rsid w:val="00F072A9"/>
    <w:rsid w:val="00F072C6"/>
    <w:rsid w:val="00F075D9"/>
    <w:rsid w:val="00F07700"/>
    <w:rsid w:val="00F07829"/>
    <w:rsid w:val="00F07BB4"/>
    <w:rsid w:val="00F10758"/>
    <w:rsid w:val="00F115E5"/>
    <w:rsid w:val="00F120D5"/>
    <w:rsid w:val="00F12C03"/>
    <w:rsid w:val="00F12C1A"/>
    <w:rsid w:val="00F12C9C"/>
    <w:rsid w:val="00F12E9F"/>
    <w:rsid w:val="00F13294"/>
    <w:rsid w:val="00F13398"/>
    <w:rsid w:val="00F13431"/>
    <w:rsid w:val="00F1378A"/>
    <w:rsid w:val="00F13940"/>
    <w:rsid w:val="00F13F68"/>
    <w:rsid w:val="00F1444D"/>
    <w:rsid w:val="00F148D6"/>
    <w:rsid w:val="00F14983"/>
    <w:rsid w:val="00F152F2"/>
    <w:rsid w:val="00F156DF"/>
    <w:rsid w:val="00F15B95"/>
    <w:rsid w:val="00F15D26"/>
    <w:rsid w:val="00F15E23"/>
    <w:rsid w:val="00F160D1"/>
    <w:rsid w:val="00F161EC"/>
    <w:rsid w:val="00F168DD"/>
    <w:rsid w:val="00F16920"/>
    <w:rsid w:val="00F16A00"/>
    <w:rsid w:val="00F16B06"/>
    <w:rsid w:val="00F16D74"/>
    <w:rsid w:val="00F16F98"/>
    <w:rsid w:val="00F17220"/>
    <w:rsid w:val="00F1743E"/>
    <w:rsid w:val="00F17A2F"/>
    <w:rsid w:val="00F17B0B"/>
    <w:rsid w:val="00F17B74"/>
    <w:rsid w:val="00F17BFE"/>
    <w:rsid w:val="00F17D30"/>
    <w:rsid w:val="00F1F6D7"/>
    <w:rsid w:val="00F20019"/>
    <w:rsid w:val="00F20660"/>
    <w:rsid w:val="00F2087A"/>
    <w:rsid w:val="00F20929"/>
    <w:rsid w:val="00F20D81"/>
    <w:rsid w:val="00F210C8"/>
    <w:rsid w:val="00F21129"/>
    <w:rsid w:val="00F2126A"/>
    <w:rsid w:val="00F215BA"/>
    <w:rsid w:val="00F21CA2"/>
    <w:rsid w:val="00F21F7F"/>
    <w:rsid w:val="00F220D1"/>
    <w:rsid w:val="00F22781"/>
    <w:rsid w:val="00F227A3"/>
    <w:rsid w:val="00F22EEE"/>
    <w:rsid w:val="00F234E1"/>
    <w:rsid w:val="00F237E9"/>
    <w:rsid w:val="00F23ACE"/>
    <w:rsid w:val="00F23AF1"/>
    <w:rsid w:val="00F23B2B"/>
    <w:rsid w:val="00F23D2F"/>
    <w:rsid w:val="00F23E59"/>
    <w:rsid w:val="00F2403D"/>
    <w:rsid w:val="00F2465C"/>
    <w:rsid w:val="00F246EA"/>
    <w:rsid w:val="00F25157"/>
    <w:rsid w:val="00F25487"/>
    <w:rsid w:val="00F25497"/>
    <w:rsid w:val="00F254B6"/>
    <w:rsid w:val="00F257D3"/>
    <w:rsid w:val="00F259B5"/>
    <w:rsid w:val="00F25B19"/>
    <w:rsid w:val="00F25CD4"/>
    <w:rsid w:val="00F26064"/>
    <w:rsid w:val="00F26173"/>
    <w:rsid w:val="00F2624C"/>
    <w:rsid w:val="00F266E6"/>
    <w:rsid w:val="00F269F4"/>
    <w:rsid w:val="00F27429"/>
    <w:rsid w:val="00F274CB"/>
    <w:rsid w:val="00F27A63"/>
    <w:rsid w:val="00F3019D"/>
    <w:rsid w:val="00F3038C"/>
    <w:rsid w:val="00F30AAB"/>
    <w:rsid w:val="00F30C26"/>
    <w:rsid w:val="00F3198C"/>
    <w:rsid w:val="00F31A6A"/>
    <w:rsid w:val="00F31A7D"/>
    <w:rsid w:val="00F31F96"/>
    <w:rsid w:val="00F321BF"/>
    <w:rsid w:val="00F3226A"/>
    <w:rsid w:val="00F32276"/>
    <w:rsid w:val="00F32395"/>
    <w:rsid w:val="00F3285A"/>
    <w:rsid w:val="00F3292E"/>
    <w:rsid w:val="00F32CC0"/>
    <w:rsid w:val="00F32E6D"/>
    <w:rsid w:val="00F33049"/>
    <w:rsid w:val="00F3366D"/>
    <w:rsid w:val="00F3366F"/>
    <w:rsid w:val="00F33A7B"/>
    <w:rsid w:val="00F33AB0"/>
    <w:rsid w:val="00F33F26"/>
    <w:rsid w:val="00F34040"/>
    <w:rsid w:val="00F341C7"/>
    <w:rsid w:val="00F3426B"/>
    <w:rsid w:val="00F34546"/>
    <w:rsid w:val="00F34602"/>
    <w:rsid w:val="00F34988"/>
    <w:rsid w:val="00F34AAE"/>
    <w:rsid w:val="00F34C4B"/>
    <w:rsid w:val="00F34CEF"/>
    <w:rsid w:val="00F34DB0"/>
    <w:rsid w:val="00F3501D"/>
    <w:rsid w:val="00F35053"/>
    <w:rsid w:val="00F3512C"/>
    <w:rsid w:val="00F351B9"/>
    <w:rsid w:val="00F359A4"/>
    <w:rsid w:val="00F35A48"/>
    <w:rsid w:val="00F35E65"/>
    <w:rsid w:val="00F35F01"/>
    <w:rsid w:val="00F3653B"/>
    <w:rsid w:val="00F365B7"/>
    <w:rsid w:val="00F365CC"/>
    <w:rsid w:val="00F36E08"/>
    <w:rsid w:val="00F36EC8"/>
    <w:rsid w:val="00F370DB"/>
    <w:rsid w:val="00F37285"/>
    <w:rsid w:val="00F373FB"/>
    <w:rsid w:val="00F3751F"/>
    <w:rsid w:val="00F3782F"/>
    <w:rsid w:val="00F379E6"/>
    <w:rsid w:val="00F37A3D"/>
    <w:rsid w:val="00F37B13"/>
    <w:rsid w:val="00F37D89"/>
    <w:rsid w:val="00F37E4C"/>
    <w:rsid w:val="00F40491"/>
    <w:rsid w:val="00F40A7B"/>
    <w:rsid w:val="00F40F26"/>
    <w:rsid w:val="00F41050"/>
    <w:rsid w:val="00F41302"/>
    <w:rsid w:val="00F4173F"/>
    <w:rsid w:val="00F41811"/>
    <w:rsid w:val="00F420DC"/>
    <w:rsid w:val="00F420EE"/>
    <w:rsid w:val="00F4244D"/>
    <w:rsid w:val="00F42752"/>
    <w:rsid w:val="00F42869"/>
    <w:rsid w:val="00F4289A"/>
    <w:rsid w:val="00F42929"/>
    <w:rsid w:val="00F42C9B"/>
    <w:rsid w:val="00F4311C"/>
    <w:rsid w:val="00F432D8"/>
    <w:rsid w:val="00F43785"/>
    <w:rsid w:val="00F438FB"/>
    <w:rsid w:val="00F43B93"/>
    <w:rsid w:val="00F43D07"/>
    <w:rsid w:val="00F43E0C"/>
    <w:rsid w:val="00F43EFE"/>
    <w:rsid w:val="00F4467A"/>
    <w:rsid w:val="00F44790"/>
    <w:rsid w:val="00F44911"/>
    <w:rsid w:val="00F44E5C"/>
    <w:rsid w:val="00F454FC"/>
    <w:rsid w:val="00F45857"/>
    <w:rsid w:val="00F45E42"/>
    <w:rsid w:val="00F45F33"/>
    <w:rsid w:val="00F46468"/>
    <w:rsid w:val="00F46539"/>
    <w:rsid w:val="00F4716C"/>
    <w:rsid w:val="00F474E2"/>
    <w:rsid w:val="00F475F9"/>
    <w:rsid w:val="00F4775F"/>
    <w:rsid w:val="00F47842"/>
    <w:rsid w:val="00F47B55"/>
    <w:rsid w:val="00F5076B"/>
    <w:rsid w:val="00F50AFD"/>
    <w:rsid w:val="00F50CF0"/>
    <w:rsid w:val="00F51547"/>
    <w:rsid w:val="00F51A22"/>
    <w:rsid w:val="00F51C05"/>
    <w:rsid w:val="00F51FFD"/>
    <w:rsid w:val="00F52441"/>
    <w:rsid w:val="00F52702"/>
    <w:rsid w:val="00F528AD"/>
    <w:rsid w:val="00F52B6B"/>
    <w:rsid w:val="00F532EC"/>
    <w:rsid w:val="00F53A6C"/>
    <w:rsid w:val="00F53B1A"/>
    <w:rsid w:val="00F53BEF"/>
    <w:rsid w:val="00F53CAF"/>
    <w:rsid w:val="00F53CE9"/>
    <w:rsid w:val="00F5431C"/>
    <w:rsid w:val="00F5431F"/>
    <w:rsid w:val="00F545BF"/>
    <w:rsid w:val="00F546C4"/>
    <w:rsid w:val="00F54BF8"/>
    <w:rsid w:val="00F54DBA"/>
    <w:rsid w:val="00F54EB7"/>
    <w:rsid w:val="00F54F90"/>
    <w:rsid w:val="00F552A4"/>
    <w:rsid w:val="00F552C5"/>
    <w:rsid w:val="00F55496"/>
    <w:rsid w:val="00F5554B"/>
    <w:rsid w:val="00F55AC4"/>
    <w:rsid w:val="00F55CB2"/>
    <w:rsid w:val="00F55DDA"/>
    <w:rsid w:val="00F55F51"/>
    <w:rsid w:val="00F56346"/>
    <w:rsid w:val="00F56C59"/>
    <w:rsid w:val="00F56CCF"/>
    <w:rsid w:val="00F56DDD"/>
    <w:rsid w:val="00F56E13"/>
    <w:rsid w:val="00F56F38"/>
    <w:rsid w:val="00F5722D"/>
    <w:rsid w:val="00F57501"/>
    <w:rsid w:val="00F57661"/>
    <w:rsid w:val="00F57718"/>
    <w:rsid w:val="00F578FC"/>
    <w:rsid w:val="00F57B88"/>
    <w:rsid w:val="00F57EF4"/>
    <w:rsid w:val="00F57F0E"/>
    <w:rsid w:val="00F57F5D"/>
    <w:rsid w:val="00F60549"/>
    <w:rsid w:val="00F60C40"/>
    <w:rsid w:val="00F60E16"/>
    <w:rsid w:val="00F60E33"/>
    <w:rsid w:val="00F610AC"/>
    <w:rsid w:val="00F610F7"/>
    <w:rsid w:val="00F613B8"/>
    <w:rsid w:val="00F6168E"/>
    <w:rsid w:val="00F617ED"/>
    <w:rsid w:val="00F618B6"/>
    <w:rsid w:val="00F61916"/>
    <w:rsid w:val="00F61AF4"/>
    <w:rsid w:val="00F61E0D"/>
    <w:rsid w:val="00F62537"/>
    <w:rsid w:val="00F62838"/>
    <w:rsid w:val="00F6287A"/>
    <w:rsid w:val="00F629BD"/>
    <w:rsid w:val="00F62A39"/>
    <w:rsid w:val="00F62C0A"/>
    <w:rsid w:val="00F62CA1"/>
    <w:rsid w:val="00F63468"/>
    <w:rsid w:val="00F63517"/>
    <w:rsid w:val="00F63634"/>
    <w:rsid w:val="00F6374C"/>
    <w:rsid w:val="00F639DA"/>
    <w:rsid w:val="00F63BB2"/>
    <w:rsid w:val="00F63D9A"/>
    <w:rsid w:val="00F6499D"/>
    <w:rsid w:val="00F64E3B"/>
    <w:rsid w:val="00F64EC7"/>
    <w:rsid w:val="00F64FBB"/>
    <w:rsid w:val="00F6575A"/>
    <w:rsid w:val="00F65A11"/>
    <w:rsid w:val="00F65AB2"/>
    <w:rsid w:val="00F65AC1"/>
    <w:rsid w:val="00F65BE9"/>
    <w:rsid w:val="00F65D68"/>
    <w:rsid w:val="00F661B7"/>
    <w:rsid w:val="00F66A11"/>
    <w:rsid w:val="00F66AAB"/>
    <w:rsid w:val="00F66B54"/>
    <w:rsid w:val="00F66C2C"/>
    <w:rsid w:val="00F674E2"/>
    <w:rsid w:val="00F678EE"/>
    <w:rsid w:val="00F67A4A"/>
    <w:rsid w:val="00F67C90"/>
    <w:rsid w:val="00F67F41"/>
    <w:rsid w:val="00F70126"/>
    <w:rsid w:val="00F7054A"/>
    <w:rsid w:val="00F7129D"/>
    <w:rsid w:val="00F71394"/>
    <w:rsid w:val="00F7176B"/>
    <w:rsid w:val="00F717DB"/>
    <w:rsid w:val="00F7186C"/>
    <w:rsid w:val="00F718F2"/>
    <w:rsid w:val="00F71BE3"/>
    <w:rsid w:val="00F71D0B"/>
    <w:rsid w:val="00F71EA1"/>
    <w:rsid w:val="00F720C2"/>
    <w:rsid w:val="00F7235D"/>
    <w:rsid w:val="00F7265A"/>
    <w:rsid w:val="00F72680"/>
    <w:rsid w:val="00F72730"/>
    <w:rsid w:val="00F73196"/>
    <w:rsid w:val="00F73AF6"/>
    <w:rsid w:val="00F73B36"/>
    <w:rsid w:val="00F73DC4"/>
    <w:rsid w:val="00F748E6"/>
    <w:rsid w:val="00F74BFF"/>
    <w:rsid w:val="00F74F0A"/>
    <w:rsid w:val="00F754A5"/>
    <w:rsid w:val="00F757FA"/>
    <w:rsid w:val="00F75895"/>
    <w:rsid w:val="00F75CA2"/>
    <w:rsid w:val="00F75E1F"/>
    <w:rsid w:val="00F75EB6"/>
    <w:rsid w:val="00F76B2C"/>
    <w:rsid w:val="00F770AA"/>
    <w:rsid w:val="00F77566"/>
    <w:rsid w:val="00F776AB"/>
    <w:rsid w:val="00F776B7"/>
    <w:rsid w:val="00F776E8"/>
    <w:rsid w:val="00F80823"/>
    <w:rsid w:val="00F80924"/>
    <w:rsid w:val="00F80CA5"/>
    <w:rsid w:val="00F80F3A"/>
    <w:rsid w:val="00F8121B"/>
    <w:rsid w:val="00F81274"/>
    <w:rsid w:val="00F81F03"/>
    <w:rsid w:val="00F82127"/>
    <w:rsid w:val="00F82480"/>
    <w:rsid w:val="00F82541"/>
    <w:rsid w:val="00F82957"/>
    <w:rsid w:val="00F82A1D"/>
    <w:rsid w:val="00F83755"/>
    <w:rsid w:val="00F837E1"/>
    <w:rsid w:val="00F83FFB"/>
    <w:rsid w:val="00F84BC1"/>
    <w:rsid w:val="00F84C31"/>
    <w:rsid w:val="00F84CEE"/>
    <w:rsid w:val="00F84D24"/>
    <w:rsid w:val="00F84E77"/>
    <w:rsid w:val="00F84EB2"/>
    <w:rsid w:val="00F84F2C"/>
    <w:rsid w:val="00F85626"/>
    <w:rsid w:val="00F85A3F"/>
    <w:rsid w:val="00F86072"/>
    <w:rsid w:val="00F86579"/>
    <w:rsid w:val="00F86825"/>
    <w:rsid w:val="00F868F9"/>
    <w:rsid w:val="00F86D76"/>
    <w:rsid w:val="00F86EC7"/>
    <w:rsid w:val="00F87395"/>
    <w:rsid w:val="00F87421"/>
    <w:rsid w:val="00F87450"/>
    <w:rsid w:val="00F877B8"/>
    <w:rsid w:val="00F87999"/>
    <w:rsid w:val="00F87A8A"/>
    <w:rsid w:val="00F87D79"/>
    <w:rsid w:val="00F87F8B"/>
    <w:rsid w:val="00F90040"/>
    <w:rsid w:val="00F90104"/>
    <w:rsid w:val="00F906F7"/>
    <w:rsid w:val="00F90BA2"/>
    <w:rsid w:val="00F90D61"/>
    <w:rsid w:val="00F90F40"/>
    <w:rsid w:val="00F91269"/>
    <w:rsid w:val="00F9138E"/>
    <w:rsid w:val="00F91495"/>
    <w:rsid w:val="00F9164C"/>
    <w:rsid w:val="00F91A1B"/>
    <w:rsid w:val="00F91AC2"/>
    <w:rsid w:val="00F923FC"/>
    <w:rsid w:val="00F926D4"/>
    <w:rsid w:val="00F92884"/>
    <w:rsid w:val="00F92A4A"/>
    <w:rsid w:val="00F93077"/>
    <w:rsid w:val="00F9331F"/>
    <w:rsid w:val="00F93C55"/>
    <w:rsid w:val="00F941ED"/>
    <w:rsid w:val="00F94CFF"/>
    <w:rsid w:val="00F9548B"/>
    <w:rsid w:val="00F9576F"/>
    <w:rsid w:val="00F95774"/>
    <w:rsid w:val="00F959F6"/>
    <w:rsid w:val="00F95A1C"/>
    <w:rsid w:val="00F95C65"/>
    <w:rsid w:val="00F95CDD"/>
    <w:rsid w:val="00F95DDF"/>
    <w:rsid w:val="00F95FF3"/>
    <w:rsid w:val="00F96017"/>
    <w:rsid w:val="00F962DA"/>
    <w:rsid w:val="00F96463"/>
    <w:rsid w:val="00F96F9E"/>
    <w:rsid w:val="00F9758F"/>
    <w:rsid w:val="00F97610"/>
    <w:rsid w:val="00F97765"/>
    <w:rsid w:val="00F97956"/>
    <w:rsid w:val="00F97B55"/>
    <w:rsid w:val="00F97D4C"/>
    <w:rsid w:val="00F9F98D"/>
    <w:rsid w:val="00FA057D"/>
    <w:rsid w:val="00FA058F"/>
    <w:rsid w:val="00FA09EF"/>
    <w:rsid w:val="00FA13C3"/>
    <w:rsid w:val="00FA14CE"/>
    <w:rsid w:val="00FA18B5"/>
    <w:rsid w:val="00FA1DF4"/>
    <w:rsid w:val="00FA23E2"/>
    <w:rsid w:val="00FA26C7"/>
    <w:rsid w:val="00FA2CD8"/>
    <w:rsid w:val="00FA2D8A"/>
    <w:rsid w:val="00FA2FAD"/>
    <w:rsid w:val="00FA3525"/>
    <w:rsid w:val="00FA37E1"/>
    <w:rsid w:val="00FA39A2"/>
    <w:rsid w:val="00FA3D94"/>
    <w:rsid w:val="00FA3EFC"/>
    <w:rsid w:val="00FA4360"/>
    <w:rsid w:val="00FA4A4A"/>
    <w:rsid w:val="00FA4A6B"/>
    <w:rsid w:val="00FA4FFE"/>
    <w:rsid w:val="00FA538D"/>
    <w:rsid w:val="00FA5737"/>
    <w:rsid w:val="00FA57BC"/>
    <w:rsid w:val="00FA5D55"/>
    <w:rsid w:val="00FA66F0"/>
    <w:rsid w:val="00FA6D58"/>
    <w:rsid w:val="00FA716E"/>
    <w:rsid w:val="00FA71D9"/>
    <w:rsid w:val="00FA747E"/>
    <w:rsid w:val="00FA7681"/>
    <w:rsid w:val="00FA775A"/>
    <w:rsid w:val="00FA77C6"/>
    <w:rsid w:val="00FA7BBF"/>
    <w:rsid w:val="00FA7E06"/>
    <w:rsid w:val="00FAE9C9"/>
    <w:rsid w:val="00FB011A"/>
    <w:rsid w:val="00FB0546"/>
    <w:rsid w:val="00FB07E1"/>
    <w:rsid w:val="00FB0F65"/>
    <w:rsid w:val="00FB10A4"/>
    <w:rsid w:val="00FB13B4"/>
    <w:rsid w:val="00FB1664"/>
    <w:rsid w:val="00FB1760"/>
    <w:rsid w:val="00FB178F"/>
    <w:rsid w:val="00FB1BD8"/>
    <w:rsid w:val="00FB2531"/>
    <w:rsid w:val="00FB26A2"/>
    <w:rsid w:val="00FB28E3"/>
    <w:rsid w:val="00FB2AC4"/>
    <w:rsid w:val="00FB2C0D"/>
    <w:rsid w:val="00FB2D95"/>
    <w:rsid w:val="00FB2E88"/>
    <w:rsid w:val="00FB300F"/>
    <w:rsid w:val="00FB32A7"/>
    <w:rsid w:val="00FB361C"/>
    <w:rsid w:val="00FB3830"/>
    <w:rsid w:val="00FB3F25"/>
    <w:rsid w:val="00FB441E"/>
    <w:rsid w:val="00FB44BB"/>
    <w:rsid w:val="00FB48A7"/>
    <w:rsid w:val="00FB4984"/>
    <w:rsid w:val="00FB49A7"/>
    <w:rsid w:val="00FB4BC0"/>
    <w:rsid w:val="00FB51A5"/>
    <w:rsid w:val="00FB51E4"/>
    <w:rsid w:val="00FB5449"/>
    <w:rsid w:val="00FB5801"/>
    <w:rsid w:val="00FB5B1C"/>
    <w:rsid w:val="00FB5F1D"/>
    <w:rsid w:val="00FB6D44"/>
    <w:rsid w:val="00FB6DA5"/>
    <w:rsid w:val="00FB6F3E"/>
    <w:rsid w:val="00FB7293"/>
    <w:rsid w:val="00FB7A25"/>
    <w:rsid w:val="00FC00DE"/>
    <w:rsid w:val="00FC13CF"/>
    <w:rsid w:val="00FC18D3"/>
    <w:rsid w:val="00FC1A98"/>
    <w:rsid w:val="00FC1DAA"/>
    <w:rsid w:val="00FC1E42"/>
    <w:rsid w:val="00FC25AE"/>
    <w:rsid w:val="00FC26AB"/>
    <w:rsid w:val="00FC29EC"/>
    <w:rsid w:val="00FC2AD7"/>
    <w:rsid w:val="00FC2BD4"/>
    <w:rsid w:val="00FC391D"/>
    <w:rsid w:val="00FC3948"/>
    <w:rsid w:val="00FC3E09"/>
    <w:rsid w:val="00FC3E36"/>
    <w:rsid w:val="00FC4012"/>
    <w:rsid w:val="00FC42E1"/>
    <w:rsid w:val="00FC46CE"/>
    <w:rsid w:val="00FC4B19"/>
    <w:rsid w:val="00FC5056"/>
    <w:rsid w:val="00FC50C6"/>
    <w:rsid w:val="00FC512A"/>
    <w:rsid w:val="00FC51B3"/>
    <w:rsid w:val="00FC53B1"/>
    <w:rsid w:val="00FC54CD"/>
    <w:rsid w:val="00FC559C"/>
    <w:rsid w:val="00FC58F3"/>
    <w:rsid w:val="00FC5CDA"/>
    <w:rsid w:val="00FC5D06"/>
    <w:rsid w:val="00FC62F0"/>
    <w:rsid w:val="00FC67B1"/>
    <w:rsid w:val="00FC684C"/>
    <w:rsid w:val="00FC6888"/>
    <w:rsid w:val="00FC68A2"/>
    <w:rsid w:val="00FC6B0F"/>
    <w:rsid w:val="00FC6B3E"/>
    <w:rsid w:val="00FC6BD9"/>
    <w:rsid w:val="00FC6D3A"/>
    <w:rsid w:val="00FC6F17"/>
    <w:rsid w:val="00FC6FE8"/>
    <w:rsid w:val="00FC7AB1"/>
    <w:rsid w:val="00FC7E55"/>
    <w:rsid w:val="00FC7EAE"/>
    <w:rsid w:val="00FC7F12"/>
    <w:rsid w:val="00FD06D9"/>
    <w:rsid w:val="00FD0794"/>
    <w:rsid w:val="00FD0EC1"/>
    <w:rsid w:val="00FD1663"/>
    <w:rsid w:val="00FD19A6"/>
    <w:rsid w:val="00FD19EC"/>
    <w:rsid w:val="00FD2100"/>
    <w:rsid w:val="00FD24AD"/>
    <w:rsid w:val="00FD281E"/>
    <w:rsid w:val="00FD2974"/>
    <w:rsid w:val="00FD31B5"/>
    <w:rsid w:val="00FD31EB"/>
    <w:rsid w:val="00FD3476"/>
    <w:rsid w:val="00FD35DA"/>
    <w:rsid w:val="00FD3A25"/>
    <w:rsid w:val="00FD3A2A"/>
    <w:rsid w:val="00FD447F"/>
    <w:rsid w:val="00FD4499"/>
    <w:rsid w:val="00FD5066"/>
    <w:rsid w:val="00FD50D6"/>
    <w:rsid w:val="00FD5580"/>
    <w:rsid w:val="00FD590F"/>
    <w:rsid w:val="00FD5AD0"/>
    <w:rsid w:val="00FD5C17"/>
    <w:rsid w:val="00FD5C71"/>
    <w:rsid w:val="00FD5CE9"/>
    <w:rsid w:val="00FD5D60"/>
    <w:rsid w:val="00FD5E51"/>
    <w:rsid w:val="00FD6009"/>
    <w:rsid w:val="00FD62A3"/>
    <w:rsid w:val="00FD68DF"/>
    <w:rsid w:val="00FD6BAC"/>
    <w:rsid w:val="00FD6BC5"/>
    <w:rsid w:val="00FD6D11"/>
    <w:rsid w:val="00FD7008"/>
    <w:rsid w:val="00FD7240"/>
    <w:rsid w:val="00FD759E"/>
    <w:rsid w:val="00FD75D9"/>
    <w:rsid w:val="00FD766D"/>
    <w:rsid w:val="00FD76B6"/>
    <w:rsid w:val="00FD7883"/>
    <w:rsid w:val="00FD7A42"/>
    <w:rsid w:val="00FD7A75"/>
    <w:rsid w:val="00FD7BFC"/>
    <w:rsid w:val="00FD7DD2"/>
    <w:rsid w:val="00FE0367"/>
    <w:rsid w:val="00FE0C6E"/>
    <w:rsid w:val="00FE13CF"/>
    <w:rsid w:val="00FE1615"/>
    <w:rsid w:val="00FE1954"/>
    <w:rsid w:val="00FE1DC7"/>
    <w:rsid w:val="00FE2047"/>
    <w:rsid w:val="00FE248F"/>
    <w:rsid w:val="00FE258C"/>
    <w:rsid w:val="00FE2A79"/>
    <w:rsid w:val="00FE30C6"/>
    <w:rsid w:val="00FE3154"/>
    <w:rsid w:val="00FE3A7D"/>
    <w:rsid w:val="00FE3F70"/>
    <w:rsid w:val="00FE42A3"/>
    <w:rsid w:val="00FE44C4"/>
    <w:rsid w:val="00FE4646"/>
    <w:rsid w:val="00FE4BA9"/>
    <w:rsid w:val="00FE52C6"/>
    <w:rsid w:val="00FE57F1"/>
    <w:rsid w:val="00FE5A86"/>
    <w:rsid w:val="00FE5D57"/>
    <w:rsid w:val="00FE5DD6"/>
    <w:rsid w:val="00FE6B8F"/>
    <w:rsid w:val="00FE6BFF"/>
    <w:rsid w:val="00FE6C02"/>
    <w:rsid w:val="00FE6CF8"/>
    <w:rsid w:val="00FE70D3"/>
    <w:rsid w:val="00FE715A"/>
    <w:rsid w:val="00FE74DF"/>
    <w:rsid w:val="00FE7968"/>
    <w:rsid w:val="00FE79EC"/>
    <w:rsid w:val="00FE7A5B"/>
    <w:rsid w:val="00FF0512"/>
    <w:rsid w:val="00FF09AE"/>
    <w:rsid w:val="00FF0B12"/>
    <w:rsid w:val="00FF0FCF"/>
    <w:rsid w:val="00FF1302"/>
    <w:rsid w:val="00FF19B5"/>
    <w:rsid w:val="00FF1E74"/>
    <w:rsid w:val="00FF1FCF"/>
    <w:rsid w:val="00FF2319"/>
    <w:rsid w:val="00FF2668"/>
    <w:rsid w:val="00FF2B49"/>
    <w:rsid w:val="00FF311E"/>
    <w:rsid w:val="00FF31C8"/>
    <w:rsid w:val="00FF39FA"/>
    <w:rsid w:val="00FF3EC6"/>
    <w:rsid w:val="00FF446D"/>
    <w:rsid w:val="00FF4637"/>
    <w:rsid w:val="00FF4758"/>
    <w:rsid w:val="00FF488B"/>
    <w:rsid w:val="00FF4A70"/>
    <w:rsid w:val="00FF4CFA"/>
    <w:rsid w:val="00FF4DB9"/>
    <w:rsid w:val="00FF50E4"/>
    <w:rsid w:val="00FF525C"/>
    <w:rsid w:val="00FF53F5"/>
    <w:rsid w:val="00FF564B"/>
    <w:rsid w:val="00FF5893"/>
    <w:rsid w:val="00FF59DB"/>
    <w:rsid w:val="00FF67A4"/>
    <w:rsid w:val="00FF6E76"/>
    <w:rsid w:val="00FF6F85"/>
    <w:rsid w:val="00FF72CF"/>
    <w:rsid w:val="00FF73B4"/>
    <w:rsid w:val="00FF73F9"/>
    <w:rsid w:val="00FF740D"/>
    <w:rsid w:val="00FF7794"/>
    <w:rsid w:val="00FF7D31"/>
    <w:rsid w:val="01238BEB"/>
    <w:rsid w:val="013888B5"/>
    <w:rsid w:val="0181C200"/>
    <w:rsid w:val="0183EFDA"/>
    <w:rsid w:val="0195A036"/>
    <w:rsid w:val="01ACD665"/>
    <w:rsid w:val="01CBCF7D"/>
    <w:rsid w:val="01CFF604"/>
    <w:rsid w:val="01D2868A"/>
    <w:rsid w:val="01DA82A9"/>
    <w:rsid w:val="01EF10C0"/>
    <w:rsid w:val="02287F6A"/>
    <w:rsid w:val="0229070F"/>
    <w:rsid w:val="022E86C0"/>
    <w:rsid w:val="024192CE"/>
    <w:rsid w:val="0269210E"/>
    <w:rsid w:val="027DE764"/>
    <w:rsid w:val="0291FB55"/>
    <w:rsid w:val="02A614D5"/>
    <w:rsid w:val="02AB0048"/>
    <w:rsid w:val="02DFE9C0"/>
    <w:rsid w:val="02EC281B"/>
    <w:rsid w:val="0315930D"/>
    <w:rsid w:val="032393E6"/>
    <w:rsid w:val="033B32E4"/>
    <w:rsid w:val="033C1EA2"/>
    <w:rsid w:val="033D6E69"/>
    <w:rsid w:val="03426AE3"/>
    <w:rsid w:val="034D38CA"/>
    <w:rsid w:val="034DC553"/>
    <w:rsid w:val="03523149"/>
    <w:rsid w:val="037B5E26"/>
    <w:rsid w:val="037C3A0F"/>
    <w:rsid w:val="03857767"/>
    <w:rsid w:val="03860DAC"/>
    <w:rsid w:val="0388C298"/>
    <w:rsid w:val="0399E360"/>
    <w:rsid w:val="03AD0991"/>
    <w:rsid w:val="03CCA73D"/>
    <w:rsid w:val="03D7586A"/>
    <w:rsid w:val="03DD19CB"/>
    <w:rsid w:val="03E8509B"/>
    <w:rsid w:val="03EE52F2"/>
    <w:rsid w:val="03FCC89C"/>
    <w:rsid w:val="03FFD406"/>
    <w:rsid w:val="04038478"/>
    <w:rsid w:val="0424D2FE"/>
    <w:rsid w:val="04255645"/>
    <w:rsid w:val="04318A31"/>
    <w:rsid w:val="0455949F"/>
    <w:rsid w:val="047372DF"/>
    <w:rsid w:val="04742734"/>
    <w:rsid w:val="048F0804"/>
    <w:rsid w:val="04A001F0"/>
    <w:rsid w:val="04A2BDA0"/>
    <w:rsid w:val="04A8526D"/>
    <w:rsid w:val="04B6EF6C"/>
    <w:rsid w:val="04BD2AEC"/>
    <w:rsid w:val="04C0EEEA"/>
    <w:rsid w:val="04D26945"/>
    <w:rsid w:val="04D475A3"/>
    <w:rsid w:val="050B14C3"/>
    <w:rsid w:val="0541A29D"/>
    <w:rsid w:val="054ECAE3"/>
    <w:rsid w:val="0573C56F"/>
    <w:rsid w:val="057C4903"/>
    <w:rsid w:val="057E82BC"/>
    <w:rsid w:val="0587106E"/>
    <w:rsid w:val="05D36088"/>
    <w:rsid w:val="05DBAA1C"/>
    <w:rsid w:val="05E19DA5"/>
    <w:rsid w:val="05E30D7F"/>
    <w:rsid w:val="0612789B"/>
    <w:rsid w:val="0614072F"/>
    <w:rsid w:val="0615A686"/>
    <w:rsid w:val="0628E2DD"/>
    <w:rsid w:val="062B1FFA"/>
    <w:rsid w:val="06335D5C"/>
    <w:rsid w:val="0637147B"/>
    <w:rsid w:val="064E7D9E"/>
    <w:rsid w:val="065C5E76"/>
    <w:rsid w:val="065D4D9E"/>
    <w:rsid w:val="066333B2"/>
    <w:rsid w:val="066EF142"/>
    <w:rsid w:val="067A32E3"/>
    <w:rsid w:val="068B2045"/>
    <w:rsid w:val="068C15EE"/>
    <w:rsid w:val="06926CBB"/>
    <w:rsid w:val="06BEDE91"/>
    <w:rsid w:val="06BFF488"/>
    <w:rsid w:val="06CCD984"/>
    <w:rsid w:val="06D6F256"/>
    <w:rsid w:val="06DE659E"/>
    <w:rsid w:val="06F94320"/>
    <w:rsid w:val="0708B619"/>
    <w:rsid w:val="0711AF70"/>
    <w:rsid w:val="073FE2CA"/>
    <w:rsid w:val="0751C6A1"/>
    <w:rsid w:val="076D2F58"/>
    <w:rsid w:val="07841FDD"/>
    <w:rsid w:val="07905A4A"/>
    <w:rsid w:val="07A70F33"/>
    <w:rsid w:val="07B6A71F"/>
    <w:rsid w:val="07B826EA"/>
    <w:rsid w:val="07BB7CFE"/>
    <w:rsid w:val="07D2DBC3"/>
    <w:rsid w:val="07E5D745"/>
    <w:rsid w:val="07F6E6CF"/>
    <w:rsid w:val="08012282"/>
    <w:rsid w:val="0807C90D"/>
    <w:rsid w:val="080A15AE"/>
    <w:rsid w:val="0831E940"/>
    <w:rsid w:val="0838B56B"/>
    <w:rsid w:val="08580FBE"/>
    <w:rsid w:val="08589B60"/>
    <w:rsid w:val="08A12845"/>
    <w:rsid w:val="08AD2933"/>
    <w:rsid w:val="08BE0C52"/>
    <w:rsid w:val="08EA48E8"/>
    <w:rsid w:val="08F5EA1C"/>
    <w:rsid w:val="091395C5"/>
    <w:rsid w:val="0933CF3B"/>
    <w:rsid w:val="0944ABD8"/>
    <w:rsid w:val="0958F79E"/>
    <w:rsid w:val="0979F34D"/>
    <w:rsid w:val="097C72A9"/>
    <w:rsid w:val="0991F4F4"/>
    <w:rsid w:val="09BABD1B"/>
    <w:rsid w:val="09C3C85B"/>
    <w:rsid w:val="09CA972C"/>
    <w:rsid w:val="09EC8B6D"/>
    <w:rsid w:val="09EE623F"/>
    <w:rsid w:val="09F00B4D"/>
    <w:rsid w:val="09FCCD0D"/>
    <w:rsid w:val="0A04FD49"/>
    <w:rsid w:val="0A253344"/>
    <w:rsid w:val="0A25408E"/>
    <w:rsid w:val="0A2AE381"/>
    <w:rsid w:val="0A32B0A0"/>
    <w:rsid w:val="0A4EAE6F"/>
    <w:rsid w:val="0A686C3D"/>
    <w:rsid w:val="0A76BD0E"/>
    <w:rsid w:val="0A7D0736"/>
    <w:rsid w:val="0A8AE018"/>
    <w:rsid w:val="0A8B9268"/>
    <w:rsid w:val="0A8C3AE2"/>
    <w:rsid w:val="0A92037D"/>
    <w:rsid w:val="0AAE399F"/>
    <w:rsid w:val="0AB509FC"/>
    <w:rsid w:val="0AB9B449"/>
    <w:rsid w:val="0AC1CBDB"/>
    <w:rsid w:val="0AE864A0"/>
    <w:rsid w:val="0AF7A0C5"/>
    <w:rsid w:val="0B1045FA"/>
    <w:rsid w:val="0B155D5A"/>
    <w:rsid w:val="0B347989"/>
    <w:rsid w:val="0B4C3B76"/>
    <w:rsid w:val="0B6D13D4"/>
    <w:rsid w:val="0B70F692"/>
    <w:rsid w:val="0B8B6A4E"/>
    <w:rsid w:val="0BA4BF1D"/>
    <w:rsid w:val="0BB3BEAB"/>
    <w:rsid w:val="0BFE679E"/>
    <w:rsid w:val="0C13B9CF"/>
    <w:rsid w:val="0C15030C"/>
    <w:rsid w:val="0C337D7D"/>
    <w:rsid w:val="0C8340A2"/>
    <w:rsid w:val="0C84DB23"/>
    <w:rsid w:val="0C86DFFA"/>
    <w:rsid w:val="0C9D3047"/>
    <w:rsid w:val="0CB1C278"/>
    <w:rsid w:val="0CB81441"/>
    <w:rsid w:val="0CC077A1"/>
    <w:rsid w:val="0CC09687"/>
    <w:rsid w:val="0CC81223"/>
    <w:rsid w:val="0CD527B9"/>
    <w:rsid w:val="0CE1E446"/>
    <w:rsid w:val="0CF7464C"/>
    <w:rsid w:val="0CFE301A"/>
    <w:rsid w:val="0D1F8904"/>
    <w:rsid w:val="0D259BAB"/>
    <w:rsid w:val="0D36F148"/>
    <w:rsid w:val="0D407DD4"/>
    <w:rsid w:val="0D59D1D2"/>
    <w:rsid w:val="0D8937EA"/>
    <w:rsid w:val="0DC3FCDB"/>
    <w:rsid w:val="0DCC5CDE"/>
    <w:rsid w:val="0DD29D3A"/>
    <w:rsid w:val="0DE069F1"/>
    <w:rsid w:val="0E081154"/>
    <w:rsid w:val="0E2441AB"/>
    <w:rsid w:val="0E31CCE5"/>
    <w:rsid w:val="0E38DF5B"/>
    <w:rsid w:val="0E585C7E"/>
    <w:rsid w:val="0E674F2B"/>
    <w:rsid w:val="0E69F9DE"/>
    <w:rsid w:val="0E6A3586"/>
    <w:rsid w:val="0E716766"/>
    <w:rsid w:val="0E7B546C"/>
    <w:rsid w:val="0E8A0709"/>
    <w:rsid w:val="0E955FC0"/>
    <w:rsid w:val="0E9563C9"/>
    <w:rsid w:val="0EBB88B3"/>
    <w:rsid w:val="0EDB406C"/>
    <w:rsid w:val="0EDCE4DA"/>
    <w:rsid w:val="0EEE8D0A"/>
    <w:rsid w:val="0EFD1B27"/>
    <w:rsid w:val="0F26ADE8"/>
    <w:rsid w:val="0F56BCF9"/>
    <w:rsid w:val="0F773FE3"/>
    <w:rsid w:val="0F7EBE14"/>
    <w:rsid w:val="0F9D74B4"/>
    <w:rsid w:val="0F9F64AB"/>
    <w:rsid w:val="0FB22A90"/>
    <w:rsid w:val="0FBE9434"/>
    <w:rsid w:val="0FCACB79"/>
    <w:rsid w:val="0FDA6F3B"/>
    <w:rsid w:val="0FE0441B"/>
    <w:rsid w:val="102E0C8B"/>
    <w:rsid w:val="1059976F"/>
    <w:rsid w:val="105DF0C1"/>
    <w:rsid w:val="1073C8C8"/>
    <w:rsid w:val="10907A7D"/>
    <w:rsid w:val="10B110BA"/>
    <w:rsid w:val="10D7A2CA"/>
    <w:rsid w:val="10E9F5B6"/>
    <w:rsid w:val="1103FDA0"/>
    <w:rsid w:val="111F01B9"/>
    <w:rsid w:val="1132B6B3"/>
    <w:rsid w:val="114D3AA6"/>
    <w:rsid w:val="1161B7D9"/>
    <w:rsid w:val="116A59FA"/>
    <w:rsid w:val="117CE9DF"/>
    <w:rsid w:val="11D5320A"/>
    <w:rsid w:val="11FA2E0F"/>
    <w:rsid w:val="12367675"/>
    <w:rsid w:val="124001F5"/>
    <w:rsid w:val="1242F783"/>
    <w:rsid w:val="125E2D67"/>
    <w:rsid w:val="12A96CD0"/>
    <w:rsid w:val="12E151C1"/>
    <w:rsid w:val="12F83DF0"/>
    <w:rsid w:val="13191ADE"/>
    <w:rsid w:val="13307F3B"/>
    <w:rsid w:val="1341E6B7"/>
    <w:rsid w:val="1360F910"/>
    <w:rsid w:val="1369584D"/>
    <w:rsid w:val="136EA741"/>
    <w:rsid w:val="137D6E37"/>
    <w:rsid w:val="139692A2"/>
    <w:rsid w:val="13985F16"/>
    <w:rsid w:val="139AEEF0"/>
    <w:rsid w:val="13AA23EE"/>
    <w:rsid w:val="13B2778B"/>
    <w:rsid w:val="13B8AB19"/>
    <w:rsid w:val="13BBAF53"/>
    <w:rsid w:val="13CE9893"/>
    <w:rsid w:val="13DEF39C"/>
    <w:rsid w:val="13E90444"/>
    <w:rsid w:val="13F10306"/>
    <w:rsid w:val="13F5F9FD"/>
    <w:rsid w:val="140CF5FB"/>
    <w:rsid w:val="1414C116"/>
    <w:rsid w:val="1417CF05"/>
    <w:rsid w:val="141BBAC5"/>
    <w:rsid w:val="1436A634"/>
    <w:rsid w:val="143C622B"/>
    <w:rsid w:val="14584035"/>
    <w:rsid w:val="146029E4"/>
    <w:rsid w:val="14808D70"/>
    <w:rsid w:val="14852A8E"/>
    <w:rsid w:val="1485EC24"/>
    <w:rsid w:val="14BF3805"/>
    <w:rsid w:val="14D65F30"/>
    <w:rsid w:val="14D6BF8D"/>
    <w:rsid w:val="14E892E5"/>
    <w:rsid w:val="151CC537"/>
    <w:rsid w:val="1544CD6A"/>
    <w:rsid w:val="154FB401"/>
    <w:rsid w:val="157DA725"/>
    <w:rsid w:val="1595D748"/>
    <w:rsid w:val="15979947"/>
    <w:rsid w:val="15BB340E"/>
    <w:rsid w:val="15EE751A"/>
    <w:rsid w:val="15F8BA42"/>
    <w:rsid w:val="1620AD59"/>
    <w:rsid w:val="162447B7"/>
    <w:rsid w:val="16279195"/>
    <w:rsid w:val="162FB143"/>
    <w:rsid w:val="1647847A"/>
    <w:rsid w:val="164AC3E0"/>
    <w:rsid w:val="1668B46E"/>
    <w:rsid w:val="167CE441"/>
    <w:rsid w:val="16937A8A"/>
    <w:rsid w:val="1696AD00"/>
    <w:rsid w:val="16A6F2C2"/>
    <w:rsid w:val="16BBAC85"/>
    <w:rsid w:val="16C26C87"/>
    <w:rsid w:val="16E20175"/>
    <w:rsid w:val="1716B120"/>
    <w:rsid w:val="171B6F2F"/>
    <w:rsid w:val="1742AC3D"/>
    <w:rsid w:val="1754AC2B"/>
    <w:rsid w:val="17576220"/>
    <w:rsid w:val="175AA64D"/>
    <w:rsid w:val="1771E480"/>
    <w:rsid w:val="178CF95E"/>
    <w:rsid w:val="178F0A51"/>
    <w:rsid w:val="17A46590"/>
    <w:rsid w:val="17C1A112"/>
    <w:rsid w:val="17CBBF7C"/>
    <w:rsid w:val="17D6AA52"/>
    <w:rsid w:val="17DC1FBD"/>
    <w:rsid w:val="17DE2089"/>
    <w:rsid w:val="17DFD80B"/>
    <w:rsid w:val="17E40C07"/>
    <w:rsid w:val="17E9C60D"/>
    <w:rsid w:val="18240CE0"/>
    <w:rsid w:val="1831DE1C"/>
    <w:rsid w:val="185341D0"/>
    <w:rsid w:val="1854614B"/>
    <w:rsid w:val="1867A400"/>
    <w:rsid w:val="18681073"/>
    <w:rsid w:val="186CF664"/>
    <w:rsid w:val="18710CBE"/>
    <w:rsid w:val="188629BC"/>
    <w:rsid w:val="18978685"/>
    <w:rsid w:val="18B64765"/>
    <w:rsid w:val="18B999DF"/>
    <w:rsid w:val="18BE2C65"/>
    <w:rsid w:val="18C00C8F"/>
    <w:rsid w:val="18C54C1A"/>
    <w:rsid w:val="18E8D2A2"/>
    <w:rsid w:val="18EBD453"/>
    <w:rsid w:val="1921551E"/>
    <w:rsid w:val="19237D1D"/>
    <w:rsid w:val="19345C6F"/>
    <w:rsid w:val="193D377A"/>
    <w:rsid w:val="194E48BE"/>
    <w:rsid w:val="196AEA9D"/>
    <w:rsid w:val="197BE37B"/>
    <w:rsid w:val="19870416"/>
    <w:rsid w:val="199DA0D3"/>
    <w:rsid w:val="199F636A"/>
    <w:rsid w:val="199FB3E2"/>
    <w:rsid w:val="19A91401"/>
    <w:rsid w:val="19AC0100"/>
    <w:rsid w:val="19D775D4"/>
    <w:rsid w:val="19F06FEB"/>
    <w:rsid w:val="1A07B976"/>
    <w:rsid w:val="1A3480EE"/>
    <w:rsid w:val="1A43C1A5"/>
    <w:rsid w:val="1A554E79"/>
    <w:rsid w:val="1A5F6A84"/>
    <w:rsid w:val="1A641815"/>
    <w:rsid w:val="1AB3BD07"/>
    <w:rsid w:val="1AC66651"/>
    <w:rsid w:val="1AD80E63"/>
    <w:rsid w:val="1AE6A3DC"/>
    <w:rsid w:val="1B0DB211"/>
    <w:rsid w:val="1B148583"/>
    <w:rsid w:val="1B3DEFA9"/>
    <w:rsid w:val="1B408944"/>
    <w:rsid w:val="1B414974"/>
    <w:rsid w:val="1B45A24E"/>
    <w:rsid w:val="1B497054"/>
    <w:rsid w:val="1B79C8CF"/>
    <w:rsid w:val="1B89B9BC"/>
    <w:rsid w:val="1B904595"/>
    <w:rsid w:val="1BA6B235"/>
    <w:rsid w:val="1BBD712A"/>
    <w:rsid w:val="1BC011D0"/>
    <w:rsid w:val="1BC9B5F5"/>
    <w:rsid w:val="1BDAB39E"/>
    <w:rsid w:val="1BE4A4CB"/>
    <w:rsid w:val="1BEEEAEA"/>
    <w:rsid w:val="1BF431C1"/>
    <w:rsid w:val="1C06729E"/>
    <w:rsid w:val="1C12AD21"/>
    <w:rsid w:val="1C2F2879"/>
    <w:rsid w:val="1C5ABA0A"/>
    <w:rsid w:val="1C75B9E7"/>
    <w:rsid w:val="1C7CBD9D"/>
    <w:rsid w:val="1C8195AE"/>
    <w:rsid w:val="1CCF5EA3"/>
    <w:rsid w:val="1CD15BCC"/>
    <w:rsid w:val="1CD3A6D0"/>
    <w:rsid w:val="1D391082"/>
    <w:rsid w:val="1D4E6532"/>
    <w:rsid w:val="1D5903B5"/>
    <w:rsid w:val="1D59AFAA"/>
    <w:rsid w:val="1D63A929"/>
    <w:rsid w:val="1D666BD6"/>
    <w:rsid w:val="1D72E680"/>
    <w:rsid w:val="1D81D083"/>
    <w:rsid w:val="1D85FB84"/>
    <w:rsid w:val="1D8680E2"/>
    <w:rsid w:val="1D89AE4D"/>
    <w:rsid w:val="1D8BF7F3"/>
    <w:rsid w:val="1D9F33E3"/>
    <w:rsid w:val="1D9F4A72"/>
    <w:rsid w:val="1DA7D715"/>
    <w:rsid w:val="1DC8915B"/>
    <w:rsid w:val="1DE4A6B2"/>
    <w:rsid w:val="1DEB1642"/>
    <w:rsid w:val="1E1444D7"/>
    <w:rsid w:val="1E1F60C8"/>
    <w:rsid w:val="1E3924F1"/>
    <w:rsid w:val="1E478A9F"/>
    <w:rsid w:val="1E55A8C2"/>
    <w:rsid w:val="1E706CF3"/>
    <w:rsid w:val="1E87611C"/>
    <w:rsid w:val="1EB0C866"/>
    <w:rsid w:val="1F0616E8"/>
    <w:rsid w:val="1F165F25"/>
    <w:rsid w:val="1F1FC6B7"/>
    <w:rsid w:val="1F1FEA23"/>
    <w:rsid w:val="1F28FAE8"/>
    <w:rsid w:val="1F35A33C"/>
    <w:rsid w:val="1F43E5D4"/>
    <w:rsid w:val="1F49795E"/>
    <w:rsid w:val="1F4FB527"/>
    <w:rsid w:val="1F560D3D"/>
    <w:rsid w:val="1F8FCC03"/>
    <w:rsid w:val="1F95521D"/>
    <w:rsid w:val="1FA0C8BC"/>
    <w:rsid w:val="1FB4BA89"/>
    <w:rsid w:val="20179F32"/>
    <w:rsid w:val="20343476"/>
    <w:rsid w:val="203D08D6"/>
    <w:rsid w:val="2040B6D0"/>
    <w:rsid w:val="2045FB33"/>
    <w:rsid w:val="2073BFA6"/>
    <w:rsid w:val="20828C53"/>
    <w:rsid w:val="209D6E23"/>
    <w:rsid w:val="20B84B91"/>
    <w:rsid w:val="20BCC24F"/>
    <w:rsid w:val="20C335AA"/>
    <w:rsid w:val="20C6A700"/>
    <w:rsid w:val="20E94738"/>
    <w:rsid w:val="210B7DDA"/>
    <w:rsid w:val="210CE264"/>
    <w:rsid w:val="21411195"/>
    <w:rsid w:val="214EC534"/>
    <w:rsid w:val="21718DA7"/>
    <w:rsid w:val="21738CB0"/>
    <w:rsid w:val="217E738D"/>
    <w:rsid w:val="2181D4EC"/>
    <w:rsid w:val="219661F1"/>
    <w:rsid w:val="21C7CC3B"/>
    <w:rsid w:val="21CCAD20"/>
    <w:rsid w:val="21E28EEE"/>
    <w:rsid w:val="21E2EA44"/>
    <w:rsid w:val="2225F02C"/>
    <w:rsid w:val="22276290"/>
    <w:rsid w:val="2275BE42"/>
    <w:rsid w:val="228AAD97"/>
    <w:rsid w:val="229527E6"/>
    <w:rsid w:val="22A154BB"/>
    <w:rsid w:val="22A26E58"/>
    <w:rsid w:val="22E741DD"/>
    <w:rsid w:val="2313F89B"/>
    <w:rsid w:val="23176FBF"/>
    <w:rsid w:val="232D77BE"/>
    <w:rsid w:val="232D7F17"/>
    <w:rsid w:val="23339268"/>
    <w:rsid w:val="233D1506"/>
    <w:rsid w:val="2340AC58"/>
    <w:rsid w:val="23771A1B"/>
    <w:rsid w:val="23962682"/>
    <w:rsid w:val="23B0DD60"/>
    <w:rsid w:val="23E551BA"/>
    <w:rsid w:val="23EB9E46"/>
    <w:rsid w:val="23EEBB38"/>
    <w:rsid w:val="240528FD"/>
    <w:rsid w:val="241726C7"/>
    <w:rsid w:val="242AAF88"/>
    <w:rsid w:val="2430A0C0"/>
    <w:rsid w:val="2482077F"/>
    <w:rsid w:val="248EA58B"/>
    <w:rsid w:val="24A597BD"/>
    <w:rsid w:val="24A6EA52"/>
    <w:rsid w:val="24AB8B8E"/>
    <w:rsid w:val="24AE6043"/>
    <w:rsid w:val="24C7CF60"/>
    <w:rsid w:val="24D2C8FB"/>
    <w:rsid w:val="24E1647C"/>
    <w:rsid w:val="24EACD24"/>
    <w:rsid w:val="24FE630D"/>
    <w:rsid w:val="2513381A"/>
    <w:rsid w:val="251578A1"/>
    <w:rsid w:val="252E3DCD"/>
    <w:rsid w:val="252FCBF3"/>
    <w:rsid w:val="25461DD7"/>
    <w:rsid w:val="25476965"/>
    <w:rsid w:val="2567B068"/>
    <w:rsid w:val="256BA0EC"/>
    <w:rsid w:val="257A7395"/>
    <w:rsid w:val="258C55BD"/>
    <w:rsid w:val="258EC19F"/>
    <w:rsid w:val="259BB1B6"/>
    <w:rsid w:val="25FACA6A"/>
    <w:rsid w:val="26022D1D"/>
    <w:rsid w:val="26080377"/>
    <w:rsid w:val="2609963D"/>
    <w:rsid w:val="260B5199"/>
    <w:rsid w:val="260D2332"/>
    <w:rsid w:val="260DD51B"/>
    <w:rsid w:val="263F8B03"/>
    <w:rsid w:val="26520F8A"/>
    <w:rsid w:val="2656DBFD"/>
    <w:rsid w:val="26675B48"/>
    <w:rsid w:val="267935B0"/>
    <w:rsid w:val="268F64B9"/>
    <w:rsid w:val="26BDEEFE"/>
    <w:rsid w:val="26C1AD50"/>
    <w:rsid w:val="26CFA1A9"/>
    <w:rsid w:val="26DC1622"/>
    <w:rsid w:val="26E5AE89"/>
    <w:rsid w:val="26EBA408"/>
    <w:rsid w:val="26F30758"/>
    <w:rsid w:val="27282539"/>
    <w:rsid w:val="2730B43A"/>
    <w:rsid w:val="2734D42C"/>
    <w:rsid w:val="2735252F"/>
    <w:rsid w:val="274EB13B"/>
    <w:rsid w:val="2750B201"/>
    <w:rsid w:val="2752F15F"/>
    <w:rsid w:val="2768E726"/>
    <w:rsid w:val="2778874E"/>
    <w:rsid w:val="277D1378"/>
    <w:rsid w:val="279F7B3E"/>
    <w:rsid w:val="27AD032F"/>
    <w:rsid w:val="27AEF3FF"/>
    <w:rsid w:val="27DD414B"/>
    <w:rsid w:val="27F1D37B"/>
    <w:rsid w:val="27F2AF6F"/>
    <w:rsid w:val="28007509"/>
    <w:rsid w:val="281CCDB0"/>
    <w:rsid w:val="282A76A4"/>
    <w:rsid w:val="282F9E6B"/>
    <w:rsid w:val="2831364C"/>
    <w:rsid w:val="283B83EC"/>
    <w:rsid w:val="2842381B"/>
    <w:rsid w:val="284B3D25"/>
    <w:rsid w:val="28501B55"/>
    <w:rsid w:val="285A4D4B"/>
    <w:rsid w:val="286C2F29"/>
    <w:rsid w:val="288AEBE8"/>
    <w:rsid w:val="288FAF16"/>
    <w:rsid w:val="28918617"/>
    <w:rsid w:val="2893173E"/>
    <w:rsid w:val="2893CC00"/>
    <w:rsid w:val="289A3DDD"/>
    <w:rsid w:val="28BA0612"/>
    <w:rsid w:val="28BAA70B"/>
    <w:rsid w:val="28BAEC2E"/>
    <w:rsid w:val="28BEA849"/>
    <w:rsid w:val="28C2B44E"/>
    <w:rsid w:val="28C81A8D"/>
    <w:rsid w:val="28D0D9EB"/>
    <w:rsid w:val="28D65A02"/>
    <w:rsid w:val="28DA59C0"/>
    <w:rsid w:val="28DAF2C5"/>
    <w:rsid w:val="28E3B59C"/>
    <w:rsid w:val="2902EFD1"/>
    <w:rsid w:val="290876E3"/>
    <w:rsid w:val="2919A08B"/>
    <w:rsid w:val="29213BA3"/>
    <w:rsid w:val="29358B64"/>
    <w:rsid w:val="29392F9E"/>
    <w:rsid w:val="293B80E7"/>
    <w:rsid w:val="293ECBE6"/>
    <w:rsid w:val="29675634"/>
    <w:rsid w:val="2967D3D8"/>
    <w:rsid w:val="296E11F6"/>
    <w:rsid w:val="29A06AE5"/>
    <w:rsid w:val="29A13B6C"/>
    <w:rsid w:val="29AFB3EA"/>
    <w:rsid w:val="29C64655"/>
    <w:rsid w:val="29DE5C5C"/>
    <w:rsid w:val="29DF534B"/>
    <w:rsid w:val="29DF65F8"/>
    <w:rsid w:val="29E31016"/>
    <w:rsid w:val="29E37F55"/>
    <w:rsid w:val="29E52F92"/>
    <w:rsid w:val="29E6245D"/>
    <w:rsid w:val="2A0067D8"/>
    <w:rsid w:val="2A0499E6"/>
    <w:rsid w:val="2A07EE75"/>
    <w:rsid w:val="2A115E97"/>
    <w:rsid w:val="2A456B7B"/>
    <w:rsid w:val="2A68F219"/>
    <w:rsid w:val="2A81B8D4"/>
    <w:rsid w:val="2A8B0F54"/>
    <w:rsid w:val="2ABC626F"/>
    <w:rsid w:val="2AE239AD"/>
    <w:rsid w:val="2AF2D8A6"/>
    <w:rsid w:val="2B0AE726"/>
    <w:rsid w:val="2B29E723"/>
    <w:rsid w:val="2B3F781F"/>
    <w:rsid w:val="2B4660C6"/>
    <w:rsid w:val="2B4A14AA"/>
    <w:rsid w:val="2B566303"/>
    <w:rsid w:val="2B696183"/>
    <w:rsid w:val="2B6A18D0"/>
    <w:rsid w:val="2B7A4807"/>
    <w:rsid w:val="2B802D60"/>
    <w:rsid w:val="2B91CD94"/>
    <w:rsid w:val="2BB0B85E"/>
    <w:rsid w:val="2BB5150B"/>
    <w:rsid w:val="2BCACC34"/>
    <w:rsid w:val="2BD26171"/>
    <w:rsid w:val="2BE89A49"/>
    <w:rsid w:val="2BF6B64D"/>
    <w:rsid w:val="2BFC6846"/>
    <w:rsid w:val="2C177D34"/>
    <w:rsid w:val="2C6AEB10"/>
    <w:rsid w:val="2C81D51B"/>
    <w:rsid w:val="2C8DBFB0"/>
    <w:rsid w:val="2C975BE2"/>
    <w:rsid w:val="2C98164B"/>
    <w:rsid w:val="2CAD1C9C"/>
    <w:rsid w:val="2CC25BCD"/>
    <w:rsid w:val="2CE2DD2F"/>
    <w:rsid w:val="2CE433AD"/>
    <w:rsid w:val="2CE6D7D6"/>
    <w:rsid w:val="2D0306F3"/>
    <w:rsid w:val="2D0C27C9"/>
    <w:rsid w:val="2D1611AA"/>
    <w:rsid w:val="2D21682A"/>
    <w:rsid w:val="2D266481"/>
    <w:rsid w:val="2D40668A"/>
    <w:rsid w:val="2D4D8CBC"/>
    <w:rsid w:val="2DAF76D3"/>
    <w:rsid w:val="2DBDC883"/>
    <w:rsid w:val="2DCF456A"/>
    <w:rsid w:val="2DD19B3D"/>
    <w:rsid w:val="2DD545BF"/>
    <w:rsid w:val="2DD83E70"/>
    <w:rsid w:val="2DF4E054"/>
    <w:rsid w:val="2E009B55"/>
    <w:rsid w:val="2E328D78"/>
    <w:rsid w:val="2E3962F5"/>
    <w:rsid w:val="2E4DBB5D"/>
    <w:rsid w:val="2E66A0AC"/>
    <w:rsid w:val="2E68C3CB"/>
    <w:rsid w:val="2EAE261D"/>
    <w:rsid w:val="2EB40448"/>
    <w:rsid w:val="2ECCFCCD"/>
    <w:rsid w:val="2ED93FE1"/>
    <w:rsid w:val="2EEAF351"/>
    <w:rsid w:val="2EF6B3F8"/>
    <w:rsid w:val="2EFF89A1"/>
    <w:rsid w:val="2F010E83"/>
    <w:rsid w:val="2F066C6D"/>
    <w:rsid w:val="2F0E5479"/>
    <w:rsid w:val="2F0F6F8E"/>
    <w:rsid w:val="2F1B9254"/>
    <w:rsid w:val="2F1C05A6"/>
    <w:rsid w:val="2F370341"/>
    <w:rsid w:val="2F8FD240"/>
    <w:rsid w:val="2F9A9576"/>
    <w:rsid w:val="2FAA87EF"/>
    <w:rsid w:val="2FB73A3E"/>
    <w:rsid w:val="2FBBDCAD"/>
    <w:rsid w:val="2FCE8E90"/>
    <w:rsid w:val="2FD5C14C"/>
    <w:rsid w:val="2FDFAFE9"/>
    <w:rsid w:val="2FE4CD16"/>
    <w:rsid w:val="2FF189AC"/>
    <w:rsid w:val="2FFAB05E"/>
    <w:rsid w:val="301DD405"/>
    <w:rsid w:val="3024DEFA"/>
    <w:rsid w:val="30455949"/>
    <w:rsid w:val="305F651B"/>
    <w:rsid w:val="305F92C0"/>
    <w:rsid w:val="3063F118"/>
    <w:rsid w:val="3066C388"/>
    <w:rsid w:val="306CD712"/>
    <w:rsid w:val="30733DB4"/>
    <w:rsid w:val="30860CB7"/>
    <w:rsid w:val="30890019"/>
    <w:rsid w:val="308FCCFC"/>
    <w:rsid w:val="30BC3498"/>
    <w:rsid w:val="30C1A8D6"/>
    <w:rsid w:val="30C9D4B6"/>
    <w:rsid w:val="30E78159"/>
    <w:rsid w:val="30FF7F73"/>
    <w:rsid w:val="3109A69E"/>
    <w:rsid w:val="310F78BA"/>
    <w:rsid w:val="31155A24"/>
    <w:rsid w:val="311A319F"/>
    <w:rsid w:val="311D3272"/>
    <w:rsid w:val="312F8B82"/>
    <w:rsid w:val="31A17F3B"/>
    <w:rsid w:val="31C7BC95"/>
    <w:rsid w:val="31DD28FE"/>
    <w:rsid w:val="31E16294"/>
    <w:rsid w:val="31E2F708"/>
    <w:rsid w:val="31E56B27"/>
    <w:rsid w:val="31EE35AB"/>
    <w:rsid w:val="31EF50FC"/>
    <w:rsid w:val="320B1E5B"/>
    <w:rsid w:val="323C2F04"/>
    <w:rsid w:val="323F3F08"/>
    <w:rsid w:val="32465C66"/>
    <w:rsid w:val="325910E1"/>
    <w:rsid w:val="327170E0"/>
    <w:rsid w:val="327BB0D2"/>
    <w:rsid w:val="328410E0"/>
    <w:rsid w:val="32905D55"/>
    <w:rsid w:val="3295E122"/>
    <w:rsid w:val="3295F989"/>
    <w:rsid w:val="329C4819"/>
    <w:rsid w:val="32A75136"/>
    <w:rsid w:val="32D43B5D"/>
    <w:rsid w:val="32E33F73"/>
    <w:rsid w:val="32F1C009"/>
    <w:rsid w:val="32F9B1BE"/>
    <w:rsid w:val="33297EDA"/>
    <w:rsid w:val="33378D60"/>
    <w:rsid w:val="3338ECF8"/>
    <w:rsid w:val="3342FE4F"/>
    <w:rsid w:val="33478396"/>
    <w:rsid w:val="3356D1D9"/>
    <w:rsid w:val="339C587C"/>
    <w:rsid w:val="33A9011A"/>
    <w:rsid w:val="33A98A48"/>
    <w:rsid w:val="33D5E1CB"/>
    <w:rsid w:val="3400C884"/>
    <w:rsid w:val="34033F31"/>
    <w:rsid w:val="3451C3F0"/>
    <w:rsid w:val="345E5E0D"/>
    <w:rsid w:val="34719CDF"/>
    <w:rsid w:val="3485F2E6"/>
    <w:rsid w:val="34CA98C9"/>
    <w:rsid w:val="34CC5931"/>
    <w:rsid w:val="34D32EEB"/>
    <w:rsid w:val="34E7611C"/>
    <w:rsid w:val="34EA5674"/>
    <w:rsid w:val="3514F39F"/>
    <w:rsid w:val="351F8FDC"/>
    <w:rsid w:val="352F5507"/>
    <w:rsid w:val="35385423"/>
    <w:rsid w:val="354BBC2A"/>
    <w:rsid w:val="35539FF8"/>
    <w:rsid w:val="356611FE"/>
    <w:rsid w:val="35665870"/>
    <w:rsid w:val="3583EC97"/>
    <w:rsid w:val="35A9E9B9"/>
    <w:rsid w:val="35B39B65"/>
    <w:rsid w:val="35F8145B"/>
    <w:rsid w:val="35FD503D"/>
    <w:rsid w:val="360A473B"/>
    <w:rsid w:val="360EE0CB"/>
    <w:rsid w:val="3622D0D3"/>
    <w:rsid w:val="362A160F"/>
    <w:rsid w:val="3661A1D9"/>
    <w:rsid w:val="36713FBA"/>
    <w:rsid w:val="3672F798"/>
    <w:rsid w:val="36759BDB"/>
    <w:rsid w:val="367781C7"/>
    <w:rsid w:val="368BE077"/>
    <w:rsid w:val="368FC79B"/>
    <w:rsid w:val="369B6FDD"/>
    <w:rsid w:val="36EFBF09"/>
    <w:rsid w:val="36F6DDE1"/>
    <w:rsid w:val="37048485"/>
    <w:rsid w:val="371605CE"/>
    <w:rsid w:val="3720AF39"/>
    <w:rsid w:val="373AFE79"/>
    <w:rsid w:val="373F6641"/>
    <w:rsid w:val="374C8A98"/>
    <w:rsid w:val="375392D9"/>
    <w:rsid w:val="3756C49F"/>
    <w:rsid w:val="37A70997"/>
    <w:rsid w:val="37B10793"/>
    <w:rsid w:val="37E3D4AC"/>
    <w:rsid w:val="37F9F1F6"/>
    <w:rsid w:val="3800B3DD"/>
    <w:rsid w:val="382B9FD1"/>
    <w:rsid w:val="3834DB60"/>
    <w:rsid w:val="38387C24"/>
    <w:rsid w:val="383B608B"/>
    <w:rsid w:val="384825E4"/>
    <w:rsid w:val="38494BFC"/>
    <w:rsid w:val="386752CC"/>
    <w:rsid w:val="387570C4"/>
    <w:rsid w:val="387A2CA2"/>
    <w:rsid w:val="3887AF79"/>
    <w:rsid w:val="388DD7C7"/>
    <w:rsid w:val="38B6E7CE"/>
    <w:rsid w:val="38BA0296"/>
    <w:rsid w:val="38BDCCEF"/>
    <w:rsid w:val="38CD79FF"/>
    <w:rsid w:val="38E0429D"/>
    <w:rsid w:val="390743AC"/>
    <w:rsid w:val="39079BFC"/>
    <w:rsid w:val="39293A60"/>
    <w:rsid w:val="392A9E82"/>
    <w:rsid w:val="392B999A"/>
    <w:rsid w:val="39764828"/>
    <w:rsid w:val="398A0359"/>
    <w:rsid w:val="398F63B4"/>
    <w:rsid w:val="3995AB3B"/>
    <w:rsid w:val="39AEEB52"/>
    <w:rsid w:val="39F17EBE"/>
    <w:rsid w:val="39FF29EC"/>
    <w:rsid w:val="3A0CEF76"/>
    <w:rsid w:val="3A291766"/>
    <w:rsid w:val="3A36714A"/>
    <w:rsid w:val="3A4B8271"/>
    <w:rsid w:val="3A549E8E"/>
    <w:rsid w:val="3A602EE5"/>
    <w:rsid w:val="3A64427D"/>
    <w:rsid w:val="3A6E375D"/>
    <w:rsid w:val="3A74904A"/>
    <w:rsid w:val="3A7A8FB6"/>
    <w:rsid w:val="3A959512"/>
    <w:rsid w:val="3AED79ED"/>
    <w:rsid w:val="3AEEF31A"/>
    <w:rsid w:val="3AFDEEF6"/>
    <w:rsid w:val="3B0ECD7F"/>
    <w:rsid w:val="3B12F747"/>
    <w:rsid w:val="3B13D352"/>
    <w:rsid w:val="3B30F76E"/>
    <w:rsid w:val="3B486181"/>
    <w:rsid w:val="3B548675"/>
    <w:rsid w:val="3B686EB7"/>
    <w:rsid w:val="3B6EEDF6"/>
    <w:rsid w:val="3B89199D"/>
    <w:rsid w:val="3B9505A4"/>
    <w:rsid w:val="3BCF0000"/>
    <w:rsid w:val="3BE0CB64"/>
    <w:rsid w:val="3BE5A596"/>
    <w:rsid w:val="3C00A2EE"/>
    <w:rsid w:val="3C03E998"/>
    <w:rsid w:val="3C45F5B2"/>
    <w:rsid w:val="3C4EEE63"/>
    <w:rsid w:val="3C5C3D91"/>
    <w:rsid w:val="3C5F4412"/>
    <w:rsid w:val="3C716EC8"/>
    <w:rsid w:val="3C920801"/>
    <w:rsid w:val="3CA166B2"/>
    <w:rsid w:val="3CAD7E7F"/>
    <w:rsid w:val="3CBC63F9"/>
    <w:rsid w:val="3CD53237"/>
    <w:rsid w:val="3D10BE34"/>
    <w:rsid w:val="3D4728B3"/>
    <w:rsid w:val="3D7F13B3"/>
    <w:rsid w:val="3D9DF493"/>
    <w:rsid w:val="3D9E6902"/>
    <w:rsid w:val="3DA77DF4"/>
    <w:rsid w:val="3DB34842"/>
    <w:rsid w:val="3E018042"/>
    <w:rsid w:val="3E12D63A"/>
    <w:rsid w:val="3E148919"/>
    <w:rsid w:val="3E33AE52"/>
    <w:rsid w:val="3E488ADE"/>
    <w:rsid w:val="3E5259C8"/>
    <w:rsid w:val="3E630422"/>
    <w:rsid w:val="3E64D300"/>
    <w:rsid w:val="3E665108"/>
    <w:rsid w:val="3EA17C39"/>
    <w:rsid w:val="3EAD982B"/>
    <w:rsid w:val="3EB578A1"/>
    <w:rsid w:val="3EBA086B"/>
    <w:rsid w:val="3EC801CB"/>
    <w:rsid w:val="3F086CBC"/>
    <w:rsid w:val="3F34FBB1"/>
    <w:rsid w:val="3F4429BE"/>
    <w:rsid w:val="3F49DED5"/>
    <w:rsid w:val="3F5396CF"/>
    <w:rsid w:val="3F54354F"/>
    <w:rsid w:val="3F5B7A0B"/>
    <w:rsid w:val="3F6951CF"/>
    <w:rsid w:val="3F759C24"/>
    <w:rsid w:val="3F8E79E4"/>
    <w:rsid w:val="3FA68B34"/>
    <w:rsid w:val="3FA75604"/>
    <w:rsid w:val="3FB6C287"/>
    <w:rsid w:val="3FB7056A"/>
    <w:rsid w:val="3FC2B934"/>
    <w:rsid w:val="3FCB43B2"/>
    <w:rsid w:val="3FE2BEA0"/>
    <w:rsid w:val="3FEBE6F4"/>
    <w:rsid w:val="3FF4A28D"/>
    <w:rsid w:val="40071761"/>
    <w:rsid w:val="403B7945"/>
    <w:rsid w:val="406ADAE5"/>
    <w:rsid w:val="406D8763"/>
    <w:rsid w:val="407A7A5D"/>
    <w:rsid w:val="407EA399"/>
    <w:rsid w:val="4084293E"/>
    <w:rsid w:val="4090E1BD"/>
    <w:rsid w:val="40A17127"/>
    <w:rsid w:val="40A5A4FC"/>
    <w:rsid w:val="40B9077D"/>
    <w:rsid w:val="40B970C0"/>
    <w:rsid w:val="40BCDA3C"/>
    <w:rsid w:val="40EA1370"/>
    <w:rsid w:val="40EB7BA5"/>
    <w:rsid w:val="40FA607A"/>
    <w:rsid w:val="410D2B2E"/>
    <w:rsid w:val="41186F5D"/>
    <w:rsid w:val="41259885"/>
    <w:rsid w:val="412D967C"/>
    <w:rsid w:val="414DF340"/>
    <w:rsid w:val="41638FC5"/>
    <w:rsid w:val="417797BB"/>
    <w:rsid w:val="4179EF9F"/>
    <w:rsid w:val="418D9092"/>
    <w:rsid w:val="41997857"/>
    <w:rsid w:val="41B30808"/>
    <w:rsid w:val="41C7A266"/>
    <w:rsid w:val="41D5E6D7"/>
    <w:rsid w:val="41DC2260"/>
    <w:rsid w:val="41E78DE0"/>
    <w:rsid w:val="4206A25B"/>
    <w:rsid w:val="4215A3BE"/>
    <w:rsid w:val="42337850"/>
    <w:rsid w:val="42368317"/>
    <w:rsid w:val="423984B5"/>
    <w:rsid w:val="4265DFD7"/>
    <w:rsid w:val="426A4BCD"/>
    <w:rsid w:val="427C41E4"/>
    <w:rsid w:val="428070D0"/>
    <w:rsid w:val="4289D7D8"/>
    <w:rsid w:val="4291E6B1"/>
    <w:rsid w:val="429FA160"/>
    <w:rsid w:val="42C03A52"/>
    <w:rsid w:val="42C38742"/>
    <w:rsid w:val="42C529BB"/>
    <w:rsid w:val="42D54DE9"/>
    <w:rsid w:val="42DC8DF6"/>
    <w:rsid w:val="42F11AA2"/>
    <w:rsid w:val="42F957C8"/>
    <w:rsid w:val="43038C43"/>
    <w:rsid w:val="43097FFD"/>
    <w:rsid w:val="43214BBE"/>
    <w:rsid w:val="43317CA7"/>
    <w:rsid w:val="433307DA"/>
    <w:rsid w:val="4338FBD0"/>
    <w:rsid w:val="434DB7BF"/>
    <w:rsid w:val="435B2116"/>
    <w:rsid w:val="437CDA6C"/>
    <w:rsid w:val="438F2DA3"/>
    <w:rsid w:val="439E11AB"/>
    <w:rsid w:val="43D3E8D5"/>
    <w:rsid w:val="43D4E3CD"/>
    <w:rsid w:val="43D95ED7"/>
    <w:rsid w:val="43EA9816"/>
    <w:rsid w:val="43F0F296"/>
    <w:rsid w:val="43F47C55"/>
    <w:rsid w:val="43FC6203"/>
    <w:rsid w:val="441AEC74"/>
    <w:rsid w:val="44364309"/>
    <w:rsid w:val="44419ECA"/>
    <w:rsid w:val="44456DF8"/>
    <w:rsid w:val="4445B8AA"/>
    <w:rsid w:val="4456F78A"/>
    <w:rsid w:val="446BD8CE"/>
    <w:rsid w:val="44800C82"/>
    <w:rsid w:val="44C3DE1E"/>
    <w:rsid w:val="44D01C69"/>
    <w:rsid w:val="44D34105"/>
    <w:rsid w:val="44E947CB"/>
    <w:rsid w:val="450D218E"/>
    <w:rsid w:val="451FB67B"/>
    <w:rsid w:val="4538B2B7"/>
    <w:rsid w:val="453C7EE7"/>
    <w:rsid w:val="453D07FA"/>
    <w:rsid w:val="457A0C17"/>
    <w:rsid w:val="457B7DBA"/>
    <w:rsid w:val="458DDDC6"/>
    <w:rsid w:val="458F7E50"/>
    <w:rsid w:val="4590E3BD"/>
    <w:rsid w:val="459810B7"/>
    <w:rsid w:val="45CE3BC2"/>
    <w:rsid w:val="45D33E18"/>
    <w:rsid w:val="45D5DE22"/>
    <w:rsid w:val="46117EF2"/>
    <w:rsid w:val="4612D9E4"/>
    <w:rsid w:val="46161490"/>
    <w:rsid w:val="461BDCE3"/>
    <w:rsid w:val="463BDF81"/>
    <w:rsid w:val="46465354"/>
    <w:rsid w:val="46490D36"/>
    <w:rsid w:val="4653D8EE"/>
    <w:rsid w:val="4661C6C7"/>
    <w:rsid w:val="4674E18E"/>
    <w:rsid w:val="46887595"/>
    <w:rsid w:val="468DC9FC"/>
    <w:rsid w:val="469884EF"/>
    <w:rsid w:val="46B2464F"/>
    <w:rsid w:val="46D41AB1"/>
    <w:rsid w:val="46E4702A"/>
    <w:rsid w:val="46EFE22B"/>
    <w:rsid w:val="470C1208"/>
    <w:rsid w:val="47275AFD"/>
    <w:rsid w:val="47564EB9"/>
    <w:rsid w:val="4757EE78"/>
    <w:rsid w:val="4762D2B5"/>
    <w:rsid w:val="4763F9D7"/>
    <w:rsid w:val="4798B5E5"/>
    <w:rsid w:val="479A02C8"/>
    <w:rsid w:val="479C50C4"/>
    <w:rsid w:val="47BB0202"/>
    <w:rsid w:val="47E53E01"/>
    <w:rsid w:val="47ECF172"/>
    <w:rsid w:val="47F20F01"/>
    <w:rsid w:val="47F49B7E"/>
    <w:rsid w:val="48057DCD"/>
    <w:rsid w:val="485FF858"/>
    <w:rsid w:val="4868C91A"/>
    <w:rsid w:val="486AEC0C"/>
    <w:rsid w:val="486CAC0D"/>
    <w:rsid w:val="489F2E9D"/>
    <w:rsid w:val="48A442B0"/>
    <w:rsid w:val="48A7BDD8"/>
    <w:rsid w:val="48A88F35"/>
    <w:rsid w:val="48B3914F"/>
    <w:rsid w:val="48B9CEF7"/>
    <w:rsid w:val="48BDB720"/>
    <w:rsid w:val="48CE1093"/>
    <w:rsid w:val="48D8A5E0"/>
    <w:rsid w:val="48DA523E"/>
    <w:rsid w:val="49100C43"/>
    <w:rsid w:val="49160764"/>
    <w:rsid w:val="49244893"/>
    <w:rsid w:val="49271E92"/>
    <w:rsid w:val="495C7331"/>
    <w:rsid w:val="495E6619"/>
    <w:rsid w:val="497555F2"/>
    <w:rsid w:val="49765B67"/>
    <w:rsid w:val="4992D0DE"/>
    <w:rsid w:val="49AF9F56"/>
    <w:rsid w:val="49B1233F"/>
    <w:rsid w:val="49B5C1A3"/>
    <w:rsid w:val="49BA1CB0"/>
    <w:rsid w:val="49BBB7F8"/>
    <w:rsid w:val="4A51F251"/>
    <w:rsid w:val="4A54F830"/>
    <w:rsid w:val="4A6252D5"/>
    <w:rsid w:val="4A71846C"/>
    <w:rsid w:val="4A7D4CD8"/>
    <w:rsid w:val="4A7ED042"/>
    <w:rsid w:val="4A819AAE"/>
    <w:rsid w:val="4A85ACD1"/>
    <w:rsid w:val="4AA16B9B"/>
    <w:rsid w:val="4AAF3E75"/>
    <w:rsid w:val="4AAF636E"/>
    <w:rsid w:val="4AC82A87"/>
    <w:rsid w:val="4AD6B4E8"/>
    <w:rsid w:val="4B0D2546"/>
    <w:rsid w:val="4B185584"/>
    <w:rsid w:val="4B18C70B"/>
    <w:rsid w:val="4B27B882"/>
    <w:rsid w:val="4B6115B1"/>
    <w:rsid w:val="4B7ED6EA"/>
    <w:rsid w:val="4B845DFE"/>
    <w:rsid w:val="4B9A866B"/>
    <w:rsid w:val="4BA243CB"/>
    <w:rsid w:val="4BC2B83F"/>
    <w:rsid w:val="4BF15CA4"/>
    <w:rsid w:val="4C031D94"/>
    <w:rsid w:val="4C11DDF5"/>
    <w:rsid w:val="4C28973A"/>
    <w:rsid w:val="4C3577E6"/>
    <w:rsid w:val="4C42C671"/>
    <w:rsid w:val="4C615B84"/>
    <w:rsid w:val="4C649450"/>
    <w:rsid w:val="4C65BFE4"/>
    <w:rsid w:val="4C9A0B51"/>
    <w:rsid w:val="4CA8E43A"/>
    <w:rsid w:val="4CBE0ACA"/>
    <w:rsid w:val="4CE2F0A6"/>
    <w:rsid w:val="4D049640"/>
    <w:rsid w:val="4D04B19A"/>
    <w:rsid w:val="4D062BCF"/>
    <w:rsid w:val="4D070A46"/>
    <w:rsid w:val="4D19A9E6"/>
    <w:rsid w:val="4D31F01E"/>
    <w:rsid w:val="4D3E602B"/>
    <w:rsid w:val="4D3FBC25"/>
    <w:rsid w:val="4D465964"/>
    <w:rsid w:val="4D4938EB"/>
    <w:rsid w:val="4D5B06D7"/>
    <w:rsid w:val="4D5EBC8E"/>
    <w:rsid w:val="4D6F0F6C"/>
    <w:rsid w:val="4D6FC1AF"/>
    <w:rsid w:val="4D76712E"/>
    <w:rsid w:val="4DD7642C"/>
    <w:rsid w:val="4DF9DFD7"/>
    <w:rsid w:val="4E035C38"/>
    <w:rsid w:val="4E106424"/>
    <w:rsid w:val="4E297333"/>
    <w:rsid w:val="4E3E1EF8"/>
    <w:rsid w:val="4E4B4C27"/>
    <w:rsid w:val="4E60776A"/>
    <w:rsid w:val="4E693B09"/>
    <w:rsid w:val="4E6CBDF5"/>
    <w:rsid w:val="4E83A76D"/>
    <w:rsid w:val="4E9A9BA8"/>
    <w:rsid w:val="4EA772E9"/>
    <w:rsid w:val="4EAA40A8"/>
    <w:rsid w:val="4EC6666D"/>
    <w:rsid w:val="4ECC1B24"/>
    <w:rsid w:val="4ECFBC90"/>
    <w:rsid w:val="4F027E52"/>
    <w:rsid w:val="4F232A49"/>
    <w:rsid w:val="4F49C979"/>
    <w:rsid w:val="4F4E228B"/>
    <w:rsid w:val="4F989541"/>
    <w:rsid w:val="4FC60D95"/>
    <w:rsid w:val="4FD445D9"/>
    <w:rsid w:val="4FFA8098"/>
    <w:rsid w:val="5020BB97"/>
    <w:rsid w:val="50413907"/>
    <w:rsid w:val="50473A07"/>
    <w:rsid w:val="505A0F80"/>
    <w:rsid w:val="50908449"/>
    <w:rsid w:val="50A72E84"/>
    <w:rsid w:val="50ABC873"/>
    <w:rsid w:val="50BA2D74"/>
    <w:rsid w:val="50C3FF47"/>
    <w:rsid w:val="51066EE3"/>
    <w:rsid w:val="510E644A"/>
    <w:rsid w:val="5114EA3D"/>
    <w:rsid w:val="5116FB90"/>
    <w:rsid w:val="51178790"/>
    <w:rsid w:val="511815E4"/>
    <w:rsid w:val="5126E6DD"/>
    <w:rsid w:val="51781468"/>
    <w:rsid w:val="51AB336C"/>
    <w:rsid w:val="51B3DE1C"/>
    <w:rsid w:val="51B9D8CC"/>
    <w:rsid w:val="51D44B2D"/>
    <w:rsid w:val="51F1CBDA"/>
    <w:rsid w:val="51FB6A97"/>
    <w:rsid w:val="5246AA1A"/>
    <w:rsid w:val="524ADFB3"/>
    <w:rsid w:val="525D5FFE"/>
    <w:rsid w:val="52738C29"/>
    <w:rsid w:val="52D7C6BE"/>
    <w:rsid w:val="52F1BA8B"/>
    <w:rsid w:val="52FA3019"/>
    <w:rsid w:val="5308125A"/>
    <w:rsid w:val="5315B08E"/>
    <w:rsid w:val="531F9C78"/>
    <w:rsid w:val="5324F862"/>
    <w:rsid w:val="535C9AB9"/>
    <w:rsid w:val="538720AE"/>
    <w:rsid w:val="5392995A"/>
    <w:rsid w:val="53A3B8EF"/>
    <w:rsid w:val="53BA2880"/>
    <w:rsid w:val="53F4A342"/>
    <w:rsid w:val="54310219"/>
    <w:rsid w:val="545A25D0"/>
    <w:rsid w:val="546504F9"/>
    <w:rsid w:val="5465C9A4"/>
    <w:rsid w:val="547B49AC"/>
    <w:rsid w:val="549161B7"/>
    <w:rsid w:val="5498AD2D"/>
    <w:rsid w:val="549F9C4E"/>
    <w:rsid w:val="54A75E68"/>
    <w:rsid w:val="54EA2628"/>
    <w:rsid w:val="55214976"/>
    <w:rsid w:val="552561F3"/>
    <w:rsid w:val="5532DB5A"/>
    <w:rsid w:val="5536635A"/>
    <w:rsid w:val="5569680D"/>
    <w:rsid w:val="557BE46F"/>
    <w:rsid w:val="55ABF9AE"/>
    <w:rsid w:val="55CF8E94"/>
    <w:rsid w:val="55D30A99"/>
    <w:rsid w:val="55DCF035"/>
    <w:rsid w:val="55E92C2F"/>
    <w:rsid w:val="5637C353"/>
    <w:rsid w:val="563DCC93"/>
    <w:rsid w:val="5648F083"/>
    <w:rsid w:val="564B7DF0"/>
    <w:rsid w:val="56810B8E"/>
    <w:rsid w:val="5685A58B"/>
    <w:rsid w:val="568FBBC5"/>
    <w:rsid w:val="56A1AF50"/>
    <w:rsid w:val="56AABCFD"/>
    <w:rsid w:val="56AD0021"/>
    <w:rsid w:val="56C4E680"/>
    <w:rsid w:val="56C69201"/>
    <w:rsid w:val="56C907D1"/>
    <w:rsid w:val="56DA631D"/>
    <w:rsid w:val="56F0E88B"/>
    <w:rsid w:val="5702598C"/>
    <w:rsid w:val="57217004"/>
    <w:rsid w:val="5733A261"/>
    <w:rsid w:val="57391336"/>
    <w:rsid w:val="573FFB21"/>
    <w:rsid w:val="57440749"/>
    <w:rsid w:val="57812292"/>
    <w:rsid w:val="57861018"/>
    <w:rsid w:val="5794648D"/>
    <w:rsid w:val="579946AA"/>
    <w:rsid w:val="57A1957A"/>
    <w:rsid w:val="57B15448"/>
    <w:rsid w:val="57BD4000"/>
    <w:rsid w:val="57BDAF5F"/>
    <w:rsid w:val="57CEA2B0"/>
    <w:rsid w:val="57D411A8"/>
    <w:rsid w:val="57DA1724"/>
    <w:rsid w:val="57FC235B"/>
    <w:rsid w:val="5815BFC7"/>
    <w:rsid w:val="5825358C"/>
    <w:rsid w:val="583F94C2"/>
    <w:rsid w:val="584140FB"/>
    <w:rsid w:val="586C81DD"/>
    <w:rsid w:val="58736E9B"/>
    <w:rsid w:val="587C70C4"/>
    <w:rsid w:val="58975415"/>
    <w:rsid w:val="58A043CB"/>
    <w:rsid w:val="58BCB45A"/>
    <w:rsid w:val="58E04071"/>
    <w:rsid w:val="58E35D07"/>
    <w:rsid w:val="590156B9"/>
    <w:rsid w:val="591C65AC"/>
    <w:rsid w:val="593416D3"/>
    <w:rsid w:val="596C56BF"/>
    <w:rsid w:val="5989B85E"/>
    <w:rsid w:val="598DC2C8"/>
    <w:rsid w:val="599639D1"/>
    <w:rsid w:val="59982452"/>
    <w:rsid w:val="59A687C1"/>
    <w:rsid w:val="59BA01ED"/>
    <w:rsid w:val="5A1CDB0B"/>
    <w:rsid w:val="5A1D54D1"/>
    <w:rsid w:val="5A219DA7"/>
    <w:rsid w:val="5A45F4E1"/>
    <w:rsid w:val="5A58E0CE"/>
    <w:rsid w:val="5A643308"/>
    <w:rsid w:val="5A7226F1"/>
    <w:rsid w:val="5A77062F"/>
    <w:rsid w:val="5A8824D9"/>
    <w:rsid w:val="5A9F11C9"/>
    <w:rsid w:val="5AAEF180"/>
    <w:rsid w:val="5ABC606D"/>
    <w:rsid w:val="5AD2DCD6"/>
    <w:rsid w:val="5AD627C6"/>
    <w:rsid w:val="5AD895B0"/>
    <w:rsid w:val="5AE91BF8"/>
    <w:rsid w:val="5AF24AA2"/>
    <w:rsid w:val="5AF8345B"/>
    <w:rsid w:val="5B161C75"/>
    <w:rsid w:val="5B2CE478"/>
    <w:rsid w:val="5B38BB7F"/>
    <w:rsid w:val="5B394764"/>
    <w:rsid w:val="5B5217E1"/>
    <w:rsid w:val="5B529DF5"/>
    <w:rsid w:val="5B923983"/>
    <w:rsid w:val="5BCFCD6D"/>
    <w:rsid w:val="5BD6E329"/>
    <w:rsid w:val="5BFE5F23"/>
    <w:rsid w:val="5C0847F5"/>
    <w:rsid w:val="5C21F2F1"/>
    <w:rsid w:val="5C30CD47"/>
    <w:rsid w:val="5C361B4E"/>
    <w:rsid w:val="5C41C0C4"/>
    <w:rsid w:val="5C7F6887"/>
    <w:rsid w:val="5C9DCC5D"/>
    <w:rsid w:val="5CC2AA0A"/>
    <w:rsid w:val="5CCDF67A"/>
    <w:rsid w:val="5CEDE753"/>
    <w:rsid w:val="5CF54413"/>
    <w:rsid w:val="5CF5C568"/>
    <w:rsid w:val="5CFD45B1"/>
    <w:rsid w:val="5D036CA4"/>
    <w:rsid w:val="5D1280AA"/>
    <w:rsid w:val="5D27361B"/>
    <w:rsid w:val="5D279C14"/>
    <w:rsid w:val="5D30A2FD"/>
    <w:rsid w:val="5D333998"/>
    <w:rsid w:val="5D3F8DEA"/>
    <w:rsid w:val="5D55986F"/>
    <w:rsid w:val="5D8A8BB1"/>
    <w:rsid w:val="5D8CBBDC"/>
    <w:rsid w:val="5DB0EBE3"/>
    <w:rsid w:val="5DCB72C4"/>
    <w:rsid w:val="5DD5E812"/>
    <w:rsid w:val="5E2A1DF5"/>
    <w:rsid w:val="5E340F8C"/>
    <w:rsid w:val="5E4966CB"/>
    <w:rsid w:val="5E4A8E29"/>
    <w:rsid w:val="5E53F8B4"/>
    <w:rsid w:val="5E7A8D44"/>
    <w:rsid w:val="5E8A697C"/>
    <w:rsid w:val="5EAEC57D"/>
    <w:rsid w:val="5EE29FB0"/>
    <w:rsid w:val="5EE4DF9B"/>
    <w:rsid w:val="5EED8046"/>
    <w:rsid w:val="5EFE3C62"/>
    <w:rsid w:val="5F061425"/>
    <w:rsid w:val="5F1A925D"/>
    <w:rsid w:val="5F1C739C"/>
    <w:rsid w:val="5F29F411"/>
    <w:rsid w:val="5F47C7D8"/>
    <w:rsid w:val="5F55C2EE"/>
    <w:rsid w:val="5F5DAA63"/>
    <w:rsid w:val="5F694D71"/>
    <w:rsid w:val="5F7ECF55"/>
    <w:rsid w:val="5F93182A"/>
    <w:rsid w:val="5FA2D939"/>
    <w:rsid w:val="5FB5EF20"/>
    <w:rsid w:val="5FBF427A"/>
    <w:rsid w:val="5FCC88E4"/>
    <w:rsid w:val="5FDA1C37"/>
    <w:rsid w:val="5FE3CA02"/>
    <w:rsid w:val="5FF002E7"/>
    <w:rsid w:val="600412E2"/>
    <w:rsid w:val="6006EABF"/>
    <w:rsid w:val="600921A0"/>
    <w:rsid w:val="6020AF97"/>
    <w:rsid w:val="60277455"/>
    <w:rsid w:val="6047A8D7"/>
    <w:rsid w:val="604C7984"/>
    <w:rsid w:val="605A2103"/>
    <w:rsid w:val="6090A926"/>
    <w:rsid w:val="60C8C21A"/>
    <w:rsid w:val="60CD870D"/>
    <w:rsid w:val="60D32272"/>
    <w:rsid w:val="60EF10FC"/>
    <w:rsid w:val="611C34DD"/>
    <w:rsid w:val="6122359C"/>
    <w:rsid w:val="6148E681"/>
    <w:rsid w:val="614B27DF"/>
    <w:rsid w:val="61593871"/>
    <w:rsid w:val="6170008E"/>
    <w:rsid w:val="6193BE8F"/>
    <w:rsid w:val="619502B2"/>
    <w:rsid w:val="61DBA5DF"/>
    <w:rsid w:val="61E0065A"/>
    <w:rsid w:val="61E59809"/>
    <w:rsid w:val="61FBD522"/>
    <w:rsid w:val="6200C0AE"/>
    <w:rsid w:val="6264AECF"/>
    <w:rsid w:val="6272BA7A"/>
    <w:rsid w:val="627C60A6"/>
    <w:rsid w:val="628AF121"/>
    <w:rsid w:val="6294112B"/>
    <w:rsid w:val="62B588D1"/>
    <w:rsid w:val="62BD2DDF"/>
    <w:rsid w:val="62E22A5C"/>
    <w:rsid w:val="62FBA5F3"/>
    <w:rsid w:val="63028CB2"/>
    <w:rsid w:val="630F1C85"/>
    <w:rsid w:val="633D35D1"/>
    <w:rsid w:val="6360AA15"/>
    <w:rsid w:val="6385877C"/>
    <w:rsid w:val="63A195EF"/>
    <w:rsid w:val="63E29777"/>
    <w:rsid w:val="63FF4457"/>
    <w:rsid w:val="6415775C"/>
    <w:rsid w:val="641DE5F1"/>
    <w:rsid w:val="6420828C"/>
    <w:rsid w:val="6445078C"/>
    <w:rsid w:val="64515B97"/>
    <w:rsid w:val="6454EDF4"/>
    <w:rsid w:val="647DEC96"/>
    <w:rsid w:val="64962CB8"/>
    <w:rsid w:val="64D338D6"/>
    <w:rsid w:val="64E4569C"/>
    <w:rsid w:val="65247CA8"/>
    <w:rsid w:val="652AE07B"/>
    <w:rsid w:val="6539279C"/>
    <w:rsid w:val="655E79A6"/>
    <w:rsid w:val="656E896D"/>
    <w:rsid w:val="65904B2D"/>
    <w:rsid w:val="65B68C22"/>
    <w:rsid w:val="6603303F"/>
    <w:rsid w:val="6605A533"/>
    <w:rsid w:val="661AC814"/>
    <w:rsid w:val="66266119"/>
    <w:rsid w:val="66296079"/>
    <w:rsid w:val="665FDC5B"/>
    <w:rsid w:val="667AD8FA"/>
    <w:rsid w:val="66884BE6"/>
    <w:rsid w:val="66A9BFE8"/>
    <w:rsid w:val="66B1AE32"/>
    <w:rsid w:val="66BEADA8"/>
    <w:rsid w:val="66C7D72D"/>
    <w:rsid w:val="66D0C087"/>
    <w:rsid w:val="671E1932"/>
    <w:rsid w:val="67262BE0"/>
    <w:rsid w:val="6735B451"/>
    <w:rsid w:val="67401004"/>
    <w:rsid w:val="67543D58"/>
    <w:rsid w:val="676B8C1C"/>
    <w:rsid w:val="676D4036"/>
    <w:rsid w:val="6789BDBA"/>
    <w:rsid w:val="679ECCC9"/>
    <w:rsid w:val="67ACE0CB"/>
    <w:rsid w:val="67C96C0D"/>
    <w:rsid w:val="67CE75F1"/>
    <w:rsid w:val="67D2BA01"/>
    <w:rsid w:val="67E2FB83"/>
    <w:rsid w:val="67ED6253"/>
    <w:rsid w:val="67FB21AD"/>
    <w:rsid w:val="6804A5A0"/>
    <w:rsid w:val="681EFFCC"/>
    <w:rsid w:val="683A9CEB"/>
    <w:rsid w:val="683D5FFC"/>
    <w:rsid w:val="6859CA88"/>
    <w:rsid w:val="68665543"/>
    <w:rsid w:val="6870185D"/>
    <w:rsid w:val="688860AD"/>
    <w:rsid w:val="68927F3E"/>
    <w:rsid w:val="68959109"/>
    <w:rsid w:val="68A65D55"/>
    <w:rsid w:val="68C2D64E"/>
    <w:rsid w:val="68E39462"/>
    <w:rsid w:val="68FD959D"/>
    <w:rsid w:val="69004351"/>
    <w:rsid w:val="69048F5E"/>
    <w:rsid w:val="6922D5D8"/>
    <w:rsid w:val="6933965A"/>
    <w:rsid w:val="693BF1C5"/>
    <w:rsid w:val="694611CB"/>
    <w:rsid w:val="6956EBE8"/>
    <w:rsid w:val="695DF32D"/>
    <w:rsid w:val="699A35E1"/>
    <w:rsid w:val="69AF5B78"/>
    <w:rsid w:val="69BA821D"/>
    <w:rsid w:val="69C4994A"/>
    <w:rsid w:val="69CA8A86"/>
    <w:rsid w:val="69D9ADB7"/>
    <w:rsid w:val="69E2DCC7"/>
    <w:rsid w:val="69E7D591"/>
    <w:rsid w:val="6A2A0021"/>
    <w:rsid w:val="6A367150"/>
    <w:rsid w:val="6A5BBD7A"/>
    <w:rsid w:val="6A5BFFD3"/>
    <w:rsid w:val="6A5FD2E6"/>
    <w:rsid w:val="6A734D73"/>
    <w:rsid w:val="6A7F93F2"/>
    <w:rsid w:val="6A8A768D"/>
    <w:rsid w:val="6AB4E5A9"/>
    <w:rsid w:val="6AB90283"/>
    <w:rsid w:val="6AC2DD67"/>
    <w:rsid w:val="6AF191D0"/>
    <w:rsid w:val="6B15286B"/>
    <w:rsid w:val="6B87C9A4"/>
    <w:rsid w:val="6B915E94"/>
    <w:rsid w:val="6BB9F9B1"/>
    <w:rsid w:val="6BBD998B"/>
    <w:rsid w:val="6BD95103"/>
    <w:rsid w:val="6BE3A322"/>
    <w:rsid w:val="6BFA50F1"/>
    <w:rsid w:val="6C0C1C9A"/>
    <w:rsid w:val="6C1F2A08"/>
    <w:rsid w:val="6C2013DC"/>
    <w:rsid w:val="6C2C7D0D"/>
    <w:rsid w:val="6C31185E"/>
    <w:rsid w:val="6C38DE6E"/>
    <w:rsid w:val="6C3D53D2"/>
    <w:rsid w:val="6C4F1D9A"/>
    <w:rsid w:val="6C52C0E4"/>
    <w:rsid w:val="6CC74A77"/>
    <w:rsid w:val="6CEC0807"/>
    <w:rsid w:val="6CED2733"/>
    <w:rsid w:val="6D1ACEB2"/>
    <w:rsid w:val="6D2691AD"/>
    <w:rsid w:val="6D3B3B1C"/>
    <w:rsid w:val="6D40A851"/>
    <w:rsid w:val="6D61F9F7"/>
    <w:rsid w:val="6D621984"/>
    <w:rsid w:val="6D79963D"/>
    <w:rsid w:val="6D98A382"/>
    <w:rsid w:val="6DA8EB8B"/>
    <w:rsid w:val="6DBF2C46"/>
    <w:rsid w:val="6DC0BBFE"/>
    <w:rsid w:val="6DC74C0E"/>
    <w:rsid w:val="6DDF1343"/>
    <w:rsid w:val="6E05A310"/>
    <w:rsid w:val="6E1D54EB"/>
    <w:rsid w:val="6E29E8F0"/>
    <w:rsid w:val="6E37771E"/>
    <w:rsid w:val="6E391B92"/>
    <w:rsid w:val="6E4B0959"/>
    <w:rsid w:val="6E5486AE"/>
    <w:rsid w:val="6E5E033D"/>
    <w:rsid w:val="6E61107E"/>
    <w:rsid w:val="6E8ADED0"/>
    <w:rsid w:val="6E98D3A6"/>
    <w:rsid w:val="6E9C00B6"/>
    <w:rsid w:val="6E9E5D60"/>
    <w:rsid w:val="6EC011DC"/>
    <w:rsid w:val="6EDB15D1"/>
    <w:rsid w:val="6F02E328"/>
    <w:rsid w:val="6F1C21FF"/>
    <w:rsid w:val="6F1F66A5"/>
    <w:rsid w:val="6F240CEC"/>
    <w:rsid w:val="6F25D354"/>
    <w:rsid w:val="6F25F3AA"/>
    <w:rsid w:val="6F558A95"/>
    <w:rsid w:val="6F5E5FA4"/>
    <w:rsid w:val="6F724AE0"/>
    <w:rsid w:val="6F8638EC"/>
    <w:rsid w:val="6F8C9AE4"/>
    <w:rsid w:val="6F9485C6"/>
    <w:rsid w:val="6FA1478B"/>
    <w:rsid w:val="6FE5ACFC"/>
    <w:rsid w:val="6FEA003E"/>
    <w:rsid w:val="704FCF9A"/>
    <w:rsid w:val="70521727"/>
    <w:rsid w:val="70568326"/>
    <w:rsid w:val="70A78A69"/>
    <w:rsid w:val="70CBF3BE"/>
    <w:rsid w:val="70E54B81"/>
    <w:rsid w:val="70F78CAD"/>
    <w:rsid w:val="70FECD26"/>
    <w:rsid w:val="71069918"/>
    <w:rsid w:val="710CA644"/>
    <w:rsid w:val="711E6537"/>
    <w:rsid w:val="713781BA"/>
    <w:rsid w:val="71425DA3"/>
    <w:rsid w:val="71751C0C"/>
    <w:rsid w:val="719468E6"/>
    <w:rsid w:val="71978B10"/>
    <w:rsid w:val="71AD1BF0"/>
    <w:rsid w:val="71B08933"/>
    <w:rsid w:val="71BED3F7"/>
    <w:rsid w:val="71D03F56"/>
    <w:rsid w:val="71DAB37E"/>
    <w:rsid w:val="71DC0C99"/>
    <w:rsid w:val="71E591B4"/>
    <w:rsid w:val="71E615E3"/>
    <w:rsid w:val="71EDE305"/>
    <w:rsid w:val="71FCCDEA"/>
    <w:rsid w:val="71FED5FC"/>
    <w:rsid w:val="72004E3C"/>
    <w:rsid w:val="721B048B"/>
    <w:rsid w:val="721CB25E"/>
    <w:rsid w:val="72388425"/>
    <w:rsid w:val="723BEF93"/>
    <w:rsid w:val="72406D9F"/>
    <w:rsid w:val="7244EED8"/>
    <w:rsid w:val="72561995"/>
    <w:rsid w:val="7261931E"/>
    <w:rsid w:val="727FA623"/>
    <w:rsid w:val="7280D794"/>
    <w:rsid w:val="728FD385"/>
    <w:rsid w:val="729890E8"/>
    <w:rsid w:val="72B0F809"/>
    <w:rsid w:val="72BEF6A2"/>
    <w:rsid w:val="72D2E73F"/>
    <w:rsid w:val="72D53617"/>
    <w:rsid w:val="72F14125"/>
    <w:rsid w:val="72F70913"/>
    <w:rsid w:val="72F75C5B"/>
    <w:rsid w:val="731E4136"/>
    <w:rsid w:val="7325656E"/>
    <w:rsid w:val="733C38BD"/>
    <w:rsid w:val="73406BB4"/>
    <w:rsid w:val="734E6D00"/>
    <w:rsid w:val="73754EF8"/>
    <w:rsid w:val="7377EE76"/>
    <w:rsid w:val="7394A1FC"/>
    <w:rsid w:val="739759C4"/>
    <w:rsid w:val="739E33B7"/>
    <w:rsid w:val="73A74711"/>
    <w:rsid w:val="73B3E4C4"/>
    <w:rsid w:val="73C72706"/>
    <w:rsid w:val="74031B57"/>
    <w:rsid w:val="741C19CC"/>
    <w:rsid w:val="744C5D34"/>
    <w:rsid w:val="7456E22B"/>
    <w:rsid w:val="745AB243"/>
    <w:rsid w:val="745E8C80"/>
    <w:rsid w:val="74889B97"/>
    <w:rsid w:val="74949BEC"/>
    <w:rsid w:val="749B2344"/>
    <w:rsid w:val="74AC3B98"/>
    <w:rsid w:val="74E5B341"/>
    <w:rsid w:val="74EB826F"/>
    <w:rsid w:val="7503C2CB"/>
    <w:rsid w:val="751F0012"/>
    <w:rsid w:val="75345058"/>
    <w:rsid w:val="753D9A10"/>
    <w:rsid w:val="754CF1A3"/>
    <w:rsid w:val="756BC574"/>
    <w:rsid w:val="756F4E0E"/>
    <w:rsid w:val="75B68E0B"/>
    <w:rsid w:val="75CB51A5"/>
    <w:rsid w:val="75CC644F"/>
    <w:rsid w:val="75D1FB53"/>
    <w:rsid w:val="75D4147D"/>
    <w:rsid w:val="75DACB30"/>
    <w:rsid w:val="75E3CCCE"/>
    <w:rsid w:val="7610A112"/>
    <w:rsid w:val="76207566"/>
    <w:rsid w:val="762F3C56"/>
    <w:rsid w:val="76663C45"/>
    <w:rsid w:val="766AFC33"/>
    <w:rsid w:val="766DD737"/>
    <w:rsid w:val="7680B626"/>
    <w:rsid w:val="76862FD4"/>
    <w:rsid w:val="768F5793"/>
    <w:rsid w:val="7699A3B8"/>
    <w:rsid w:val="76C82833"/>
    <w:rsid w:val="76CA16A3"/>
    <w:rsid w:val="76D6772E"/>
    <w:rsid w:val="76EAB611"/>
    <w:rsid w:val="76EC26C5"/>
    <w:rsid w:val="76F589C2"/>
    <w:rsid w:val="76F7A63D"/>
    <w:rsid w:val="7700B7A0"/>
    <w:rsid w:val="7705AC88"/>
    <w:rsid w:val="7706B1AE"/>
    <w:rsid w:val="77101727"/>
    <w:rsid w:val="771EACE0"/>
    <w:rsid w:val="772581F4"/>
    <w:rsid w:val="7750504B"/>
    <w:rsid w:val="775D8EE6"/>
    <w:rsid w:val="777948F9"/>
    <w:rsid w:val="7789E461"/>
    <w:rsid w:val="77A6B97E"/>
    <w:rsid w:val="77AB07EF"/>
    <w:rsid w:val="77BA3CDB"/>
    <w:rsid w:val="77BBF03C"/>
    <w:rsid w:val="77D775A4"/>
    <w:rsid w:val="78087533"/>
    <w:rsid w:val="780A09ED"/>
    <w:rsid w:val="78253176"/>
    <w:rsid w:val="782B1F9F"/>
    <w:rsid w:val="78646F04"/>
    <w:rsid w:val="786C4805"/>
    <w:rsid w:val="78778F19"/>
    <w:rsid w:val="78A36563"/>
    <w:rsid w:val="78A3987C"/>
    <w:rsid w:val="78B3623D"/>
    <w:rsid w:val="78B6EB70"/>
    <w:rsid w:val="78C9C8D8"/>
    <w:rsid w:val="78DA87D6"/>
    <w:rsid w:val="78F876B4"/>
    <w:rsid w:val="791A8E08"/>
    <w:rsid w:val="791AB155"/>
    <w:rsid w:val="792E033A"/>
    <w:rsid w:val="792E0B4F"/>
    <w:rsid w:val="79355276"/>
    <w:rsid w:val="793E2713"/>
    <w:rsid w:val="7941FC27"/>
    <w:rsid w:val="79603A5A"/>
    <w:rsid w:val="7968329F"/>
    <w:rsid w:val="79780816"/>
    <w:rsid w:val="79875E7D"/>
    <w:rsid w:val="79A53922"/>
    <w:rsid w:val="79A598D2"/>
    <w:rsid w:val="79B864B8"/>
    <w:rsid w:val="79D3D42F"/>
    <w:rsid w:val="79DC2B87"/>
    <w:rsid w:val="79F1BDE0"/>
    <w:rsid w:val="7A07A4C3"/>
    <w:rsid w:val="7A0CD870"/>
    <w:rsid w:val="7A159831"/>
    <w:rsid w:val="7A1FCEA0"/>
    <w:rsid w:val="7A29D462"/>
    <w:rsid w:val="7A31C30B"/>
    <w:rsid w:val="7A37FBA9"/>
    <w:rsid w:val="7A6CB6E7"/>
    <w:rsid w:val="7A86AF03"/>
    <w:rsid w:val="7AD98DE0"/>
    <w:rsid w:val="7AE25A05"/>
    <w:rsid w:val="7AFEFF92"/>
    <w:rsid w:val="7B04690A"/>
    <w:rsid w:val="7B0C2561"/>
    <w:rsid w:val="7B3B4649"/>
    <w:rsid w:val="7B7A6ADC"/>
    <w:rsid w:val="7B95AD5A"/>
    <w:rsid w:val="7B9B2E78"/>
    <w:rsid w:val="7BB25FB2"/>
    <w:rsid w:val="7BC06111"/>
    <w:rsid w:val="7BD5D01D"/>
    <w:rsid w:val="7BE6F946"/>
    <w:rsid w:val="7BEA926A"/>
    <w:rsid w:val="7C0739FF"/>
    <w:rsid w:val="7C14DBC6"/>
    <w:rsid w:val="7C164D26"/>
    <w:rsid w:val="7C572099"/>
    <w:rsid w:val="7C5A130B"/>
    <w:rsid w:val="7C68F3E6"/>
    <w:rsid w:val="7C6F2330"/>
    <w:rsid w:val="7C703101"/>
    <w:rsid w:val="7C86730A"/>
    <w:rsid w:val="7CA50B28"/>
    <w:rsid w:val="7CB55388"/>
    <w:rsid w:val="7CD78703"/>
    <w:rsid w:val="7CE12A2E"/>
    <w:rsid w:val="7D32966D"/>
    <w:rsid w:val="7D3EA118"/>
    <w:rsid w:val="7D4B7853"/>
    <w:rsid w:val="7D5E2FBE"/>
    <w:rsid w:val="7D93030C"/>
    <w:rsid w:val="7D9D0B36"/>
    <w:rsid w:val="7DAA0931"/>
    <w:rsid w:val="7DCA3476"/>
    <w:rsid w:val="7DE022E1"/>
    <w:rsid w:val="7DE15171"/>
    <w:rsid w:val="7DF71AE9"/>
    <w:rsid w:val="7E0B21DB"/>
    <w:rsid w:val="7E0F317D"/>
    <w:rsid w:val="7E15A935"/>
    <w:rsid w:val="7E325C58"/>
    <w:rsid w:val="7E76E339"/>
    <w:rsid w:val="7E7CA7B5"/>
    <w:rsid w:val="7E7D07B9"/>
    <w:rsid w:val="7EA34700"/>
    <w:rsid w:val="7ECD41BF"/>
    <w:rsid w:val="7ED9A733"/>
    <w:rsid w:val="7EE852CE"/>
    <w:rsid w:val="7EFAFDE4"/>
    <w:rsid w:val="7F04459D"/>
    <w:rsid w:val="7F262ACB"/>
    <w:rsid w:val="7F2D79A9"/>
    <w:rsid w:val="7F4D3D00"/>
    <w:rsid w:val="7F6350DF"/>
    <w:rsid w:val="7F7CF8EE"/>
    <w:rsid w:val="7F92E2E0"/>
    <w:rsid w:val="7F993B9F"/>
    <w:rsid w:val="7FA25EEF"/>
    <w:rsid w:val="7FA2D5CF"/>
    <w:rsid w:val="7FD25CCC"/>
    <w:rsid w:val="7FDAD4AA"/>
    <w:rsid w:val="7FDD13C4"/>
    <w:rsid w:val="7FE84989"/>
    <w:rsid w:val="7FF89AC5"/>
    <w:rsid w:val="7FF91ABB"/>
    <w:rsid w:val="7FFE860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4ED58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379"/>
  </w:style>
  <w:style w:type="paragraph" w:styleId="Heading1">
    <w:name w:val="heading 1"/>
    <w:basedOn w:val="Normal"/>
    <w:next w:val="Normal"/>
    <w:link w:val="Heading1Char"/>
    <w:uiPriority w:val="9"/>
    <w:qFormat/>
    <w:rsid w:val="00AE624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Text1"/>
    <w:link w:val="Heading2Char"/>
    <w:uiPriority w:val="9"/>
    <w:unhideWhenUsed/>
    <w:qFormat/>
    <w:rsid w:val="00CA1172"/>
    <w:pPr>
      <w:keepNext/>
      <w:tabs>
        <w:tab w:val="num" w:pos="850"/>
      </w:tabs>
      <w:spacing w:before="120" w:after="120" w:line="240" w:lineRule="auto"/>
      <w:ind w:left="850" w:hanging="850"/>
      <w:jc w:val="both"/>
      <w:outlineLvl w:val="1"/>
    </w:pPr>
    <w:rPr>
      <w:rFonts w:ascii="Times New Roman" w:eastAsiaTheme="majorEastAsia" w:hAnsi="Times New Roman" w:cs="Times New Roman"/>
      <w:b/>
      <w:bCs/>
      <w:sz w:val="24"/>
      <w:szCs w:val="26"/>
    </w:rPr>
  </w:style>
  <w:style w:type="paragraph" w:styleId="Heading3">
    <w:name w:val="heading 3"/>
    <w:basedOn w:val="Normal"/>
    <w:next w:val="Text1"/>
    <w:link w:val="Heading3Char"/>
    <w:uiPriority w:val="9"/>
    <w:unhideWhenUsed/>
    <w:qFormat/>
    <w:rsid w:val="00CA1172"/>
    <w:pPr>
      <w:keepNext/>
      <w:tabs>
        <w:tab w:val="num" w:pos="850"/>
      </w:tabs>
      <w:spacing w:before="120" w:after="120" w:line="240" w:lineRule="auto"/>
      <w:ind w:left="850" w:hanging="850"/>
      <w:jc w:val="both"/>
      <w:outlineLvl w:val="2"/>
    </w:pPr>
    <w:rPr>
      <w:rFonts w:ascii="Times New Roman" w:eastAsiaTheme="majorEastAsia" w:hAnsi="Times New Roman" w:cs="Times New Roman"/>
      <w:bCs/>
      <w:i/>
      <w:sz w:val="24"/>
    </w:rPr>
  </w:style>
  <w:style w:type="paragraph" w:styleId="Heading4">
    <w:name w:val="heading 4"/>
    <w:basedOn w:val="Normal"/>
    <w:next w:val="Text1"/>
    <w:link w:val="Heading4Char"/>
    <w:uiPriority w:val="9"/>
    <w:unhideWhenUsed/>
    <w:qFormat/>
    <w:rsid w:val="00CA1172"/>
    <w:pPr>
      <w:keepNext/>
      <w:tabs>
        <w:tab w:val="num" w:pos="850"/>
      </w:tabs>
      <w:spacing w:before="120" w:after="120" w:line="240" w:lineRule="auto"/>
      <w:ind w:left="850" w:hanging="850"/>
      <w:jc w:val="both"/>
      <w:outlineLvl w:val="3"/>
    </w:pPr>
    <w:rPr>
      <w:rFonts w:ascii="Times New Roman" w:eastAsiaTheme="majorEastAsia" w:hAnsi="Times New Roman" w:cs="Times New Roman"/>
      <w:bCs/>
      <w:iCs/>
      <w:sz w:val="24"/>
    </w:rPr>
  </w:style>
  <w:style w:type="paragraph" w:styleId="Heading5">
    <w:name w:val="heading 5"/>
    <w:basedOn w:val="Normal"/>
    <w:next w:val="Normal"/>
    <w:link w:val="Heading5Char"/>
    <w:uiPriority w:val="9"/>
    <w:semiHidden/>
    <w:unhideWhenUsed/>
    <w:qFormat/>
    <w:rsid w:val="001A3E6F"/>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1A3E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3E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3E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3E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6D1D68"/>
    <w:rPr>
      <w:color w:val="0000FF"/>
      <w:shd w:val="clear" w:color="auto" w:fill="auto"/>
    </w:rPr>
  </w:style>
  <w:style w:type="paragraph" w:customStyle="1" w:styleId="Pagedecouverture">
    <w:name w:val="Page de couverture"/>
    <w:basedOn w:val="Normal"/>
    <w:next w:val="Normal"/>
    <w:rsid w:val="006D1D68"/>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6D1D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1D68"/>
  </w:style>
  <w:style w:type="paragraph" w:styleId="Footer">
    <w:name w:val="footer"/>
    <w:basedOn w:val="Normal"/>
    <w:link w:val="FooterChar"/>
    <w:uiPriority w:val="99"/>
    <w:unhideWhenUsed/>
    <w:rsid w:val="006D1D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1D68"/>
  </w:style>
  <w:style w:type="paragraph" w:customStyle="1" w:styleId="FooterCoverPage">
    <w:name w:val="Footer Cover Page"/>
    <w:basedOn w:val="Normal"/>
    <w:link w:val="FooterCoverPageChar"/>
    <w:rsid w:val="006D1D6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6D1D68"/>
    <w:rPr>
      <w:rFonts w:ascii="Times New Roman" w:hAnsi="Times New Roman" w:cs="Times New Roman"/>
      <w:sz w:val="24"/>
    </w:rPr>
  </w:style>
  <w:style w:type="paragraph" w:customStyle="1" w:styleId="FooterSensitivity">
    <w:name w:val="Footer Sensitivity"/>
    <w:basedOn w:val="Normal"/>
    <w:link w:val="FooterSensitivityChar"/>
    <w:rsid w:val="006D1D6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6D1D68"/>
    <w:rPr>
      <w:rFonts w:ascii="Times New Roman" w:hAnsi="Times New Roman" w:cs="Times New Roman"/>
      <w:b/>
      <w:sz w:val="32"/>
    </w:rPr>
  </w:style>
  <w:style w:type="paragraph" w:customStyle="1" w:styleId="HeaderCoverPage">
    <w:name w:val="Header Cover Page"/>
    <w:basedOn w:val="Normal"/>
    <w:link w:val="HeaderCoverPageChar"/>
    <w:rsid w:val="006D1D6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6D1D68"/>
    <w:rPr>
      <w:rFonts w:ascii="Times New Roman" w:hAnsi="Times New Roman" w:cs="Times New Roman"/>
      <w:sz w:val="24"/>
    </w:rPr>
  </w:style>
  <w:style w:type="paragraph" w:customStyle="1" w:styleId="HeaderSensitivity">
    <w:name w:val="Header Sensitivity"/>
    <w:basedOn w:val="Normal"/>
    <w:link w:val="HeaderSensitivityChar"/>
    <w:rsid w:val="006D1D6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6D1D68"/>
    <w:rPr>
      <w:rFonts w:ascii="Times New Roman" w:hAnsi="Times New Roman" w:cs="Times New Roman"/>
      <w:b/>
      <w:sz w:val="32"/>
    </w:rPr>
  </w:style>
  <w:style w:type="paragraph" w:customStyle="1" w:styleId="HeaderSensitivityRight">
    <w:name w:val="Header Sensitivity Right"/>
    <w:basedOn w:val="Normal"/>
    <w:link w:val="HeaderSensitivityRightChar"/>
    <w:rsid w:val="006D1D6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6D1D68"/>
    <w:rPr>
      <w:rFonts w:ascii="Times New Roman" w:hAnsi="Times New Roman" w:cs="Times New Roman"/>
      <w:sz w:val="28"/>
    </w:rPr>
  </w:style>
  <w:style w:type="paragraph" w:customStyle="1" w:styleId="Parties">
    <w:name w:val="Parties"/>
    <w:basedOn w:val="Normal"/>
    <w:uiPriority w:val="99"/>
    <w:rsid w:val="00B51005"/>
    <w:pPr>
      <w:spacing w:after="240" w:line="240" w:lineRule="auto"/>
      <w:jc w:val="center"/>
    </w:pPr>
    <w:rPr>
      <w:rFonts w:ascii="Times New Roman" w:eastAsia="SimSun" w:hAnsi="Times New Roman" w:cs="Times New Roman"/>
      <w:caps/>
      <w:sz w:val="24"/>
      <w:szCs w:val="24"/>
      <w:lang w:eastAsia="zh-CN" w:bidi="ar-AE"/>
    </w:rPr>
  </w:style>
  <w:style w:type="table" w:styleId="TableGrid">
    <w:name w:val="Table Grid"/>
    <w:basedOn w:val="TableNormal"/>
    <w:uiPriority w:val="59"/>
    <w:rsid w:val="00B510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E6240"/>
    <w:rPr>
      <w:rFonts w:asciiTheme="majorHAnsi" w:eastAsiaTheme="majorEastAsia" w:hAnsiTheme="majorHAnsi" w:cstheme="majorBidi"/>
      <w:color w:val="365F91" w:themeColor="accent1" w:themeShade="BF"/>
      <w:sz w:val="32"/>
      <w:szCs w:val="32"/>
      <w:lang w:val="lv-LV"/>
    </w:rPr>
  </w:style>
  <w:style w:type="paragraph" w:customStyle="1" w:styleId="footnotedescription">
    <w:name w:val="footnote description"/>
    <w:next w:val="Normal"/>
    <w:link w:val="footnotedescriptionChar"/>
    <w:hidden/>
    <w:rsid w:val="00AE6240"/>
    <w:pPr>
      <w:spacing w:after="0" w:line="259" w:lineRule="auto"/>
      <w:ind w:left="665"/>
      <w:jc w:val="both"/>
    </w:pPr>
    <w:rPr>
      <w:rFonts w:ascii="Verdana" w:eastAsia="Verdana" w:hAnsi="Verdana" w:cs="Verdana"/>
      <w:color w:val="000000"/>
      <w:sz w:val="16"/>
    </w:rPr>
  </w:style>
  <w:style w:type="character" w:customStyle="1" w:styleId="footnotedescriptionChar">
    <w:name w:val="footnote description Char"/>
    <w:link w:val="footnotedescription"/>
    <w:rsid w:val="00AE6240"/>
    <w:rPr>
      <w:rFonts w:ascii="Verdana" w:eastAsia="Verdana" w:hAnsi="Verdana" w:cs="Verdana"/>
      <w:color w:val="000000"/>
      <w:sz w:val="16"/>
      <w:lang w:val="lv-LV"/>
    </w:rPr>
  </w:style>
  <w:style w:type="character" w:customStyle="1" w:styleId="footnotemark">
    <w:name w:val="footnote mark"/>
    <w:hidden/>
    <w:rsid w:val="00AE6240"/>
    <w:rPr>
      <w:rFonts w:ascii="Verdana" w:eastAsia="Verdana" w:hAnsi="Verdana" w:cs="Verdana"/>
      <w:color w:val="000000"/>
      <w:sz w:val="16"/>
      <w:vertAlign w:val="superscript"/>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Bullet 1"/>
    <w:basedOn w:val="Normal"/>
    <w:link w:val="ListParagraphChar"/>
    <w:uiPriority w:val="34"/>
    <w:qFormat/>
    <w:rsid w:val="00AE6240"/>
    <w:pPr>
      <w:ind w:left="720"/>
      <w:contextualSpacing/>
    </w:pPr>
  </w:style>
  <w:style w:type="character" w:styleId="CommentReference">
    <w:name w:val="annotation reference"/>
    <w:basedOn w:val="DefaultParagraphFont"/>
    <w:uiPriority w:val="99"/>
    <w:unhideWhenUsed/>
    <w:rsid w:val="00AE6240"/>
    <w:rPr>
      <w:sz w:val="16"/>
      <w:szCs w:val="16"/>
    </w:rPr>
  </w:style>
  <w:style w:type="paragraph" w:styleId="CommentText">
    <w:name w:val="annotation text"/>
    <w:basedOn w:val="Normal"/>
    <w:link w:val="CommentTextChar"/>
    <w:uiPriority w:val="99"/>
    <w:unhideWhenUsed/>
    <w:rsid w:val="00AE6240"/>
    <w:pPr>
      <w:spacing w:line="240" w:lineRule="auto"/>
    </w:pPr>
    <w:rPr>
      <w:sz w:val="20"/>
      <w:szCs w:val="20"/>
    </w:rPr>
  </w:style>
  <w:style w:type="character" w:customStyle="1" w:styleId="CommentTextChar">
    <w:name w:val="Comment Text Char"/>
    <w:basedOn w:val="DefaultParagraphFont"/>
    <w:link w:val="CommentText"/>
    <w:uiPriority w:val="99"/>
    <w:rsid w:val="00AE6240"/>
    <w:rPr>
      <w:sz w:val="20"/>
      <w:szCs w:val="20"/>
      <w:lang w:val="lv-LV"/>
    </w:rPr>
  </w:style>
  <w:style w:type="paragraph" w:styleId="CommentSubject">
    <w:name w:val="annotation subject"/>
    <w:basedOn w:val="CommentText"/>
    <w:next w:val="CommentText"/>
    <w:link w:val="CommentSubjectChar"/>
    <w:uiPriority w:val="99"/>
    <w:semiHidden/>
    <w:unhideWhenUsed/>
    <w:rsid w:val="00AE6240"/>
    <w:rPr>
      <w:b/>
      <w:bCs/>
    </w:rPr>
  </w:style>
  <w:style w:type="character" w:customStyle="1" w:styleId="CommentSubjectChar">
    <w:name w:val="Comment Subject Char"/>
    <w:basedOn w:val="CommentTextChar"/>
    <w:link w:val="CommentSubject"/>
    <w:uiPriority w:val="99"/>
    <w:semiHidden/>
    <w:rsid w:val="00AE6240"/>
    <w:rPr>
      <w:b/>
      <w:bCs/>
      <w:sz w:val="20"/>
      <w:szCs w:val="20"/>
      <w:lang w:val="lv-LV"/>
    </w:rPr>
  </w:style>
  <w:style w:type="paragraph" w:styleId="BalloonText">
    <w:name w:val="Balloon Text"/>
    <w:basedOn w:val="Normal"/>
    <w:link w:val="BalloonTextChar"/>
    <w:uiPriority w:val="99"/>
    <w:semiHidden/>
    <w:unhideWhenUsed/>
    <w:rsid w:val="00AE62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6240"/>
    <w:rPr>
      <w:rFonts w:ascii="Segoe UI" w:hAnsi="Segoe UI" w:cs="Segoe UI"/>
      <w:sz w:val="18"/>
      <w:szCs w:val="18"/>
      <w:lang w:val="lv-LV"/>
    </w:rPr>
  </w:style>
  <w:style w:type="paragraph" w:styleId="NormalWeb">
    <w:name w:val="Normal (Web)"/>
    <w:basedOn w:val="Normal"/>
    <w:uiPriority w:val="99"/>
    <w:unhideWhenUsed/>
    <w:rsid w:val="00AE6240"/>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Text1">
    <w:name w:val="Text 1"/>
    <w:basedOn w:val="Normal"/>
    <w:rsid w:val="00AE6240"/>
    <w:pPr>
      <w:spacing w:before="120" w:after="120" w:line="240" w:lineRule="auto"/>
      <w:ind w:left="850"/>
      <w:jc w:val="both"/>
    </w:pPr>
    <w:rPr>
      <w:rFonts w:ascii="Times New Roman" w:hAnsi="Times New Roman" w:cs="Times New Roman"/>
      <w:sz w:val="24"/>
    </w:rPr>
  </w:style>
  <w:style w:type="character" w:styleId="IntenseEmphasis">
    <w:name w:val="Intense Emphasis"/>
    <w:basedOn w:val="DefaultParagraphFont"/>
    <w:uiPriority w:val="21"/>
    <w:qFormat/>
    <w:rsid w:val="00AE6240"/>
    <w:rPr>
      <w:i/>
      <w:iCs/>
      <w:color w:val="4F81BD" w:themeColor="accent1"/>
    </w:rPr>
  </w:style>
  <w:style w:type="table" w:customStyle="1" w:styleId="TableGrid0">
    <w:name w:val="TableGrid"/>
    <w:rsid w:val="00AE6240"/>
    <w:pPr>
      <w:spacing w:after="0" w:line="240" w:lineRule="auto"/>
    </w:pPr>
    <w:rPr>
      <w:rFonts w:eastAsiaTheme="minorEastAsia"/>
    </w:rPr>
    <w:tblPr>
      <w:tblCellMar>
        <w:top w:w="0" w:type="dxa"/>
        <w:left w:w="0" w:type="dxa"/>
        <w:bottom w:w="0" w:type="dxa"/>
        <w:right w:w="0" w:type="dxa"/>
      </w:tblCellMar>
    </w:tblPr>
  </w:style>
  <w:style w:type="paragraph" w:styleId="Revision">
    <w:name w:val="Revision"/>
    <w:hidden/>
    <w:uiPriority w:val="99"/>
    <w:semiHidden/>
    <w:rsid w:val="00AE6240"/>
    <w:pPr>
      <w:spacing w:after="0" w:line="240" w:lineRule="auto"/>
    </w:pPr>
  </w:style>
  <w:style w:type="paragraph" w:styleId="BodyText">
    <w:name w:val="Body Text"/>
    <w:basedOn w:val="Normal"/>
    <w:link w:val="BodyTextChar"/>
    <w:uiPriority w:val="99"/>
    <w:rsid w:val="00AE6240"/>
    <w:pPr>
      <w:tabs>
        <w:tab w:val="left" w:pos="-720"/>
      </w:tabs>
      <w:suppressAutoHyphens/>
      <w:spacing w:after="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uiPriority w:val="99"/>
    <w:rsid w:val="00AE6240"/>
    <w:rPr>
      <w:rFonts w:ascii="Times New Roman" w:eastAsia="Times New Roman" w:hAnsi="Times New Roman" w:cs="Times New Roman"/>
      <w:sz w:val="24"/>
      <w:szCs w:val="20"/>
    </w:rPr>
  </w:style>
  <w:style w:type="paragraph" w:customStyle="1" w:styleId="Considrant">
    <w:name w:val="Considérant"/>
    <w:basedOn w:val="Normal"/>
    <w:rsid w:val="00AE6240"/>
    <w:pPr>
      <w:tabs>
        <w:tab w:val="num" w:pos="709"/>
      </w:tabs>
      <w:spacing w:before="120" w:after="120" w:line="240" w:lineRule="auto"/>
      <w:ind w:left="709" w:hanging="709"/>
      <w:jc w:val="both"/>
    </w:pPr>
    <w:rPr>
      <w:rFonts w:ascii="Times New Roman" w:eastAsia="Times New Roman" w:hAnsi="Times New Roman" w:cs="Times New Roman"/>
      <w:sz w:val="24"/>
      <w:szCs w:val="24"/>
      <w:lang w:eastAsia="en-GB"/>
    </w:rPr>
  </w:style>
  <w:style w:type="table" w:styleId="PlainTable1">
    <w:name w:val="Plain Table 1"/>
    <w:basedOn w:val="TableNormal"/>
    <w:uiPriority w:val="41"/>
    <w:rsid w:val="00AE624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NoList1">
    <w:name w:val="No List1"/>
    <w:next w:val="NoList"/>
    <w:uiPriority w:val="99"/>
    <w:semiHidden/>
    <w:unhideWhenUsed/>
    <w:rsid w:val="00AE6240"/>
  </w:style>
  <w:style w:type="table" w:customStyle="1" w:styleId="TableGrid1">
    <w:name w:val="Table Grid1"/>
    <w:basedOn w:val="TableNormal"/>
    <w:next w:val="TableGrid"/>
    <w:uiPriority w:val="59"/>
    <w:rsid w:val="00AE62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AE6240"/>
    <w:pPr>
      <w:spacing w:after="0" w:line="240" w:lineRule="auto"/>
    </w:pPr>
    <w:rPr>
      <w:rFonts w:eastAsiaTheme="minorEastAsia"/>
    </w:rPr>
    <w:tblPr>
      <w:tblCellMar>
        <w:top w:w="0" w:type="dxa"/>
        <w:left w:w="0" w:type="dxa"/>
        <w:bottom w:w="0" w:type="dxa"/>
        <w:right w:w="0" w:type="dxa"/>
      </w:tblCellMar>
    </w:tblPr>
  </w:style>
  <w:style w:type="table" w:customStyle="1" w:styleId="PlainTable11">
    <w:name w:val="Plain Table 11"/>
    <w:basedOn w:val="TableNormal"/>
    <w:next w:val="PlainTable1"/>
    <w:uiPriority w:val="41"/>
    <w:rsid w:val="00AE624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NoList2">
    <w:name w:val="No List2"/>
    <w:next w:val="NoList"/>
    <w:uiPriority w:val="99"/>
    <w:semiHidden/>
    <w:unhideWhenUsed/>
    <w:rsid w:val="00AE6240"/>
  </w:style>
  <w:style w:type="table" w:customStyle="1" w:styleId="TableGrid2">
    <w:name w:val="Table Grid2"/>
    <w:basedOn w:val="TableNormal"/>
    <w:next w:val="TableGrid"/>
    <w:uiPriority w:val="59"/>
    <w:rsid w:val="00AE62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Grid2"/>
    <w:rsid w:val="00AE6240"/>
    <w:pPr>
      <w:spacing w:after="0" w:line="240" w:lineRule="auto"/>
    </w:pPr>
    <w:rPr>
      <w:rFonts w:eastAsiaTheme="minorEastAsia"/>
    </w:rPr>
    <w:tblPr>
      <w:tblCellMar>
        <w:top w:w="0" w:type="dxa"/>
        <w:left w:w="0" w:type="dxa"/>
        <w:bottom w:w="0" w:type="dxa"/>
        <w:right w:w="0" w:type="dxa"/>
      </w:tblCellMar>
    </w:tblPr>
  </w:style>
  <w:style w:type="table" w:customStyle="1" w:styleId="PlainTable12">
    <w:name w:val="Plain Table 12"/>
    <w:basedOn w:val="TableNormal"/>
    <w:next w:val="PlainTable1"/>
    <w:uiPriority w:val="41"/>
    <w:rsid w:val="00AE624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NoList11">
    <w:name w:val="No List11"/>
    <w:next w:val="NoList"/>
    <w:uiPriority w:val="99"/>
    <w:semiHidden/>
    <w:unhideWhenUsed/>
    <w:rsid w:val="00AE6240"/>
  </w:style>
  <w:style w:type="table" w:customStyle="1" w:styleId="TableGrid11">
    <w:name w:val="Table Grid11"/>
    <w:basedOn w:val="TableNormal"/>
    <w:next w:val="TableGrid"/>
    <w:uiPriority w:val="59"/>
    <w:rsid w:val="00AE62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Grid11"/>
    <w:rsid w:val="00AE6240"/>
    <w:pPr>
      <w:spacing w:after="0" w:line="240" w:lineRule="auto"/>
    </w:pPr>
    <w:rPr>
      <w:rFonts w:eastAsiaTheme="minorEastAsia"/>
    </w:rPr>
    <w:tblPr>
      <w:tblCellMar>
        <w:top w:w="0" w:type="dxa"/>
        <w:left w:w="0" w:type="dxa"/>
        <w:bottom w:w="0" w:type="dxa"/>
        <w:right w:w="0" w:type="dxa"/>
      </w:tblCellMar>
    </w:tblPr>
  </w:style>
  <w:style w:type="table" w:customStyle="1" w:styleId="PlainTable111">
    <w:name w:val="Plain Table 111"/>
    <w:basedOn w:val="TableNormal"/>
    <w:next w:val="PlainTable1"/>
    <w:uiPriority w:val="41"/>
    <w:rsid w:val="00AE624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noteText">
    <w:name w:val="footnote text"/>
    <w:aliases w:val="Schriftart: 9 pt,Schriftart: 10 pt,Schriftart: 8 pt,WB-Fußnotentext,FoodNote,ft,Footnote text,Footnote,Footnote Text Char1,Footnote Text Char Char,Footnote Text Char1 Char Char,Footnote Text Char Char Char Char,fn,f,Char,Voetnoottekst Char"/>
    <w:basedOn w:val="Normal"/>
    <w:link w:val="FootnoteTextChar"/>
    <w:uiPriority w:val="99"/>
    <w:unhideWhenUsed/>
    <w:rsid w:val="00AE6240"/>
    <w:pPr>
      <w:spacing w:after="0" w:line="240" w:lineRule="auto"/>
    </w:pPr>
    <w:rPr>
      <w:sz w:val="20"/>
      <w:szCs w:val="20"/>
    </w:rPr>
  </w:style>
  <w:style w:type="character" w:customStyle="1" w:styleId="FootnoteTextChar">
    <w:name w:val="Footnote Text Char"/>
    <w:aliases w:val="Schriftart: 9 pt Char,Schriftart: 10 pt Char,Schriftart: 8 pt Char,WB-Fußnotentext Char,FoodNote Char,ft Char,Footnote text Char,Footnote Char,Footnote Text Char1 Char,Footnote Text Char Char Char,Footnote Text Char1 Char Char Char"/>
    <w:basedOn w:val="DefaultParagraphFont"/>
    <w:link w:val="FootnoteText"/>
    <w:uiPriority w:val="99"/>
    <w:rsid w:val="00AE6240"/>
    <w:rPr>
      <w:sz w:val="20"/>
      <w:szCs w:val="20"/>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note T, Exposant 3 Point"/>
    <w:basedOn w:val="DefaultParagraphFont"/>
    <w:link w:val="1"/>
    <w:uiPriority w:val="99"/>
    <w:unhideWhenUsed/>
    <w:rsid w:val="00AE6240"/>
    <w:rPr>
      <w:vertAlign w:val="superscript"/>
    </w:rPr>
  </w:style>
  <w:style w:type="character" w:styleId="Hyperlink">
    <w:name w:val="Hyperlink"/>
    <w:basedOn w:val="DefaultParagraphFont"/>
    <w:uiPriority w:val="99"/>
    <w:unhideWhenUsed/>
    <w:rsid w:val="00AE6240"/>
    <w:rPr>
      <w:color w:val="0000FF" w:themeColor="hyperlink"/>
      <w:u w:val="single"/>
    </w:rPr>
  </w:style>
  <w:style w:type="character" w:styleId="PlaceholderText">
    <w:name w:val="Placeholder Text"/>
    <w:basedOn w:val="DefaultParagraphFont"/>
    <w:uiPriority w:val="99"/>
    <w:semiHidden/>
    <w:rsid w:val="00AE6240"/>
    <w:rPr>
      <w:color w:val="808080"/>
    </w:rPr>
  </w:style>
  <w:style w:type="paragraph" w:styleId="HTMLPreformatted">
    <w:name w:val="HTML Preformatted"/>
    <w:basedOn w:val="Normal"/>
    <w:link w:val="HTMLPreformattedChar"/>
    <w:uiPriority w:val="99"/>
    <w:unhideWhenUsed/>
    <w:rsid w:val="00094B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PreformattedChar">
    <w:name w:val="HTML Preformatted Char"/>
    <w:basedOn w:val="DefaultParagraphFont"/>
    <w:link w:val="HTMLPreformatted"/>
    <w:uiPriority w:val="99"/>
    <w:rsid w:val="00094B7A"/>
    <w:rPr>
      <w:rFonts w:ascii="Courier New" w:eastAsia="Times New Roman" w:hAnsi="Courier New" w:cs="Courier New"/>
      <w:sz w:val="20"/>
      <w:szCs w:val="20"/>
      <w:lang w:val="lv-LV" w:eastAsia="es-ES"/>
    </w:rPr>
  </w:style>
  <w:style w:type="character" w:customStyle="1" w:styleId="normaltextrun">
    <w:name w:val="normaltextrun"/>
    <w:basedOn w:val="DefaultParagraphFont"/>
    <w:rsid w:val="00094B7A"/>
  </w:style>
  <w:style w:type="numbering" w:customStyle="1" w:styleId="NoList3">
    <w:name w:val="No List3"/>
    <w:next w:val="NoList"/>
    <w:uiPriority w:val="99"/>
    <w:semiHidden/>
    <w:unhideWhenUsed/>
    <w:rsid w:val="00072A89"/>
  </w:style>
  <w:style w:type="table" w:customStyle="1" w:styleId="TableGrid3">
    <w:name w:val="Table Grid3"/>
    <w:basedOn w:val="TableNormal"/>
    <w:next w:val="TableGrid"/>
    <w:uiPriority w:val="59"/>
    <w:rsid w:val="00072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Grid3"/>
    <w:rsid w:val="00072A89"/>
    <w:pPr>
      <w:spacing w:after="0" w:line="240" w:lineRule="auto"/>
    </w:pPr>
    <w:rPr>
      <w:rFonts w:eastAsiaTheme="minorEastAsia"/>
    </w:rPr>
    <w:tblPr>
      <w:tblCellMar>
        <w:top w:w="0" w:type="dxa"/>
        <w:left w:w="0" w:type="dxa"/>
        <w:bottom w:w="0" w:type="dxa"/>
        <w:right w:w="0" w:type="dxa"/>
      </w:tblCellMar>
    </w:tblPr>
  </w:style>
  <w:style w:type="table" w:customStyle="1" w:styleId="PlainTable13">
    <w:name w:val="Plain Table 13"/>
    <w:basedOn w:val="TableNormal"/>
    <w:next w:val="PlainTable1"/>
    <w:uiPriority w:val="41"/>
    <w:rsid w:val="00072A8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NoList12">
    <w:name w:val="No List12"/>
    <w:next w:val="NoList"/>
    <w:uiPriority w:val="99"/>
    <w:semiHidden/>
    <w:unhideWhenUsed/>
    <w:rsid w:val="00072A89"/>
  </w:style>
  <w:style w:type="table" w:customStyle="1" w:styleId="TableGrid12">
    <w:name w:val="Table Grid12"/>
    <w:basedOn w:val="TableNormal"/>
    <w:next w:val="TableGrid"/>
    <w:uiPriority w:val="59"/>
    <w:rsid w:val="00072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
    <w:name w:val="TableGrid12"/>
    <w:rsid w:val="00072A89"/>
    <w:pPr>
      <w:spacing w:after="0" w:line="240" w:lineRule="auto"/>
    </w:pPr>
    <w:rPr>
      <w:rFonts w:eastAsiaTheme="minorEastAsia"/>
    </w:rPr>
    <w:tblPr>
      <w:tblCellMar>
        <w:top w:w="0" w:type="dxa"/>
        <w:left w:w="0" w:type="dxa"/>
        <w:bottom w:w="0" w:type="dxa"/>
        <w:right w:w="0" w:type="dxa"/>
      </w:tblCellMar>
    </w:tblPr>
  </w:style>
  <w:style w:type="table" w:customStyle="1" w:styleId="PlainTable112">
    <w:name w:val="Plain Table 112"/>
    <w:basedOn w:val="TableNormal"/>
    <w:next w:val="PlainTable1"/>
    <w:uiPriority w:val="41"/>
    <w:rsid w:val="00072A8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NoList21">
    <w:name w:val="No List21"/>
    <w:next w:val="NoList"/>
    <w:uiPriority w:val="99"/>
    <w:semiHidden/>
    <w:unhideWhenUsed/>
    <w:rsid w:val="00072A89"/>
  </w:style>
  <w:style w:type="table" w:customStyle="1" w:styleId="TableGrid21">
    <w:name w:val="Table Grid21"/>
    <w:basedOn w:val="TableNormal"/>
    <w:next w:val="TableGrid"/>
    <w:uiPriority w:val="59"/>
    <w:rsid w:val="00072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Grid21"/>
    <w:rsid w:val="00072A89"/>
    <w:pPr>
      <w:spacing w:after="0" w:line="240" w:lineRule="auto"/>
    </w:pPr>
    <w:rPr>
      <w:rFonts w:eastAsiaTheme="minorEastAsia"/>
    </w:rPr>
    <w:tblPr>
      <w:tblCellMar>
        <w:top w:w="0" w:type="dxa"/>
        <w:left w:w="0" w:type="dxa"/>
        <w:bottom w:w="0" w:type="dxa"/>
        <w:right w:w="0" w:type="dxa"/>
      </w:tblCellMar>
    </w:tblPr>
  </w:style>
  <w:style w:type="table" w:customStyle="1" w:styleId="PlainTable121">
    <w:name w:val="Plain Table 121"/>
    <w:basedOn w:val="TableNormal"/>
    <w:next w:val="PlainTable1"/>
    <w:uiPriority w:val="41"/>
    <w:rsid w:val="00072A8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NoList111">
    <w:name w:val="No List111"/>
    <w:next w:val="NoList"/>
    <w:uiPriority w:val="99"/>
    <w:semiHidden/>
    <w:unhideWhenUsed/>
    <w:rsid w:val="00072A89"/>
  </w:style>
  <w:style w:type="table" w:customStyle="1" w:styleId="TableGrid111">
    <w:name w:val="Table Grid111"/>
    <w:basedOn w:val="TableNormal"/>
    <w:next w:val="TableGrid"/>
    <w:uiPriority w:val="59"/>
    <w:rsid w:val="00072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
    <w:name w:val="TableGrid111"/>
    <w:rsid w:val="00072A89"/>
    <w:pPr>
      <w:spacing w:after="0" w:line="240" w:lineRule="auto"/>
    </w:pPr>
    <w:rPr>
      <w:rFonts w:eastAsiaTheme="minorEastAsia"/>
    </w:rPr>
    <w:tblPr>
      <w:tblCellMar>
        <w:top w:w="0" w:type="dxa"/>
        <w:left w:w="0" w:type="dxa"/>
        <w:bottom w:w="0" w:type="dxa"/>
        <w:right w:w="0" w:type="dxa"/>
      </w:tblCellMar>
    </w:tblPr>
  </w:style>
  <w:style w:type="table" w:customStyle="1" w:styleId="PlainTable1111">
    <w:name w:val="Plain Table 1111"/>
    <w:basedOn w:val="TableNormal"/>
    <w:next w:val="PlainTable1"/>
    <w:uiPriority w:val="41"/>
    <w:rsid w:val="00072A8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072A89"/>
    <w:rPr>
      <w:color w:val="954F72"/>
      <w:u w:val="single"/>
    </w:rPr>
  </w:style>
  <w:style w:type="paragraph" w:customStyle="1" w:styleId="msonormal0">
    <w:name w:val="msonormal"/>
    <w:basedOn w:val="Normal"/>
    <w:rsid w:val="00072A89"/>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font5">
    <w:name w:val="font5"/>
    <w:basedOn w:val="Normal"/>
    <w:rsid w:val="00072A89"/>
    <w:pPr>
      <w:spacing w:before="100" w:beforeAutospacing="1" w:after="100" w:afterAutospacing="1" w:line="240" w:lineRule="auto"/>
    </w:pPr>
    <w:rPr>
      <w:rFonts w:ascii="Times New Roman" w:eastAsia="Times New Roman" w:hAnsi="Times New Roman" w:cs="Times New Roman"/>
      <w:color w:val="000000"/>
      <w:lang w:eastAsia="fr-BE"/>
    </w:rPr>
  </w:style>
  <w:style w:type="paragraph" w:customStyle="1" w:styleId="font6">
    <w:name w:val="font6"/>
    <w:basedOn w:val="Normal"/>
    <w:rsid w:val="00072A89"/>
    <w:pPr>
      <w:spacing w:before="100" w:beforeAutospacing="1" w:after="100" w:afterAutospacing="1" w:line="240" w:lineRule="auto"/>
    </w:pPr>
    <w:rPr>
      <w:rFonts w:ascii="Times New Roman" w:eastAsia="Times New Roman" w:hAnsi="Times New Roman" w:cs="Times New Roman"/>
      <w:i/>
      <w:iCs/>
      <w:color w:val="000000"/>
      <w:lang w:eastAsia="fr-BE"/>
    </w:rPr>
  </w:style>
  <w:style w:type="paragraph" w:customStyle="1" w:styleId="xl65">
    <w:name w:val="xl65"/>
    <w:basedOn w:val="Normal"/>
    <w:rsid w:val="00072A89"/>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fr-BE"/>
    </w:rPr>
  </w:style>
  <w:style w:type="paragraph" w:customStyle="1" w:styleId="xl66">
    <w:name w:val="xl66"/>
    <w:basedOn w:val="Normal"/>
    <w:rsid w:val="00072A89"/>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pPr>
    <w:rPr>
      <w:rFonts w:ascii="Times New Roman" w:eastAsia="Times New Roman" w:hAnsi="Times New Roman" w:cs="Times New Roman"/>
      <w:i/>
      <w:iCs/>
      <w:color w:val="FF0000"/>
      <w:sz w:val="24"/>
      <w:szCs w:val="24"/>
      <w:lang w:eastAsia="fr-BE"/>
    </w:rPr>
  </w:style>
  <w:style w:type="paragraph" w:customStyle="1" w:styleId="xl67">
    <w:name w:val="xl67"/>
    <w:basedOn w:val="Normal"/>
    <w:rsid w:val="00072A89"/>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xl68">
    <w:name w:val="xl68"/>
    <w:basedOn w:val="Normal"/>
    <w:rsid w:val="00072A89"/>
    <w:pPr>
      <w:pBdr>
        <w:top w:val="single" w:sz="4" w:space="0" w:color="auto"/>
        <w:left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fr-BE"/>
    </w:rPr>
  </w:style>
  <w:style w:type="paragraph" w:customStyle="1" w:styleId="xl69">
    <w:name w:val="xl69"/>
    <w:basedOn w:val="Normal"/>
    <w:rsid w:val="00072A89"/>
    <w:pPr>
      <w:pBdr>
        <w:top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fr-BE"/>
    </w:rPr>
  </w:style>
  <w:style w:type="paragraph" w:customStyle="1" w:styleId="xl70">
    <w:name w:val="xl70"/>
    <w:basedOn w:val="Normal"/>
    <w:rsid w:val="00072A89"/>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fr-BE"/>
    </w:rPr>
  </w:style>
  <w:style w:type="paragraph" w:customStyle="1" w:styleId="xl71">
    <w:name w:val="xl71"/>
    <w:basedOn w:val="Normal"/>
    <w:rsid w:val="00072A89"/>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xl72">
    <w:name w:val="xl72"/>
    <w:basedOn w:val="Normal"/>
    <w:rsid w:val="00072A89"/>
    <w:pPr>
      <w:pBdr>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fr-BE"/>
    </w:rPr>
  </w:style>
  <w:style w:type="paragraph" w:customStyle="1" w:styleId="xl73">
    <w:name w:val="xl73"/>
    <w:basedOn w:val="Normal"/>
    <w:rsid w:val="00072A89"/>
    <w:pPr>
      <w:pBdr>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4"/>
      <w:szCs w:val="24"/>
      <w:lang w:eastAsia="fr-BE"/>
    </w:rPr>
  </w:style>
  <w:style w:type="paragraph" w:customStyle="1" w:styleId="xl74">
    <w:name w:val="xl74"/>
    <w:basedOn w:val="Normal"/>
    <w:rsid w:val="00072A89"/>
    <w:pPr>
      <w:pBdr>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4"/>
      <w:szCs w:val="24"/>
      <w:lang w:eastAsia="fr-BE"/>
    </w:rPr>
  </w:style>
  <w:style w:type="paragraph" w:customStyle="1" w:styleId="xl75">
    <w:name w:val="xl75"/>
    <w:basedOn w:val="Normal"/>
    <w:rsid w:val="00072A89"/>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sz w:val="24"/>
      <w:szCs w:val="24"/>
      <w:lang w:eastAsia="fr-BE"/>
    </w:rPr>
  </w:style>
  <w:style w:type="paragraph" w:customStyle="1" w:styleId="xl76">
    <w:name w:val="xl76"/>
    <w:basedOn w:val="Normal"/>
    <w:rsid w:val="00072A89"/>
    <w:pPr>
      <w:pBdr>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pPr>
    <w:rPr>
      <w:rFonts w:ascii="Times New Roman" w:eastAsia="Times New Roman" w:hAnsi="Times New Roman" w:cs="Times New Roman"/>
      <w:color w:val="006100"/>
      <w:sz w:val="24"/>
      <w:szCs w:val="24"/>
      <w:lang w:eastAsia="fr-BE"/>
    </w:rPr>
  </w:style>
  <w:style w:type="paragraph" w:customStyle="1" w:styleId="xl77">
    <w:name w:val="xl77"/>
    <w:basedOn w:val="Normal"/>
    <w:rsid w:val="00072A89"/>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pPr>
    <w:rPr>
      <w:rFonts w:ascii="Times New Roman" w:eastAsia="Times New Roman" w:hAnsi="Times New Roman" w:cs="Times New Roman"/>
      <w:color w:val="006100"/>
      <w:sz w:val="24"/>
      <w:szCs w:val="24"/>
      <w:lang w:eastAsia="fr-BE"/>
    </w:rPr>
  </w:style>
  <w:style w:type="paragraph" w:customStyle="1" w:styleId="xl78">
    <w:name w:val="xl78"/>
    <w:basedOn w:val="Normal"/>
    <w:rsid w:val="00072A89"/>
    <w:pPr>
      <w:pBdr>
        <w:left w:val="single" w:sz="4" w:space="0" w:color="auto"/>
        <w:bottom w:val="single" w:sz="4" w:space="0" w:color="auto"/>
        <w:right w:val="single" w:sz="4" w:space="0" w:color="auto"/>
      </w:pBdr>
      <w:shd w:val="clear" w:color="000000" w:fill="C6EFCE"/>
      <w:spacing w:before="100" w:beforeAutospacing="1" w:after="100" w:afterAutospacing="1" w:line="240" w:lineRule="auto"/>
    </w:pPr>
    <w:rPr>
      <w:rFonts w:ascii="Times New Roman" w:eastAsia="Times New Roman" w:hAnsi="Times New Roman" w:cs="Times New Roman"/>
      <w:color w:val="006100"/>
      <w:sz w:val="24"/>
      <w:szCs w:val="24"/>
      <w:lang w:eastAsia="fr-BE"/>
    </w:rPr>
  </w:style>
  <w:style w:type="paragraph" w:customStyle="1" w:styleId="xl79">
    <w:name w:val="xl79"/>
    <w:basedOn w:val="Normal"/>
    <w:rsid w:val="00072A89"/>
    <w:pPr>
      <w:pBdr>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pPr>
    <w:rPr>
      <w:rFonts w:ascii="Times New Roman" w:eastAsia="Times New Roman" w:hAnsi="Times New Roman" w:cs="Times New Roman"/>
      <w:color w:val="006100"/>
      <w:sz w:val="24"/>
      <w:szCs w:val="24"/>
      <w:lang w:eastAsia="fr-BE"/>
    </w:rPr>
  </w:style>
  <w:style w:type="paragraph" w:customStyle="1" w:styleId="xl80">
    <w:name w:val="xl80"/>
    <w:basedOn w:val="Normal"/>
    <w:rsid w:val="00072A89"/>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pPr>
    <w:rPr>
      <w:rFonts w:ascii="Times New Roman" w:eastAsia="Times New Roman" w:hAnsi="Times New Roman" w:cs="Times New Roman"/>
      <w:color w:val="006100"/>
      <w:sz w:val="24"/>
      <w:szCs w:val="24"/>
      <w:lang w:eastAsia="fr-BE"/>
    </w:rPr>
  </w:style>
  <w:style w:type="paragraph" w:customStyle="1" w:styleId="xl81">
    <w:name w:val="xl81"/>
    <w:basedOn w:val="Normal"/>
    <w:rsid w:val="00072A89"/>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pPr>
    <w:rPr>
      <w:rFonts w:ascii="Times New Roman" w:eastAsia="Times New Roman" w:hAnsi="Times New Roman" w:cs="Times New Roman"/>
      <w:color w:val="006100"/>
      <w:sz w:val="24"/>
      <w:szCs w:val="24"/>
      <w:lang w:eastAsia="fr-BE"/>
    </w:rPr>
  </w:style>
  <w:style w:type="paragraph" w:customStyle="1" w:styleId="xl82">
    <w:name w:val="xl82"/>
    <w:basedOn w:val="Normal"/>
    <w:rsid w:val="00072A89"/>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jc w:val="right"/>
    </w:pPr>
    <w:rPr>
      <w:rFonts w:ascii="Times New Roman" w:eastAsia="Times New Roman" w:hAnsi="Times New Roman" w:cs="Times New Roman"/>
      <w:color w:val="006100"/>
      <w:sz w:val="24"/>
      <w:szCs w:val="24"/>
      <w:lang w:eastAsia="fr-BE"/>
    </w:rPr>
  </w:style>
  <w:style w:type="paragraph" w:customStyle="1" w:styleId="xl83">
    <w:name w:val="xl83"/>
    <w:basedOn w:val="Normal"/>
    <w:rsid w:val="00072A8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color w:val="006100"/>
      <w:sz w:val="24"/>
      <w:szCs w:val="24"/>
      <w:lang w:eastAsia="fr-BE"/>
    </w:rPr>
  </w:style>
  <w:style w:type="paragraph" w:customStyle="1" w:styleId="xl84">
    <w:name w:val="xl84"/>
    <w:basedOn w:val="Normal"/>
    <w:rsid w:val="00072A89"/>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pPr>
    <w:rPr>
      <w:rFonts w:ascii="Times New Roman" w:eastAsia="Times New Roman" w:hAnsi="Times New Roman" w:cs="Times New Roman"/>
      <w:color w:val="006100"/>
      <w:sz w:val="24"/>
      <w:szCs w:val="24"/>
      <w:lang w:eastAsia="fr-BE"/>
    </w:rPr>
  </w:style>
  <w:style w:type="paragraph" w:customStyle="1" w:styleId="xl85">
    <w:name w:val="xl85"/>
    <w:basedOn w:val="Normal"/>
    <w:rsid w:val="00072A89"/>
    <w:pPr>
      <w:pBdr>
        <w:top w:val="single" w:sz="8" w:space="0" w:color="auto"/>
        <w:left w:val="single" w:sz="8" w:space="0" w:color="auto"/>
        <w:right w:val="single" w:sz="8" w:space="0" w:color="auto"/>
      </w:pBdr>
      <w:shd w:val="clear" w:color="000000" w:fill="C6EFC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fr-BE"/>
    </w:rPr>
  </w:style>
  <w:style w:type="paragraph" w:customStyle="1" w:styleId="xl86">
    <w:name w:val="xl86"/>
    <w:basedOn w:val="Normal"/>
    <w:rsid w:val="00072A8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color w:val="006100"/>
      <w:sz w:val="24"/>
      <w:szCs w:val="24"/>
      <w:lang w:eastAsia="fr-BE"/>
    </w:rPr>
  </w:style>
  <w:style w:type="paragraph" w:customStyle="1" w:styleId="xl87">
    <w:name w:val="xl87"/>
    <w:basedOn w:val="Normal"/>
    <w:rsid w:val="00072A8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color w:val="006100"/>
      <w:sz w:val="24"/>
      <w:szCs w:val="24"/>
      <w:lang w:eastAsia="fr-BE"/>
    </w:rPr>
  </w:style>
  <w:style w:type="paragraph" w:customStyle="1" w:styleId="xl88">
    <w:name w:val="xl88"/>
    <w:basedOn w:val="Normal"/>
    <w:rsid w:val="00072A89"/>
    <w:pPr>
      <w:pBdr>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center"/>
    </w:pPr>
    <w:rPr>
      <w:rFonts w:ascii="Times New Roman" w:eastAsia="Times New Roman" w:hAnsi="Times New Roman" w:cs="Times New Roman"/>
      <w:color w:val="006100"/>
      <w:sz w:val="24"/>
      <w:szCs w:val="24"/>
      <w:lang w:eastAsia="fr-BE"/>
    </w:rPr>
  </w:style>
  <w:style w:type="paragraph" w:customStyle="1" w:styleId="xl89">
    <w:name w:val="xl89"/>
    <w:basedOn w:val="Normal"/>
    <w:rsid w:val="00072A89"/>
    <w:pPr>
      <w:pBdr>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center"/>
    </w:pPr>
    <w:rPr>
      <w:rFonts w:ascii="Times New Roman" w:eastAsia="Times New Roman" w:hAnsi="Times New Roman" w:cs="Times New Roman"/>
      <w:color w:val="006100"/>
      <w:sz w:val="24"/>
      <w:szCs w:val="24"/>
      <w:lang w:eastAsia="fr-BE"/>
    </w:rPr>
  </w:style>
  <w:style w:type="paragraph" w:customStyle="1" w:styleId="xl90">
    <w:name w:val="xl90"/>
    <w:basedOn w:val="Normal"/>
    <w:rsid w:val="00072A89"/>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center"/>
    </w:pPr>
    <w:rPr>
      <w:rFonts w:ascii="Times New Roman" w:eastAsia="Times New Roman" w:hAnsi="Times New Roman" w:cs="Times New Roman"/>
      <w:color w:val="006100"/>
      <w:sz w:val="24"/>
      <w:szCs w:val="24"/>
      <w:lang w:eastAsia="fr-BE"/>
    </w:rPr>
  </w:style>
  <w:style w:type="paragraph" w:customStyle="1" w:styleId="xl91">
    <w:name w:val="xl91"/>
    <w:basedOn w:val="Normal"/>
    <w:rsid w:val="00072A89"/>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center"/>
    </w:pPr>
    <w:rPr>
      <w:rFonts w:ascii="Times New Roman" w:eastAsia="Times New Roman" w:hAnsi="Times New Roman" w:cs="Times New Roman"/>
      <w:color w:val="006100"/>
      <w:sz w:val="24"/>
      <w:szCs w:val="24"/>
      <w:lang w:eastAsia="fr-BE"/>
    </w:rPr>
  </w:style>
  <w:style w:type="paragraph" w:customStyle="1" w:styleId="xl92">
    <w:name w:val="xl92"/>
    <w:basedOn w:val="Normal"/>
    <w:rsid w:val="00072A89"/>
    <w:pPr>
      <w:pBdr>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center"/>
    </w:pPr>
    <w:rPr>
      <w:rFonts w:ascii="Times New Roman" w:eastAsia="Times New Roman" w:hAnsi="Times New Roman" w:cs="Times New Roman"/>
      <w:color w:val="006100"/>
      <w:sz w:val="24"/>
      <w:szCs w:val="24"/>
      <w:lang w:eastAsia="fr-BE"/>
    </w:rPr>
  </w:style>
  <w:style w:type="paragraph" w:customStyle="1" w:styleId="xl93">
    <w:name w:val="xl93"/>
    <w:basedOn w:val="Normal"/>
    <w:rsid w:val="00072A89"/>
    <w:pPr>
      <w:pBdr>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center"/>
    </w:pPr>
    <w:rPr>
      <w:rFonts w:ascii="Times New Roman" w:eastAsia="Times New Roman" w:hAnsi="Times New Roman" w:cs="Times New Roman"/>
      <w:color w:val="006100"/>
      <w:sz w:val="24"/>
      <w:szCs w:val="24"/>
      <w:lang w:eastAsia="fr-BE"/>
    </w:rPr>
  </w:style>
  <w:style w:type="paragraph" w:customStyle="1" w:styleId="xl94">
    <w:name w:val="xl94"/>
    <w:basedOn w:val="Normal"/>
    <w:rsid w:val="00072A89"/>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center"/>
    </w:pPr>
    <w:rPr>
      <w:rFonts w:ascii="Times New Roman" w:eastAsia="Times New Roman" w:hAnsi="Times New Roman" w:cs="Times New Roman"/>
      <w:color w:val="006100"/>
      <w:sz w:val="24"/>
      <w:szCs w:val="24"/>
      <w:lang w:eastAsia="fr-BE"/>
    </w:rPr>
  </w:style>
  <w:style w:type="paragraph" w:customStyle="1" w:styleId="xl95">
    <w:name w:val="xl95"/>
    <w:basedOn w:val="Normal"/>
    <w:rsid w:val="00072A89"/>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center"/>
    </w:pPr>
    <w:rPr>
      <w:rFonts w:ascii="Times New Roman" w:eastAsia="Times New Roman" w:hAnsi="Times New Roman" w:cs="Times New Roman"/>
      <w:color w:val="006100"/>
      <w:sz w:val="24"/>
      <w:szCs w:val="24"/>
      <w:lang w:eastAsia="fr-BE"/>
    </w:rPr>
  </w:style>
  <w:style w:type="paragraph" w:customStyle="1" w:styleId="xl96">
    <w:name w:val="xl96"/>
    <w:basedOn w:val="Normal"/>
    <w:rsid w:val="00072A89"/>
    <w:pPr>
      <w:pBdr>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center"/>
    </w:pPr>
    <w:rPr>
      <w:rFonts w:ascii="Times New Roman" w:eastAsia="Times New Roman" w:hAnsi="Times New Roman" w:cs="Times New Roman"/>
      <w:color w:val="006100"/>
      <w:sz w:val="24"/>
      <w:szCs w:val="24"/>
      <w:lang w:eastAsia="fr-BE"/>
    </w:rPr>
  </w:style>
  <w:style w:type="paragraph" w:customStyle="1" w:styleId="xl97">
    <w:name w:val="xl97"/>
    <w:basedOn w:val="Normal"/>
    <w:rsid w:val="00072A89"/>
    <w:pPr>
      <w:spacing w:before="100" w:beforeAutospacing="1" w:after="100" w:afterAutospacing="1" w:line="240" w:lineRule="auto"/>
      <w:textAlignment w:val="center"/>
    </w:pPr>
    <w:rPr>
      <w:rFonts w:ascii="Times New Roman" w:eastAsia="Times New Roman" w:hAnsi="Times New Roman" w:cs="Times New Roman"/>
      <w:sz w:val="24"/>
      <w:szCs w:val="24"/>
      <w:lang w:eastAsia="fr-BE"/>
    </w:rPr>
  </w:style>
  <w:style w:type="paragraph" w:customStyle="1" w:styleId="xl98">
    <w:name w:val="xl98"/>
    <w:basedOn w:val="Normal"/>
    <w:rsid w:val="00072A89"/>
    <w:pPr>
      <w:pBdr>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sz w:val="24"/>
      <w:szCs w:val="24"/>
      <w:lang w:eastAsia="fr-BE"/>
    </w:rPr>
  </w:style>
  <w:style w:type="paragraph" w:customStyle="1" w:styleId="xl99">
    <w:name w:val="xl99"/>
    <w:basedOn w:val="Normal"/>
    <w:rsid w:val="00072A89"/>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sz w:val="24"/>
      <w:szCs w:val="24"/>
      <w:lang w:eastAsia="fr-BE"/>
    </w:rPr>
  </w:style>
  <w:style w:type="paragraph" w:customStyle="1" w:styleId="xl100">
    <w:name w:val="xl100"/>
    <w:basedOn w:val="Normal"/>
    <w:rsid w:val="00072A89"/>
    <w:pPr>
      <w:pBdr>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top"/>
    </w:pPr>
    <w:rPr>
      <w:rFonts w:ascii="Times New Roman" w:eastAsia="Times New Roman" w:hAnsi="Times New Roman" w:cs="Times New Roman"/>
      <w:color w:val="006100"/>
      <w:sz w:val="24"/>
      <w:szCs w:val="24"/>
      <w:lang w:eastAsia="fr-BE"/>
    </w:rPr>
  </w:style>
  <w:style w:type="paragraph" w:customStyle="1" w:styleId="xl101">
    <w:name w:val="xl101"/>
    <w:basedOn w:val="Normal"/>
    <w:rsid w:val="00072A89"/>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sz w:val="24"/>
      <w:szCs w:val="24"/>
      <w:lang w:eastAsia="fr-BE"/>
    </w:rPr>
  </w:style>
  <w:style w:type="paragraph" w:customStyle="1" w:styleId="xl102">
    <w:name w:val="xl102"/>
    <w:basedOn w:val="Normal"/>
    <w:rsid w:val="00072A89"/>
    <w:pPr>
      <w:spacing w:before="100" w:beforeAutospacing="1" w:after="100" w:afterAutospacing="1" w:line="240" w:lineRule="auto"/>
      <w:textAlignment w:val="top"/>
    </w:pPr>
    <w:rPr>
      <w:rFonts w:ascii="Times New Roman" w:eastAsia="Times New Roman" w:hAnsi="Times New Roman" w:cs="Times New Roman"/>
      <w:sz w:val="24"/>
      <w:szCs w:val="24"/>
      <w:lang w:eastAsia="fr-BE"/>
    </w:rPr>
  </w:style>
  <w:style w:type="paragraph" w:customStyle="1" w:styleId="xl103">
    <w:name w:val="xl103"/>
    <w:basedOn w:val="Normal"/>
    <w:rsid w:val="00072A89"/>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top"/>
    </w:pPr>
    <w:rPr>
      <w:rFonts w:ascii="Times New Roman" w:eastAsia="Times New Roman" w:hAnsi="Times New Roman" w:cs="Times New Roman"/>
      <w:color w:val="006100"/>
      <w:sz w:val="24"/>
      <w:szCs w:val="24"/>
      <w:lang w:eastAsia="fr-BE"/>
    </w:rPr>
  </w:style>
  <w:style w:type="paragraph" w:customStyle="1" w:styleId="xl104">
    <w:name w:val="xl104"/>
    <w:basedOn w:val="Normal"/>
    <w:rsid w:val="00072A89"/>
    <w:pPr>
      <w:spacing w:before="100" w:beforeAutospacing="1" w:after="100" w:afterAutospacing="1" w:line="240" w:lineRule="auto"/>
      <w:jc w:val="center"/>
    </w:pPr>
    <w:rPr>
      <w:rFonts w:ascii="Times New Roman" w:eastAsia="Times New Roman" w:hAnsi="Times New Roman" w:cs="Times New Roman"/>
      <w:sz w:val="24"/>
      <w:szCs w:val="24"/>
      <w:lang w:eastAsia="fr-BE"/>
    </w:rPr>
  </w:style>
  <w:style w:type="paragraph" w:customStyle="1" w:styleId="xl105">
    <w:name w:val="xl105"/>
    <w:basedOn w:val="Normal"/>
    <w:rsid w:val="00072A89"/>
    <w:pPr>
      <w:pBdr>
        <w:top w:val="single" w:sz="4" w:space="0" w:color="auto"/>
        <w:left w:val="single" w:sz="4" w:space="0" w:color="auto"/>
        <w:bottom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fr-BE"/>
    </w:rPr>
  </w:style>
  <w:style w:type="paragraph" w:customStyle="1" w:styleId="xl106">
    <w:name w:val="xl106"/>
    <w:basedOn w:val="Normal"/>
    <w:rsid w:val="00072A89"/>
    <w:pPr>
      <w:pBdr>
        <w:top w:val="single" w:sz="4" w:space="0" w:color="auto"/>
        <w:bottom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fr-BE"/>
    </w:rPr>
  </w:style>
  <w:style w:type="paragraph" w:customStyle="1" w:styleId="xl107">
    <w:name w:val="xl107"/>
    <w:basedOn w:val="Normal"/>
    <w:rsid w:val="00072A89"/>
    <w:pPr>
      <w:pBdr>
        <w:top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fr-BE"/>
    </w:r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rsid w:val="00072A89"/>
    <w:rPr>
      <w:lang w:val="lv-LV"/>
    </w:rPr>
  </w:style>
  <w:style w:type="paragraph" w:customStyle="1" w:styleId="Default">
    <w:name w:val="Default"/>
    <w:rsid w:val="00072A89"/>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072A89"/>
    <w:pPr>
      <w:spacing w:after="0" w:line="240" w:lineRule="auto"/>
    </w:pPr>
  </w:style>
  <w:style w:type="character" w:customStyle="1" w:styleId="eop">
    <w:name w:val="eop"/>
    <w:basedOn w:val="DefaultParagraphFont"/>
    <w:rsid w:val="00072A89"/>
  </w:style>
  <w:style w:type="numbering" w:customStyle="1" w:styleId="NoList4">
    <w:name w:val="No List4"/>
    <w:next w:val="NoList"/>
    <w:uiPriority w:val="99"/>
    <w:semiHidden/>
    <w:unhideWhenUsed/>
    <w:rsid w:val="00072A89"/>
  </w:style>
  <w:style w:type="table" w:customStyle="1" w:styleId="TableGrid4">
    <w:name w:val="Table Grid4"/>
    <w:basedOn w:val="TableNormal"/>
    <w:next w:val="TableGrid"/>
    <w:uiPriority w:val="59"/>
    <w:rsid w:val="00072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Grid4"/>
    <w:rsid w:val="00072A89"/>
    <w:pPr>
      <w:spacing w:after="0" w:line="240" w:lineRule="auto"/>
    </w:pPr>
    <w:rPr>
      <w:rFonts w:eastAsiaTheme="minorEastAsia"/>
    </w:rPr>
    <w:tblPr>
      <w:tblCellMar>
        <w:top w:w="0" w:type="dxa"/>
        <w:left w:w="0" w:type="dxa"/>
        <w:bottom w:w="0" w:type="dxa"/>
        <w:right w:w="0" w:type="dxa"/>
      </w:tblCellMar>
    </w:tblPr>
  </w:style>
  <w:style w:type="table" w:customStyle="1" w:styleId="PlainTable14">
    <w:name w:val="Plain Table 14"/>
    <w:basedOn w:val="TableNormal"/>
    <w:next w:val="PlainTable1"/>
    <w:uiPriority w:val="41"/>
    <w:rsid w:val="00072A8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NoList13">
    <w:name w:val="No List13"/>
    <w:next w:val="NoList"/>
    <w:uiPriority w:val="99"/>
    <w:semiHidden/>
    <w:unhideWhenUsed/>
    <w:rsid w:val="00072A89"/>
  </w:style>
  <w:style w:type="table" w:customStyle="1" w:styleId="TableGrid13">
    <w:name w:val="Table Grid13"/>
    <w:basedOn w:val="TableNormal"/>
    <w:next w:val="TableGrid"/>
    <w:uiPriority w:val="59"/>
    <w:rsid w:val="00072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0">
    <w:name w:val="TableGrid13"/>
    <w:rsid w:val="00072A89"/>
    <w:pPr>
      <w:spacing w:after="0" w:line="240" w:lineRule="auto"/>
    </w:pPr>
    <w:rPr>
      <w:rFonts w:eastAsiaTheme="minorEastAsia"/>
    </w:rPr>
    <w:tblPr>
      <w:tblCellMar>
        <w:top w:w="0" w:type="dxa"/>
        <w:left w:w="0" w:type="dxa"/>
        <w:bottom w:w="0" w:type="dxa"/>
        <w:right w:w="0" w:type="dxa"/>
      </w:tblCellMar>
    </w:tblPr>
  </w:style>
  <w:style w:type="table" w:customStyle="1" w:styleId="PlainTable113">
    <w:name w:val="Plain Table 113"/>
    <w:basedOn w:val="TableNormal"/>
    <w:next w:val="PlainTable1"/>
    <w:uiPriority w:val="41"/>
    <w:rsid w:val="00072A8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NoList22">
    <w:name w:val="No List22"/>
    <w:next w:val="NoList"/>
    <w:uiPriority w:val="99"/>
    <w:semiHidden/>
    <w:unhideWhenUsed/>
    <w:rsid w:val="00072A89"/>
  </w:style>
  <w:style w:type="table" w:customStyle="1" w:styleId="TableGrid22">
    <w:name w:val="Table Grid22"/>
    <w:basedOn w:val="TableNormal"/>
    <w:next w:val="TableGrid"/>
    <w:uiPriority w:val="59"/>
    <w:rsid w:val="00072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0">
    <w:name w:val="TableGrid22"/>
    <w:rsid w:val="00072A89"/>
    <w:pPr>
      <w:spacing w:after="0" w:line="240" w:lineRule="auto"/>
    </w:pPr>
    <w:rPr>
      <w:rFonts w:eastAsiaTheme="minorEastAsia"/>
    </w:rPr>
    <w:tblPr>
      <w:tblCellMar>
        <w:top w:w="0" w:type="dxa"/>
        <w:left w:w="0" w:type="dxa"/>
        <w:bottom w:w="0" w:type="dxa"/>
        <w:right w:w="0" w:type="dxa"/>
      </w:tblCellMar>
    </w:tblPr>
  </w:style>
  <w:style w:type="table" w:customStyle="1" w:styleId="PlainTable122">
    <w:name w:val="Plain Table 122"/>
    <w:basedOn w:val="TableNormal"/>
    <w:next w:val="PlainTable1"/>
    <w:uiPriority w:val="41"/>
    <w:rsid w:val="00072A8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NoList112">
    <w:name w:val="No List112"/>
    <w:next w:val="NoList"/>
    <w:uiPriority w:val="99"/>
    <w:semiHidden/>
    <w:unhideWhenUsed/>
    <w:rsid w:val="00072A89"/>
  </w:style>
  <w:style w:type="table" w:customStyle="1" w:styleId="TableGrid112">
    <w:name w:val="Table Grid112"/>
    <w:basedOn w:val="TableNormal"/>
    <w:next w:val="TableGrid"/>
    <w:uiPriority w:val="59"/>
    <w:rsid w:val="00072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0">
    <w:name w:val="TableGrid112"/>
    <w:rsid w:val="00072A89"/>
    <w:pPr>
      <w:spacing w:after="0" w:line="240" w:lineRule="auto"/>
    </w:pPr>
    <w:rPr>
      <w:rFonts w:eastAsiaTheme="minorEastAsia"/>
    </w:rPr>
    <w:tblPr>
      <w:tblCellMar>
        <w:top w:w="0" w:type="dxa"/>
        <w:left w:w="0" w:type="dxa"/>
        <w:bottom w:w="0" w:type="dxa"/>
        <w:right w:w="0" w:type="dxa"/>
      </w:tblCellMar>
    </w:tblPr>
  </w:style>
  <w:style w:type="table" w:customStyle="1" w:styleId="PlainTable1112">
    <w:name w:val="Plain Table 1112"/>
    <w:basedOn w:val="TableNormal"/>
    <w:next w:val="PlainTable1"/>
    <w:uiPriority w:val="41"/>
    <w:rsid w:val="00072A8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xl63">
    <w:name w:val="xl63"/>
    <w:basedOn w:val="Normal"/>
    <w:rsid w:val="00072A89"/>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fr-BE"/>
    </w:rPr>
  </w:style>
  <w:style w:type="paragraph" w:customStyle="1" w:styleId="xl64">
    <w:name w:val="xl64"/>
    <w:basedOn w:val="Normal"/>
    <w:rsid w:val="00072A89"/>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center"/>
    </w:pPr>
    <w:rPr>
      <w:rFonts w:ascii="Times New Roman" w:eastAsia="Times New Roman" w:hAnsi="Times New Roman" w:cs="Times New Roman"/>
      <w:color w:val="006100"/>
      <w:sz w:val="24"/>
      <w:szCs w:val="24"/>
      <w:lang w:eastAsia="fr-BE"/>
    </w:rPr>
  </w:style>
  <w:style w:type="character" w:customStyle="1" w:styleId="Heading2Char">
    <w:name w:val="Heading 2 Char"/>
    <w:basedOn w:val="DefaultParagraphFont"/>
    <w:link w:val="Heading2"/>
    <w:uiPriority w:val="9"/>
    <w:rsid w:val="00CA1172"/>
    <w:rPr>
      <w:rFonts w:ascii="Times New Roman" w:eastAsiaTheme="majorEastAsia" w:hAnsi="Times New Roman" w:cs="Times New Roman"/>
      <w:b/>
      <w:bCs/>
      <w:sz w:val="24"/>
      <w:szCs w:val="26"/>
    </w:rPr>
  </w:style>
  <w:style w:type="character" w:customStyle="1" w:styleId="Heading3Char">
    <w:name w:val="Heading 3 Char"/>
    <w:basedOn w:val="DefaultParagraphFont"/>
    <w:link w:val="Heading3"/>
    <w:uiPriority w:val="9"/>
    <w:rsid w:val="00CA1172"/>
    <w:rPr>
      <w:rFonts w:ascii="Times New Roman" w:eastAsiaTheme="majorEastAsia" w:hAnsi="Times New Roman" w:cs="Times New Roman"/>
      <w:bCs/>
      <w:i/>
      <w:sz w:val="24"/>
    </w:rPr>
  </w:style>
  <w:style w:type="character" w:customStyle="1" w:styleId="Heading4Char">
    <w:name w:val="Heading 4 Char"/>
    <w:basedOn w:val="DefaultParagraphFont"/>
    <w:link w:val="Heading4"/>
    <w:uiPriority w:val="9"/>
    <w:rsid w:val="00CA1172"/>
    <w:rPr>
      <w:rFonts w:ascii="Times New Roman" w:eastAsiaTheme="majorEastAsia" w:hAnsi="Times New Roman" w:cs="Times New Roman"/>
      <w:bCs/>
      <w:iCs/>
      <w:sz w:val="24"/>
    </w:rPr>
  </w:style>
  <w:style w:type="numbering" w:customStyle="1" w:styleId="NoList5">
    <w:name w:val="No List5"/>
    <w:next w:val="NoList"/>
    <w:uiPriority w:val="99"/>
    <w:semiHidden/>
    <w:unhideWhenUsed/>
    <w:rsid w:val="00CA1172"/>
  </w:style>
  <w:style w:type="numbering" w:customStyle="1" w:styleId="NoList14">
    <w:name w:val="No List14"/>
    <w:next w:val="NoList"/>
    <w:uiPriority w:val="99"/>
    <w:semiHidden/>
    <w:unhideWhenUsed/>
    <w:rsid w:val="00CA1172"/>
  </w:style>
  <w:style w:type="paragraph" w:styleId="TOCHeading">
    <w:name w:val="TOC Heading"/>
    <w:basedOn w:val="Normal"/>
    <w:next w:val="Normal"/>
    <w:uiPriority w:val="39"/>
    <w:semiHidden/>
    <w:unhideWhenUsed/>
    <w:qFormat/>
    <w:rsid w:val="00CA1172"/>
    <w:pPr>
      <w:spacing w:before="120" w:after="240" w:line="240" w:lineRule="auto"/>
      <w:jc w:val="center"/>
    </w:pPr>
    <w:rPr>
      <w:rFonts w:ascii="Times New Roman" w:hAnsi="Times New Roman" w:cs="Times New Roman"/>
      <w:b/>
      <w:sz w:val="28"/>
    </w:rPr>
  </w:style>
  <w:style w:type="paragraph" w:styleId="TOC1">
    <w:name w:val="toc 1"/>
    <w:basedOn w:val="Normal"/>
    <w:next w:val="Normal"/>
    <w:uiPriority w:val="39"/>
    <w:semiHidden/>
    <w:unhideWhenUsed/>
    <w:rsid w:val="00CA1172"/>
    <w:pPr>
      <w:tabs>
        <w:tab w:val="right" w:leader="dot" w:pos="9071"/>
      </w:tabs>
      <w:spacing w:before="60" w:after="120" w:line="240" w:lineRule="auto"/>
      <w:ind w:left="850" w:hanging="850"/>
    </w:pPr>
    <w:rPr>
      <w:rFonts w:ascii="Times New Roman" w:hAnsi="Times New Roman" w:cs="Times New Roman"/>
      <w:sz w:val="24"/>
    </w:rPr>
  </w:style>
  <w:style w:type="paragraph" w:styleId="TOC2">
    <w:name w:val="toc 2"/>
    <w:basedOn w:val="Normal"/>
    <w:next w:val="Normal"/>
    <w:uiPriority w:val="39"/>
    <w:semiHidden/>
    <w:unhideWhenUsed/>
    <w:rsid w:val="00CA1172"/>
    <w:pPr>
      <w:tabs>
        <w:tab w:val="right" w:leader="dot" w:pos="9071"/>
      </w:tabs>
      <w:spacing w:before="60" w:after="120" w:line="240" w:lineRule="auto"/>
      <w:ind w:left="850" w:hanging="850"/>
    </w:pPr>
    <w:rPr>
      <w:rFonts w:ascii="Times New Roman" w:hAnsi="Times New Roman" w:cs="Times New Roman"/>
      <w:sz w:val="24"/>
    </w:rPr>
  </w:style>
  <w:style w:type="paragraph" w:styleId="TOC3">
    <w:name w:val="toc 3"/>
    <w:basedOn w:val="Normal"/>
    <w:next w:val="Normal"/>
    <w:uiPriority w:val="39"/>
    <w:semiHidden/>
    <w:unhideWhenUsed/>
    <w:rsid w:val="00CA1172"/>
    <w:pPr>
      <w:tabs>
        <w:tab w:val="right" w:leader="dot" w:pos="9071"/>
      </w:tabs>
      <w:spacing w:before="60" w:after="120" w:line="240" w:lineRule="auto"/>
      <w:ind w:left="850" w:hanging="850"/>
    </w:pPr>
    <w:rPr>
      <w:rFonts w:ascii="Times New Roman" w:hAnsi="Times New Roman" w:cs="Times New Roman"/>
      <w:sz w:val="24"/>
    </w:rPr>
  </w:style>
  <w:style w:type="paragraph" w:styleId="TOC4">
    <w:name w:val="toc 4"/>
    <w:basedOn w:val="Normal"/>
    <w:next w:val="Normal"/>
    <w:uiPriority w:val="39"/>
    <w:semiHidden/>
    <w:unhideWhenUsed/>
    <w:rsid w:val="00CA1172"/>
    <w:pPr>
      <w:tabs>
        <w:tab w:val="right" w:leader="dot" w:pos="9071"/>
      </w:tabs>
      <w:spacing w:before="60" w:after="120" w:line="240" w:lineRule="auto"/>
      <w:ind w:left="850" w:hanging="850"/>
    </w:pPr>
    <w:rPr>
      <w:rFonts w:ascii="Times New Roman" w:hAnsi="Times New Roman" w:cs="Times New Roman"/>
      <w:sz w:val="24"/>
    </w:rPr>
  </w:style>
  <w:style w:type="paragraph" w:styleId="TOC5">
    <w:name w:val="toc 5"/>
    <w:basedOn w:val="Normal"/>
    <w:next w:val="Normal"/>
    <w:uiPriority w:val="39"/>
    <w:semiHidden/>
    <w:unhideWhenUsed/>
    <w:rsid w:val="00CA1172"/>
    <w:pPr>
      <w:tabs>
        <w:tab w:val="right" w:leader="dot" w:pos="9071"/>
      </w:tabs>
      <w:spacing w:before="300" w:after="120" w:line="240" w:lineRule="auto"/>
    </w:pPr>
    <w:rPr>
      <w:rFonts w:ascii="Times New Roman" w:hAnsi="Times New Roman" w:cs="Times New Roman"/>
      <w:sz w:val="24"/>
    </w:rPr>
  </w:style>
  <w:style w:type="paragraph" w:styleId="TOC6">
    <w:name w:val="toc 6"/>
    <w:basedOn w:val="Normal"/>
    <w:next w:val="Normal"/>
    <w:uiPriority w:val="39"/>
    <w:semiHidden/>
    <w:unhideWhenUsed/>
    <w:rsid w:val="00CA1172"/>
    <w:pPr>
      <w:tabs>
        <w:tab w:val="right" w:leader="dot" w:pos="9071"/>
      </w:tabs>
      <w:spacing w:before="240" w:after="120" w:line="240" w:lineRule="auto"/>
    </w:pPr>
    <w:rPr>
      <w:rFonts w:ascii="Times New Roman" w:hAnsi="Times New Roman" w:cs="Times New Roman"/>
      <w:sz w:val="24"/>
    </w:rPr>
  </w:style>
  <w:style w:type="paragraph" w:styleId="TOC7">
    <w:name w:val="toc 7"/>
    <w:basedOn w:val="Normal"/>
    <w:next w:val="Normal"/>
    <w:uiPriority w:val="39"/>
    <w:semiHidden/>
    <w:unhideWhenUsed/>
    <w:rsid w:val="00CA1172"/>
    <w:pPr>
      <w:tabs>
        <w:tab w:val="right" w:leader="dot" w:pos="9071"/>
      </w:tabs>
      <w:spacing w:before="180" w:after="120" w:line="240" w:lineRule="auto"/>
    </w:pPr>
    <w:rPr>
      <w:rFonts w:ascii="Times New Roman" w:hAnsi="Times New Roman" w:cs="Times New Roman"/>
      <w:sz w:val="24"/>
    </w:rPr>
  </w:style>
  <w:style w:type="paragraph" w:styleId="TOC8">
    <w:name w:val="toc 8"/>
    <w:basedOn w:val="Normal"/>
    <w:next w:val="Normal"/>
    <w:uiPriority w:val="39"/>
    <w:semiHidden/>
    <w:unhideWhenUsed/>
    <w:rsid w:val="00CA1172"/>
    <w:pPr>
      <w:tabs>
        <w:tab w:val="right" w:leader="dot" w:pos="9071"/>
      </w:tabs>
      <w:spacing w:before="120" w:after="120" w:line="240" w:lineRule="auto"/>
    </w:pPr>
    <w:rPr>
      <w:rFonts w:ascii="Times New Roman" w:hAnsi="Times New Roman" w:cs="Times New Roman"/>
      <w:sz w:val="24"/>
    </w:rPr>
  </w:style>
  <w:style w:type="paragraph" w:styleId="TOC9">
    <w:name w:val="toc 9"/>
    <w:basedOn w:val="Normal"/>
    <w:next w:val="Normal"/>
    <w:uiPriority w:val="39"/>
    <w:semiHidden/>
    <w:unhideWhenUsed/>
    <w:rsid w:val="00CA1172"/>
    <w:pPr>
      <w:tabs>
        <w:tab w:val="right" w:leader="dot" w:pos="9071"/>
      </w:tabs>
      <w:spacing w:before="120" w:after="120" w:line="240" w:lineRule="auto"/>
      <w:jc w:val="both"/>
    </w:pPr>
    <w:rPr>
      <w:rFonts w:ascii="Times New Roman" w:hAnsi="Times New Roman" w:cs="Times New Roman"/>
      <w:sz w:val="24"/>
    </w:rPr>
  </w:style>
  <w:style w:type="paragraph" w:customStyle="1" w:styleId="HeaderLandscape">
    <w:name w:val="HeaderLandscape"/>
    <w:basedOn w:val="Normal"/>
    <w:rsid w:val="00CA1172"/>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
    <w:rsid w:val="00CA1172"/>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Text2">
    <w:name w:val="Text 2"/>
    <w:basedOn w:val="Normal"/>
    <w:rsid w:val="00CA1172"/>
    <w:pPr>
      <w:spacing w:before="120" w:after="120" w:line="240" w:lineRule="auto"/>
      <w:ind w:left="1417"/>
      <w:jc w:val="both"/>
    </w:pPr>
    <w:rPr>
      <w:rFonts w:ascii="Times New Roman" w:hAnsi="Times New Roman" w:cs="Times New Roman"/>
      <w:sz w:val="24"/>
    </w:rPr>
  </w:style>
  <w:style w:type="paragraph" w:customStyle="1" w:styleId="Text3">
    <w:name w:val="Text 3"/>
    <w:basedOn w:val="Normal"/>
    <w:rsid w:val="00CA1172"/>
    <w:pPr>
      <w:spacing w:before="120" w:after="120" w:line="240" w:lineRule="auto"/>
      <w:ind w:left="1984"/>
      <w:jc w:val="both"/>
    </w:pPr>
    <w:rPr>
      <w:rFonts w:ascii="Times New Roman" w:hAnsi="Times New Roman" w:cs="Times New Roman"/>
      <w:sz w:val="24"/>
    </w:rPr>
  </w:style>
  <w:style w:type="paragraph" w:customStyle="1" w:styleId="Text4">
    <w:name w:val="Text 4"/>
    <w:basedOn w:val="Normal"/>
    <w:rsid w:val="00CA1172"/>
    <w:pPr>
      <w:spacing w:before="120" w:after="120" w:line="240" w:lineRule="auto"/>
      <w:ind w:left="2551"/>
      <w:jc w:val="both"/>
    </w:pPr>
    <w:rPr>
      <w:rFonts w:ascii="Times New Roman" w:hAnsi="Times New Roman" w:cs="Times New Roman"/>
      <w:sz w:val="24"/>
    </w:rPr>
  </w:style>
  <w:style w:type="paragraph" w:customStyle="1" w:styleId="NormalCentered">
    <w:name w:val="Normal Centered"/>
    <w:basedOn w:val="Normal"/>
    <w:rsid w:val="00CA1172"/>
    <w:pPr>
      <w:spacing w:before="120" w:after="120" w:line="240" w:lineRule="auto"/>
      <w:jc w:val="center"/>
    </w:pPr>
    <w:rPr>
      <w:rFonts w:ascii="Times New Roman" w:hAnsi="Times New Roman" w:cs="Times New Roman"/>
      <w:sz w:val="24"/>
    </w:rPr>
  </w:style>
  <w:style w:type="paragraph" w:customStyle="1" w:styleId="NormalLeft">
    <w:name w:val="Normal Left"/>
    <w:basedOn w:val="Normal"/>
    <w:rsid w:val="00CA1172"/>
    <w:pPr>
      <w:spacing w:before="120" w:after="120" w:line="240" w:lineRule="auto"/>
    </w:pPr>
    <w:rPr>
      <w:rFonts w:ascii="Times New Roman" w:hAnsi="Times New Roman" w:cs="Times New Roman"/>
      <w:sz w:val="24"/>
    </w:rPr>
  </w:style>
  <w:style w:type="paragraph" w:customStyle="1" w:styleId="NormalRight">
    <w:name w:val="Normal Right"/>
    <w:basedOn w:val="Normal"/>
    <w:rsid w:val="00CA1172"/>
    <w:pPr>
      <w:spacing w:before="120" w:after="120" w:line="240" w:lineRule="auto"/>
      <w:jc w:val="right"/>
    </w:pPr>
    <w:rPr>
      <w:rFonts w:ascii="Times New Roman" w:hAnsi="Times New Roman" w:cs="Times New Roman"/>
      <w:sz w:val="24"/>
    </w:rPr>
  </w:style>
  <w:style w:type="paragraph" w:customStyle="1" w:styleId="QuotedText">
    <w:name w:val="Quoted Text"/>
    <w:basedOn w:val="Normal"/>
    <w:rsid w:val="00CA1172"/>
    <w:pPr>
      <w:spacing w:before="120" w:after="120" w:line="240" w:lineRule="auto"/>
      <w:ind w:left="1417"/>
      <w:jc w:val="both"/>
    </w:pPr>
    <w:rPr>
      <w:rFonts w:ascii="Times New Roman" w:hAnsi="Times New Roman" w:cs="Times New Roman"/>
      <w:sz w:val="24"/>
    </w:rPr>
  </w:style>
  <w:style w:type="paragraph" w:customStyle="1" w:styleId="Point0">
    <w:name w:val="Point 0"/>
    <w:basedOn w:val="Normal"/>
    <w:rsid w:val="00CA1172"/>
    <w:pPr>
      <w:spacing w:before="120" w:after="120" w:line="240" w:lineRule="auto"/>
      <w:ind w:left="850" w:hanging="850"/>
      <w:jc w:val="both"/>
    </w:pPr>
    <w:rPr>
      <w:rFonts w:ascii="Times New Roman" w:hAnsi="Times New Roman" w:cs="Times New Roman"/>
      <w:sz w:val="24"/>
    </w:rPr>
  </w:style>
  <w:style w:type="paragraph" w:customStyle="1" w:styleId="Point1">
    <w:name w:val="Point 1"/>
    <w:basedOn w:val="Normal"/>
    <w:rsid w:val="00CA1172"/>
    <w:pPr>
      <w:spacing w:before="120" w:after="120" w:line="240" w:lineRule="auto"/>
      <w:ind w:left="1417" w:hanging="567"/>
      <w:jc w:val="both"/>
    </w:pPr>
    <w:rPr>
      <w:rFonts w:ascii="Times New Roman" w:hAnsi="Times New Roman" w:cs="Times New Roman"/>
      <w:sz w:val="24"/>
    </w:rPr>
  </w:style>
  <w:style w:type="paragraph" w:customStyle="1" w:styleId="Point2">
    <w:name w:val="Point 2"/>
    <w:basedOn w:val="Normal"/>
    <w:rsid w:val="00CA1172"/>
    <w:pPr>
      <w:spacing w:before="120" w:after="120" w:line="240" w:lineRule="auto"/>
      <w:ind w:left="1984" w:hanging="567"/>
      <w:jc w:val="both"/>
    </w:pPr>
    <w:rPr>
      <w:rFonts w:ascii="Times New Roman" w:hAnsi="Times New Roman" w:cs="Times New Roman"/>
      <w:sz w:val="24"/>
    </w:rPr>
  </w:style>
  <w:style w:type="paragraph" w:customStyle="1" w:styleId="Point3">
    <w:name w:val="Point 3"/>
    <w:basedOn w:val="Normal"/>
    <w:rsid w:val="00CA1172"/>
    <w:pPr>
      <w:spacing w:before="120" w:after="120" w:line="240" w:lineRule="auto"/>
      <w:ind w:left="2551" w:hanging="567"/>
      <w:jc w:val="both"/>
    </w:pPr>
    <w:rPr>
      <w:rFonts w:ascii="Times New Roman" w:hAnsi="Times New Roman" w:cs="Times New Roman"/>
      <w:sz w:val="24"/>
    </w:rPr>
  </w:style>
  <w:style w:type="paragraph" w:customStyle="1" w:styleId="Point4">
    <w:name w:val="Point 4"/>
    <w:basedOn w:val="Normal"/>
    <w:rsid w:val="00CA1172"/>
    <w:pPr>
      <w:spacing w:before="120" w:after="120" w:line="240" w:lineRule="auto"/>
      <w:ind w:left="3118" w:hanging="567"/>
      <w:jc w:val="both"/>
    </w:pPr>
    <w:rPr>
      <w:rFonts w:ascii="Times New Roman" w:hAnsi="Times New Roman" w:cs="Times New Roman"/>
      <w:sz w:val="24"/>
    </w:rPr>
  </w:style>
  <w:style w:type="paragraph" w:customStyle="1" w:styleId="Tiret0">
    <w:name w:val="Tiret 0"/>
    <w:basedOn w:val="Point0"/>
    <w:rsid w:val="00CA1172"/>
    <w:pPr>
      <w:numPr>
        <w:numId w:val="15"/>
      </w:numPr>
    </w:pPr>
  </w:style>
  <w:style w:type="paragraph" w:customStyle="1" w:styleId="Tiret1">
    <w:name w:val="Tiret 1"/>
    <w:basedOn w:val="Point1"/>
    <w:rsid w:val="00CA1172"/>
    <w:pPr>
      <w:numPr>
        <w:numId w:val="16"/>
      </w:numPr>
    </w:pPr>
  </w:style>
  <w:style w:type="paragraph" w:customStyle="1" w:styleId="Tiret2">
    <w:name w:val="Tiret 2"/>
    <w:basedOn w:val="Point2"/>
    <w:rsid w:val="00CA1172"/>
    <w:pPr>
      <w:numPr>
        <w:numId w:val="17"/>
      </w:numPr>
    </w:pPr>
  </w:style>
  <w:style w:type="paragraph" w:customStyle="1" w:styleId="Tiret3">
    <w:name w:val="Tiret 3"/>
    <w:basedOn w:val="Point3"/>
    <w:rsid w:val="00CA1172"/>
    <w:pPr>
      <w:numPr>
        <w:numId w:val="18"/>
      </w:numPr>
    </w:pPr>
  </w:style>
  <w:style w:type="paragraph" w:customStyle="1" w:styleId="Tiret4">
    <w:name w:val="Tiret 4"/>
    <w:basedOn w:val="Point4"/>
    <w:rsid w:val="00CA1172"/>
    <w:pPr>
      <w:numPr>
        <w:numId w:val="19"/>
      </w:numPr>
    </w:pPr>
  </w:style>
  <w:style w:type="paragraph" w:customStyle="1" w:styleId="PointDouble0">
    <w:name w:val="PointDouble 0"/>
    <w:basedOn w:val="Normal"/>
    <w:rsid w:val="00CA1172"/>
    <w:pPr>
      <w:tabs>
        <w:tab w:val="left" w:pos="850"/>
      </w:tabs>
      <w:spacing w:before="120" w:after="120" w:line="240" w:lineRule="auto"/>
      <w:ind w:left="1417" w:hanging="1417"/>
      <w:jc w:val="both"/>
    </w:pPr>
    <w:rPr>
      <w:rFonts w:ascii="Times New Roman" w:hAnsi="Times New Roman" w:cs="Times New Roman"/>
      <w:sz w:val="24"/>
    </w:rPr>
  </w:style>
  <w:style w:type="paragraph" w:customStyle="1" w:styleId="PointDouble1">
    <w:name w:val="PointDouble 1"/>
    <w:basedOn w:val="Normal"/>
    <w:rsid w:val="00CA1172"/>
    <w:pPr>
      <w:tabs>
        <w:tab w:val="left" w:pos="1417"/>
      </w:tabs>
      <w:spacing w:before="120" w:after="120" w:line="240" w:lineRule="auto"/>
      <w:ind w:left="1984" w:hanging="1134"/>
      <w:jc w:val="both"/>
    </w:pPr>
    <w:rPr>
      <w:rFonts w:ascii="Times New Roman" w:hAnsi="Times New Roman" w:cs="Times New Roman"/>
      <w:sz w:val="24"/>
    </w:rPr>
  </w:style>
  <w:style w:type="paragraph" w:customStyle="1" w:styleId="PointDouble2">
    <w:name w:val="PointDouble 2"/>
    <w:basedOn w:val="Normal"/>
    <w:rsid w:val="00CA1172"/>
    <w:pPr>
      <w:tabs>
        <w:tab w:val="left" w:pos="1984"/>
      </w:tabs>
      <w:spacing w:before="120" w:after="120" w:line="240" w:lineRule="auto"/>
      <w:ind w:left="2551" w:hanging="1134"/>
      <w:jc w:val="both"/>
    </w:pPr>
    <w:rPr>
      <w:rFonts w:ascii="Times New Roman" w:hAnsi="Times New Roman" w:cs="Times New Roman"/>
      <w:sz w:val="24"/>
    </w:rPr>
  </w:style>
  <w:style w:type="paragraph" w:customStyle="1" w:styleId="PointDouble3">
    <w:name w:val="PointDouble 3"/>
    <w:basedOn w:val="Normal"/>
    <w:rsid w:val="00CA1172"/>
    <w:pPr>
      <w:tabs>
        <w:tab w:val="left" w:pos="2551"/>
      </w:tabs>
      <w:spacing w:before="120" w:after="120" w:line="240" w:lineRule="auto"/>
      <w:ind w:left="3118" w:hanging="1134"/>
      <w:jc w:val="both"/>
    </w:pPr>
    <w:rPr>
      <w:rFonts w:ascii="Times New Roman" w:hAnsi="Times New Roman" w:cs="Times New Roman"/>
      <w:sz w:val="24"/>
    </w:rPr>
  </w:style>
  <w:style w:type="paragraph" w:customStyle="1" w:styleId="PointDouble4">
    <w:name w:val="PointDouble 4"/>
    <w:basedOn w:val="Normal"/>
    <w:rsid w:val="00CA1172"/>
    <w:pPr>
      <w:tabs>
        <w:tab w:val="left" w:pos="3118"/>
      </w:tabs>
      <w:spacing w:before="120" w:after="120" w:line="240" w:lineRule="auto"/>
      <w:ind w:left="3685" w:hanging="1134"/>
      <w:jc w:val="both"/>
    </w:pPr>
    <w:rPr>
      <w:rFonts w:ascii="Times New Roman" w:hAnsi="Times New Roman" w:cs="Times New Roman"/>
      <w:sz w:val="24"/>
    </w:rPr>
  </w:style>
  <w:style w:type="paragraph" w:customStyle="1" w:styleId="PointTriple0">
    <w:name w:val="PointTriple 0"/>
    <w:basedOn w:val="Normal"/>
    <w:rsid w:val="00CA1172"/>
    <w:pPr>
      <w:tabs>
        <w:tab w:val="left" w:pos="850"/>
        <w:tab w:val="left" w:pos="1417"/>
      </w:tabs>
      <w:spacing w:before="120" w:after="120" w:line="240" w:lineRule="auto"/>
      <w:ind w:left="1984" w:hanging="1984"/>
      <w:jc w:val="both"/>
    </w:pPr>
    <w:rPr>
      <w:rFonts w:ascii="Times New Roman" w:hAnsi="Times New Roman" w:cs="Times New Roman"/>
      <w:sz w:val="24"/>
    </w:rPr>
  </w:style>
  <w:style w:type="paragraph" w:customStyle="1" w:styleId="PointTriple1">
    <w:name w:val="PointTriple 1"/>
    <w:basedOn w:val="Normal"/>
    <w:rsid w:val="00CA1172"/>
    <w:pPr>
      <w:tabs>
        <w:tab w:val="left" w:pos="1417"/>
        <w:tab w:val="left" w:pos="1984"/>
      </w:tabs>
      <w:spacing w:before="120" w:after="120" w:line="240" w:lineRule="auto"/>
      <w:ind w:left="2551" w:hanging="1701"/>
      <w:jc w:val="both"/>
    </w:pPr>
    <w:rPr>
      <w:rFonts w:ascii="Times New Roman" w:hAnsi="Times New Roman" w:cs="Times New Roman"/>
      <w:sz w:val="24"/>
    </w:rPr>
  </w:style>
  <w:style w:type="paragraph" w:customStyle="1" w:styleId="PointTriple2">
    <w:name w:val="PointTriple 2"/>
    <w:basedOn w:val="Normal"/>
    <w:rsid w:val="00CA1172"/>
    <w:pPr>
      <w:tabs>
        <w:tab w:val="left" w:pos="1984"/>
        <w:tab w:val="left" w:pos="2551"/>
      </w:tabs>
      <w:spacing w:before="120" w:after="120" w:line="240" w:lineRule="auto"/>
      <w:ind w:left="3118" w:hanging="1701"/>
      <w:jc w:val="both"/>
    </w:pPr>
    <w:rPr>
      <w:rFonts w:ascii="Times New Roman" w:hAnsi="Times New Roman" w:cs="Times New Roman"/>
      <w:sz w:val="24"/>
    </w:rPr>
  </w:style>
  <w:style w:type="paragraph" w:customStyle="1" w:styleId="PointTriple3">
    <w:name w:val="PointTriple 3"/>
    <w:basedOn w:val="Normal"/>
    <w:rsid w:val="00CA1172"/>
    <w:pPr>
      <w:tabs>
        <w:tab w:val="left" w:pos="2551"/>
        <w:tab w:val="left" w:pos="3118"/>
      </w:tabs>
      <w:spacing w:before="120" w:after="120" w:line="240" w:lineRule="auto"/>
      <w:ind w:left="3685" w:hanging="1701"/>
      <w:jc w:val="both"/>
    </w:pPr>
    <w:rPr>
      <w:rFonts w:ascii="Times New Roman" w:hAnsi="Times New Roman" w:cs="Times New Roman"/>
      <w:sz w:val="24"/>
    </w:rPr>
  </w:style>
  <w:style w:type="paragraph" w:customStyle="1" w:styleId="PointTriple4">
    <w:name w:val="PointTriple 4"/>
    <w:basedOn w:val="Normal"/>
    <w:rsid w:val="00CA1172"/>
    <w:pPr>
      <w:tabs>
        <w:tab w:val="left" w:pos="3118"/>
        <w:tab w:val="left" w:pos="3685"/>
      </w:tabs>
      <w:spacing w:before="120" w:after="120" w:line="240" w:lineRule="auto"/>
      <w:ind w:left="4252" w:hanging="1701"/>
      <w:jc w:val="both"/>
    </w:pPr>
    <w:rPr>
      <w:rFonts w:ascii="Times New Roman" w:hAnsi="Times New Roman" w:cs="Times New Roman"/>
      <w:sz w:val="24"/>
    </w:rPr>
  </w:style>
  <w:style w:type="paragraph" w:customStyle="1" w:styleId="NumPar1">
    <w:name w:val="NumPar 1"/>
    <w:basedOn w:val="Normal"/>
    <w:next w:val="Text1"/>
    <w:rsid w:val="00CA1172"/>
    <w:pPr>
      <w:numPr>
        <w:numId w:val="20"/>
      </w:numPr>
      <w:spacing w:before="120" w:after="120" w:line="240" w:lineRule="auto"/>
      <w:jc w:val="both"/>
    </w:pPr>
    <w:rPr>
      <w:rFonts w:ascii="Times New Roman" w:hAnsi="Times New Roman" w:cs="Times New Roman"/>
      <w:sz w:val="24"/>
    </w:rPr>
  </w:style>
  <w:style w:type="paragraph" w:customStyle="1" w:styleId="NumPar2">
    <w:name w:val="NumPar 2"/>
    <w:basedOn w:val="Normal"/>
    <w:next w:val="Text1"/>
    <w:rsid w:val="00CA1172"/>
    <w:pPr>
      <w:numPr>
        <w:ilvl w:val="1"/>
        <w:numId w:val="20"/>
      </w:numPr>
      <w:spacing w:before="120" w:after="120" w:line="240" w:lineRule="auto"/>
      <w:jc w:val="both"/>
    </w:pPr>
    <w:rPr>
      <w:rFonts w:ascii="Times New Roman" w:hAnsi="Times New Roman" w:cs="Times New Roman"/>
      <w:sz w:val="24"/>
    </w:rPr>
  </w:style>
  <w:style w:type="paragraph" w:customStyle="1" w:styleId="NumPar3">
    <w:name w:val="NumPar 3"/>
    <w:basedOn w:val="Normal"/>
    <w:next w:val="Text1"/>
    <w:rsid w:val="00CA1172"/>
    <w:pPr>
      <w:numPr>
        <w:ilvl w:val="2"/>
        <w:numId w:val="20"/>
      </w:numPr>
      <w:spacing w:before="120" w:after="120" w:line="240" w:lineRule="auto"/>
      <w:jc w:val="both"/>
    </w:pPr>
    <w:rPr>
      <w:rFonts w:ascii="Times New Roman" w:hAnsi="Times New Roman" w:cs="Times New Roman"/>
      <w:sz w:val="24"/>
    </w:rPr>
  </w:style>
  <w:style w:type="paragraph" w:customStyle="1" w:styleId="NumPar4">
    <w:name w:val="NumPar 4"/>
    <w:basedOn w:val="Normal"/>
    <w:next w:val="Text1"/>
    <w:rsid w:val="00CA1172"/>
    <w:pPr>
      <w:numPr>
        <w:ilvl w:val="3"/>
        <w:numId w:val="20"/>
      </w:numPr>
      <w:spacing w:before="120" w:after="120" w:line="240" w:lineRule="auto"/>
      <w:jc w:val="both"/>
    </w:pPr>
    <w:rPr>
      <w:rFonts w:ascii="Times New Roman" w:hAnsi="Times New Roman" w:cs="Times New Roman"/>
      <w:sz w:val="24"/>
    </w:rPr>
  </w:style>
  <w:style w:type="paragraph" w:customStyle="1" w:styleId="ManualNumPar1">
    <w:name w:val="Manual NumPar 1"/>
    <w:basedOn w:val="Normal"/>
    <w:next w:val="Text1"/>
    <w:rsid w:val="00CA1172"/>
    <w:pPr>
      <w:spacing w:before="120" w:after="120" w:line="240" w:lineRule="auto"/>
      <w:ind w:left="850" w:hanging="850"/>
      <w:jc w:val="both"/>
    </w:pPr>
    <w:rPr>
      <w:rFonts w:ascii="Times New Roman" w:hAnsi="Times New Roman" w:cs="Times New Roman"/>
      <w:sz w:val="24"/>
    </w:rPr>
  </w:style>
  <w:style w:type="paragraph" w:customStyle="1" w:styleId="ManualNumPar2">
    <w:name w:val="Manual NumPar 2"/>
    <w:basedOn w:val="Normal"/>
    <w:next w:val="Text1"/>
    <w:rsid w:val="00CA1172"/>
    <w:pPr>
      <w:spacing w:before="120" w:after="120" w:line="240" w:lineRule="auto"/>
      <w:ind w:left="850" w:hanging="850"/>
      <w:jc w:val="both"/>
    </w:pPr>
    <w:rPr>
      <w:rFonts w:ascii="Times New Roman" w:hAnsi="Times New Roman" w:cs="Times New Roman"/>
      <w:sz w:val="24"/>
    </w:rPr>
  </w:style>
  <w:style w:type="paragraph" w:customStyle="1" w:styleId="ManualNumPar3">
    <w:name w:val="Manual NumPar 3"/>
    <w:basedOn w:val="Normal"/>
    <w:next w:val="Text1"/>
    <w:rsid w:val="00CA1172"/>
    <w:pPr>
      <w:spacing w:before="120" w:after="120" w:line="240" w:lineRule="auto"/>
      <w:ind w:left="850" w:hanging="850"/>
      <w:jc w:val="both"/>
    </w:pPr>
    <w:rPr>
      <w:rFonts w:ascii="Times New Roman" w:hAnsi="Times New Roman" w:cs="Times New Roman"/>
      <w:sz w:val="24"/>
    </w:rPr>
  </w:style>
  <w:style w:type="paragraph" w:customStyle="1" w:styleId="ManualNumPar4">
    <w:name w:val="Manual NumPar 4"/>
    <w:basedOn w:val="Normal"/>
    <w:next w:val="Text1"/>
    <w:rsid w:val="00CA1172"/>
    <w:pPr>
      <w:spacing w:before="120" w:after="120" w:line="240" w:lineRule="auto"/>
      <w:ind w:left="850" w:hanging="850"/>
      <w:jc w:val="both"/>
    </w:pPr>
    <w:rPr>
      <w:rFonts w:ascii="Times New Roman" w:hAnsi="Times New Roman" w:cs="Times New Roman"/>
      <w:sz w:val="24"/>
    </w:rPr>
  </w:style>
  <w:style w:type="paragraph" w:customStyle="1" w:styleId="QuotedNumPar">
    <w:name w:val="Quoted NumPar"/>
    <w:basedOn w:val="Normal"/>
    <w:rsid w:val="00CA1172"/>
    <w:pPr>
      <w:spacing w:before="120" w:after="120" w:line="240" w:lineRule="auto"/>
      <w:ind w:left="1417" w:hanging="567"/>
      <w:jc w:val="both"/>
    </w:pPr>
    <w:rPr>
      <w:rFonts w:ascii="Times New Roman" w:hAnsi="Times New Roman" w:cs="Times New Roman"/>
      <w:sz w:val="24"/>
    </w:rPr>
  </w:style>
  <w:style w:type="paragraph" w:customStyle="1" w:styleId="ManualHeading1">
    <w:name w:val="Manual Heading 1"/>
    <w:basedOn w:val="Normal"/>
    <w:next w:val="Text1"/>
    <w:rsid w:val="00CA1172"/>
    <w:pPr>
      <w:keepNext/>
      <w:tabs>
        <w:tab w:val="left" w:pos="850"/>
      </w:tabs>
      <w:spacing w:before="360" w:after="120" w:line="240" w:lineRule="auto"/>
      <w:ind w:left="850" w:hanging="850"/>
      <w:jc w:val="both"/>
      <w:outlineLvl w:val="0"/>
    </w:pPr>
    <w:rPr>
      <w:rFonts w:ascii="Times New Roman" w:hAnsi="Times New Roman" w:cs="Times New Roman"/>
      <w:b/>
      <w:smallCaps/>
      <w:sz w:val="24"/>
    </w:rPr>
  </w:style>
  <w:style w:type="paragraph" w:customStyle="1" w:styleId="ManualHeading2">
    <w:name w:val="Manual Heading 2"/>
    <w:basedOn w:val="Normal"/>
    <w:next w:val="Text1"/>
    <w:rsid w:val="00CA1172"/>
    <w:pPr>
      <w:keepNext/>
      <w:tabs>
        <w:tab w:val="left" w:pos="850"/>
      </w:tabs>
      <w:spacing w:before="120" w:after="120" w:line="240" w:lineRule="auto"/>
      <w:ind w:left="850" w:hanging="850"/>
      <w:jc w:val="both"/>
      <w:outlineLvl w:val="1"/>
    </w:pPr>
    <w:rPr>
      <w:rFonts w:ascii="Times New Roman" w:hAnsi="Times New Roman" w:cs="Times New Roman"/>
      <w:b/>
      <w:sz w:val="24"/>
    </w:rPr>
  </w:style>
  <w:style w:type="paragraph" w:customStyle="1" w:styleId="ManualHeading3">
    <w:name w:val="Manual Heading 3"/>
    <w:basedOn w:val="Normal"/>
    <w:next w:val="Text1"/>
    <w:rsid w:val="00CA1172"/>
    <w:pPr>
      <w:keepNext/>
      <w:tabs>
        <w:tab w:val="left" w:pos="850"/>
      </w:tabs>
      <w:spacing w:before="120" w:after="120" w:line="240" w:lineRule="auto"/>
      <w:ind w:left="850" w:hanging="850"/>
      <w:jc w:val="both"/>
      <w:outlineLvl w:val="2"/>
    </w:pPr>
    <w:rPr>
      <w:rFonts w:ascii="Times New Roman" w:hAnsi="Times New Roman" w:cs="Times New Roman"/>
      <w:i/>
      <w:sz w:val="24"/>
    </w:rPr>
  </w:style>
  <w:style w:type="paragraph" w:customStyle="1" w:styleId="ManualHeading4">
    <w:name w:val="Manual Heading 4"/>
    <w:basedOn w:val="Normal"/>
    <w:next w:val="Text1"/>
    <w:rsid w:val="00CA1172"/>
    <w:pPr>
      <w:keepNext/>
      <w:tabs>
        <w:tab w:val="left" w:pos="850"/>
      </w:tabs>
      <w:spacing w:before="120" w:after="120" w:line="240" w:lineRule="auto"/>
      <w:ind w:left="850" w:hanging="850"/>
      <w:jc w:val="both"/>
      <w:outlineLvl w:val="3"/>
    </w:pPr>
    <w:rPr>
      <w:rFonts w:ascii="Times New Roman" w:hAnsi="Times New Roman" w:cs="Times New Roman"/>
      <w:sz w:val="24"/>
    </w:rPr>
  </w:style>
  <w:style w:type="paragraph" w:customStyle="1" w:styleId="ChapterTitle">
    <w:name w:val="ChapterTitle"/>
    <w:basedOn w:val="Normal"/>
    <w:next w:val="Normal"/>
    <w:rsid w:val="00CA1172"/>
    <w:pPr>
      <w:keepNext/>
      <w:spacing w:before="120" w:after="360" w:line="240" w:lineRule="auto"/>
      <w:jc w:val="center"/>
    </w:pPr>
    <w:rPr>
      <w:rFonts w:ascii="Times New Roman" w:hAnsi="Times New Roman" w:cs="Times New Roman"/>
      <w:b/>
      <w:sz w:val="32"/>
    </w:rPr>
  </w:style>
  <w:style w:type="paragraph" w:customStyle="1" w:styleId="PartTitle">
    <w:name w:val="PartTitle"/>
    <w:basedOn w:val="Normal"/>
    <w:next w:val="ChapterTitle"/>
    <w:rsid w:val="00CA1172"/>
    <w:pPr>
      <w:keepNext/>
      <w:pageBreakBefore/>
      <w:spacing w:before="120" w:after="360" w:line="240" w:lineRule="auto"/>
      <w:jc w:val="center"/>
    </w:pPr>
    <w:rPr>
      <w:rFonts w:ascii="Times New Roman" w:hAnsi="Times New Roman" w:cs="Times New Roman"/>
      <w:b/>
      <w:sz w:val="36"/>
    </w:rPr>
  </w:style>
  <w:style w:type="paragraph" w:customStyle="1" w:styleId="SectionTitle">
    <w:name w:val="SectionTitle"/>
    <w:basedOn w:val="Normal"/>
    <w:next w:val="Heading1"/>
    <w:rsid w:val="00CA1172"/>
    <w:pPr>
      <w:keepNext/>
      <w:spacing w:before="120" w:after="360" w:line="240" w:lineRule="auto"/>
      <w:jc w:val="center"/>
    </w:pPr>
    <w:rPr>
      <w:rFonts w:ascii="Times New Roman" w:hAnsi="Times New Roman" w:cs="Times New Roman"/>
      <w:b/>
      <w:smallCaps/>
      <w:sz w:val="28"/>
    </w:rPr>
  </w:style>
  <w:style w:type="paragraph" w:customStyle="1" w:styleId="TableTitle">
    <w:name w:val="Table Title"/>
    <w:basedOn w:val="Normal"/>
    <w:next w:val="Normal"/>
    <w:rsid w:val="00CA1172"/>
    <w:pPr>
      <w:spacing w:before="120" w:after="120" w:line="240" w:lineRule="auto"/>
      <w:jc w:val="center"/>
    </w:pPr>
    <w:rPr>
      <w:rFonts w:ascii="Times New Roman" w:hAnsi="Times New Roman" w:cs="Times New Roman"/>
      <w:b/>
      <w:sz w:val="24"/>
    </w:rPr>
  </w:style>
  <w:style w:type="character" w:customStyle="1" w:styleId="Marker1">
    <w:name w:val="Marker1"/>
    <w:basedOn w:val="DefaultParagraphFont"/>
    <w:rsid w:val="00CA1172"/>
    <w:rPr>
      <w:color w:val="008000"/>
      <w:shd w:val="clear" w:color="auto" w:fill="auto"/>
    </w:rPr>
  </w:style>
  <w:style w:type="character" w:customStyle="1" w:styleId="Marker2">
    <w:name w:val="Marker2"/>
    <w:basedOn w:val="DefaultParagraphFont"/>
    <w:rsid w:val="00CA1172"/>
    <w:rPr>
      <w:color w:val="FF0000"/>
      <w:shd w:val="clear" w:color="auto" w:fill="auto"/>
    </w:rPr>
  </w:style>
  <w:style w:type="paragraph" w:customStyle="1" w:styleId="Point0number">
    <w:name w:val="Point 0 (number)"/>
    <w:basedOn w:val="Normal"/>
    <w:rsid w:val="00CA1172"/>
    <w:pPr>
      <w:numPr>
        <w:numId w:val="21"/>
      </w:numPr>
      <w:spacing w:before="120" w:after="120" w:line="240" w:lineRule="auto"/>
      <w:jc w:val="both"/>
    </w:pPr>
    <w:rPr>
      <w:rFonts w:ascii="Times New Roman" w:hAnsi="Times New Roman" w:cs="Times New Roman"/>
      <w:sz w:val="24"/>
    </w:rPr>
  </w:style>
  <w:style w:type="paragraph" w:customStyle="1" w:styleId="Point1number">
    <w:name w:val="Point 1 (number)"/>
    <w:basedOn w:val="Normal"/>
    <w:rsid w:val="00CA1172"/>
    <w:pPr>
      <w:numPr>
        <w:ilvl w:val="2"/>
        <w:numId w:val="21"/>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rsid w:val="00CA1172"/>
    <w:pPr>
      <w:numPr>
        <w:ilvl w:val="4"/>
        <w:numId w:val="21"/>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rsid w:val="00CA1172"/>
    <w:pPr>
      <w:numPr>
        <w:ilvl w:val="6"/>
        <w:numId w:val="21"/>
      </w:numPr>
      <w:spacing w:before="120" w:after="120" w:line="240" w:lineRule="auto"/>
      <w:jc w:val="both"/>
    </w:pPr>
    <w:rPr>
      <w:rFonts w:ascii="Times New Roman" w:hAnsi="Times New Roman" w:cs="Times New Roman"/>
      <w:sz w:val="24"/>
    </w:rPr>
  </w:style>
  <w:style w:type="paragraph" w:customStyle="1" w:styleId="Point0letter">
    <w:name w:val="Point 0 (letter)"/>
    <w:basedOn w:val="Normal"/>
    <w:rsid w:val="00CA1172"/>
    <w:pPr>
      <w:numPr>
        <w:ilvl w:val="1"/>
        <w:numId w:val="21"/>
      </w:numPr>
      <w:spacing w:before="120" w:after="120" w:line="240" w:lineRule="auto"/>
      <w:jc w:val="both"/>
    </w:pPr>
    <w:rPr>
      <w:rFonts w:ascii="Times New Roman" w:hAnsi="Times New Roman" w:cs="Times New Roman"/>
      <w:sz w:val="24"/>
    </w:rPr>
  </w:style>
  <w:style w:type="paragraph" w:customStyle="1" w:styleId="Point1letter">
    <w:name w:val="Point 1 (letter)"/>
    <w:basedOn w:val="Normal"/>
    <w:rsid w:val="00CA1172"/>
    <w:pPr>
      <w:numPr>
        <w:ilvl w:val="3"/>
        <w:numId w:val="21"/>
      </w:numPr>
      <w:spacing w:before="120" w:after="120" w:line="240" w:lineRule="auto"/>
      <w:jc w:val="both"/>
    </w:pPr>
    <w:rPr>
      <w:rFonts w:ascii="Times New Roman" w:hAnsi="Times New Roman" w:cs="Times New Roman"/>
      <w:sz w:val="24"/>
    </w:rPr>
  </w:style>
  <w:style w:type="paragraph" w:customStyle="1" w:styleId="Point2letter">
    <w:name w:val="Point 2 (letter)"/>
    <w:basedOn w:val="Normal"/>
    <w:rsid w:val="00CA1172"/>
    <w:pPr>
      <w:numPr>
        <w:ilvl w:val="5"/>
        <w:numId w:val="21"/>
      </w:numPr>
      <w:spacing w:before="120" w:after="120" w:line="240" w:lineRule="auto"/>
      <w:jc w:val="both"/>
    </w:pPr>
    <w:rPr>
      <w:rFonts w:ascii="Times New Roman" w:hAnsi="Times New Roman" w:cs="Times New Roman"/>
      <w:sz w:val="24"/>
    </w:rPr>
  </w:style>
  <w:style w:type="paragraph" w:customStyle="1" w:styleId="Point3letter">
    <w:name w:val="Point 3 (letter)"/>
    <w:basedOn w:val="Normal"/>
    <w:rsid w:val="00CA1172"/>
    <w:pPr>
      <w:numPr>
        <w:ilvl w:val="7"/>
        <w:numId w:val="21"/>
      </w:numPr>
      <w:spacing w:before="120" w:after="120" w:line="240" w:lineRule="auto"/>
      <w:jc w:val="both"/>
    </w:pPr>
    <w:rPr>
      <w:rFonts w:ascii="Times New Roman" w:hAnsi="Times New Roman" w:cs="Times New Roman"/>
      <w:sz w:val="24"/>
    </w:rPr>
  </w:style>
  <w:style w:type="paragraph" w:customStyle="1" w:styleId="Point4letter">
    <w:name w:val="Point 4 (letter)"/>
    <w:basedOn w:val="Normal"/>
    <w:rsid w:val="00CA1172"/>
    <w:pPr>
      <w:numPr>
        <w:ilvl w:val="8"/>
        <w:numId w:val="21"/>
      </w:numPr>
      <w:spacing w:before="120" w:after="120" w:line="240" w:lineRule="auto"/>
      <w:jc w:val="both"/>
    </w:pPr>
    <w:rPr>
      <w:rFonts w:ascii="Times New Roman" w:hAnsi="Times New Roman" w:cs="Times New Roman"/>
      <w:sz w:val="24"/>
    </w:rPr>
  </w:style>
  <w:style w:type="paragraph" w:customStyle="1" w:styleId="Bullet0">
    <w:name w:val="Bullet 0"/>
    <w:basedOn w:val="Normal"/>
    <w:rsid w:val="00CA1172"/>
    <w:pPr>
      <w:numPr>
        <w:numId w:val="22"/>
      </w:numPr>
      <w:spacing w:before="120" w:after="120" w:line="240" w:lineRule="auto"/>
      <w:jc w:val="both"/>
    </w:pPr>
    <w:rPr>
      <w:rFonts w:ascii="Times New Roman" w:hAnsi="Times New Roman" w:cs="Times New Roman"/>
      <w:sz w:val="24"/>
    </w:rPr>
  </w:style>
  <w:style w:type="paragraph" w:customStyle="1" w:styleId="Bullet2">
    <w:name w:val="Bullet 2"/>
    <w:basedOn w:val="Normal"/>
    <w:rsid w:val="00CA1172"/>
    <w:pPr>
      <w:numPr>
        <w:numId w:val="23"/>
      </w:numPr>
      <w:spacing w:before="120" w:after="120" w:line="240" w:lineRule="auto"/>
      <w:jc w:val="both"/>
    </w:pPr>
    <w:rPr>
      <w:rFonts w:ascii="Times New Roman" w:hAnsi="Times New Roman" w:cs="Times New Roman"/>
      <w:sz w:val="24"/>
    </w:rPr>
  </w:style>
  <w:style w:type="paragraph" w:customStyle="1" w:styleId="Bullet3">
    <w:name w:val="Bullet 3"/>
    <w:basedOn w:val="Normal"/>
    <w:rsid w:val="00CA1172"/>
    <w:pPr>
      <w:numPr>
        <w:numId w:val="24"/>
      </w:numPr>
      <w:spacing w:before="120" w:after="120" w:line="240" w:lineRule="auto"/>
      <w:jc w:val="both"/>
    </w:pPr>
    <w:rPr>
      <w:rFonts w:ascii="Times New Roman" w:hAnsi="Times New Roman" w:cs="Times New Roman"/>
      <w:sz w:val="24"/>
    </w:rPr>
  </w:style>
  <w:style w:type="paragraph" w:customStyle="1" w:styleId="Bullet4">
    <w:name w:val="Bullet 4"/>
    <w:basedOn w:val="Normal"/>
    <w:rsid w:val="00CA1172"/>
    <w:pPr>
      <w:numPr>
        <w:numId w:val="25"/>
      </w:numPr>
      <w:spacing w:before="120" w:after="120" w:line="240" w:lineRule="auto"/>
      <w:jc w:val="both"/>
    </w:pPr>
    <w:rPr>
      <w:rFonts w:ascii="Times New Roman" w:hAnsi="Times New Roman" w:cs="Times New Roman"/>
      <w:sz w:val="24"/>
    </w:rPr>
  </w:style>
  <w:style w:type="paragraph" w:customStyle="1" w:styleId="Langue">
    <w:name w:val="Langue"/>
    <w:basedOn w:val="Normal"/>
    <w:next w:val="Rfrenceinterne"/>
    <w:rsid w:val="00CA1172"/>
    <w:pPr>
      <w:framePr w:wrap="around" w:vAnchor="page" w:hAnchor="text" w:xAlign="center" w:y="14741"/>
      <w:spacing w:after="600" w:line="240" w:lineRule="auto"/>
      <w:jc w:val="center"/>
    </w:pPr>
    <w:rPr>
      <w:rFonts w:ascii="Times New Roman" w:hAnsi="Times New Roman" w:cs="Times New Roman"/>
      <w:b/>
      <w:caps/>
      <w:sz w:val="24"/>
    </w:rPr>
  </w:style>
  <w:style w:type="paragraph" w:customStyle="1" w:styleId="Nomdelinstitution">
    <w:name w:val="Nom de l'institution"/>
    <w:basedOn w:val="Normal"/>
    <w:next w:val="Emission"/>
    <w:rsid w:val="00CA1172"/>
    <w:pPr>
      <w:spacing w:after="0" w:line="240" w:lineRule="auto"/>
    </w:pPr>
    <w:rPr>
      <w:rFonts w:ascii="Arial" w:hAnsi="Arial" w:cs="Arial"/>
      <w:sz w:val="24"/>
    </w:rPr>
  </w:style>
  <w:style w:type="paragraph" w:customStyle="1" w:styleId="Emission">
    <w:name w:val="Emission"/>
    <w:basedOn w:val="Normal"/>
    <w:next w:val="Rfrenceinstitutionnelle"/>
    <w:rsid w:val="00CA1172"/>
    <w:pPr>
      <w:spacing w:after="0" w:line="240" w:lineRule="auto"/>
      <w:ind w:left="5103"/>
    </w:pPr>
    <w:rPr>
      <w:rFonts w:ascii="Times New Roman" w:hAnsi="Times New Roman" w:cs="Times New Roman"/>
      <w:sz w:val="24"/>
    </w:rPr>
  </w:style>
  <w:style w:type="paragraph" w:customStyle="1" w:styleId="Rfrenceinstitutionnelle">
    <w:name w:val="Référence institutionnelle"/>
    <w:basedOn w:val="Normal"/>
    <w:next w:val="Confidentialit"/>
    <w:rsid w:val="00CA1172"/>
    <w:pPr>
      <w:spacing w:after="240" w:line="240" w:lineRule="auto"/>
      <w:ind w:left="5103"/>
    </w:pPr>
    <w:rPr>
      <w:rFonts w:ascii="Times New Roman" w:hAnsi="Times New Roman" w:cs="Times New Roman"/>
      <w:sz w:val="24"/>
    </w:rPr>
  </w:style>
  <w:style w:type="paragraph" w:customStyle="1" w:styleId="Declassification">
    <w:name w:val="Declassification"/>
    <w:basedOn w:val="Normal"/>
    <w:next w:val="Normal"/>
    <w:rsid w:val="00CA1172"/>
    <w:pPr>
      <w:spacing w:after="0" w:line="240" w:lineRule="auto"/>
      <w:jc w:val="both"/>
    </w:pPr>
    <w:rPr>
      <w:rFonts w:ascii="Times New Roman" w:hAnsi="Times New Roman" w:cs="Times New Roman"/>
      <w:sz w:val="24"/>
    </w:rPr>
  </w:style>
  <w:style w:type="paragraph" w:customStyle="1" w:styleId="Disclaimer">
    <w:name w:val="Disclaimer"/>
    <w:basedOn w:val="Normal"/>
    <w:rsid w:val="00CA1172"/>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CA1172"/>
    <w:pPr>
      <w:spacing w:after="0"/>
      <w:ind w:left="5103"/>
    </w:pPr>
    <w:rPr>
      <w:rFonts w:ascii="Times New Roman" w:hAnsi="Times New Roman" w:cs="Times New Roman"/>
      <w:sz w:val="28"/>
    </w:rPr>
  </w:style>
  <w:style w:type="paragraph" w:customStyle="1" w:styleId="DateMarking">
    <w:name w:val="DateMarking"/>
    <w:basedOn w:val="Normal"/>
    <w:rsid w:val="00CA1172"/>
    <w:pPr>
      <w:spacing w:after="0"/>
      <w:ind w:left="5103"/>
    </w:pPr>
    <w:rPr>
      <w:rFonts w:ascii="Times New Roman" w:hAnsi="Times New Roman" w:cs="Times New Roman"/>
      <w:i/>
      <w:sz w:val="28"/>
    </w:rPr>
  </w:style>
  <w:style w:type="paragraph" w:customStyle="1" w:styleId="ReleasableTo">
    <w:name w:val="ReleasableTo"/>
    <w:basedOn w:val="Normal"/>
    <w:rsid w:val="00CA1172"/>
    <w:pPr>
      <w:spacing w:after="0"/>
      <w:ind w:left="5103"/>
    </w:pPr>
    <w:rPr>
      <w:rFonts w:ascii="Times New Roman" w:hAnsi="Times New Roman" w:cs="Times New Roman"/>
      <w:i/>
      <w:sz w:val="28"/>
    </w:rPr>
  </w:style>
  <w:style w:type="paragraph" w:customStyle="1" w:styleId="Annexetitreexpos">
    <w:name w:val="Annexe titre (exposé)"/>
    <w:basedOn w:val="Normal"/>
    <w:next w:val="Normal"/>
    <w:rsid w:val="00CA1172"/>
    <w:pPr>
      <w:spacing w:before="120" w:after="120" w:line="240" w:lineRule="auto"/>
      <w:jc w:val="center"/>
    </w:pPr>
    <w:rPr>
      <w:rFonts w:ascii="Times New Roman" w:hAnsi="Times New Roman" w:cs="Times New Roman"/>
      <w:b/>
      <w:sz w:val="24"/>
      <w:u w:val="single"/>
    </w:rPr>
  </w:style>
  <w:style w:type="paragraph" w:customStyle="1" w:styleId="Annexetitre">
    <w:name w:val="Annexe titre"/>
    <w:basedOn w:val="Normal"/>
    <w:next w:val="Normal"/>
    <w:rsid w:val="00CA1172"/>
    <w:pPr>
      <w:spacing w:before="120" w:after="120" w:line="240" w:lineRule="auto"/>
      <w:jc w:val="center"/>
    </w:pPr>
    <w:rPr>
      <w:rFonts w:ascii="Times New Roman" w:hAnsi="Times New Roman" w:cs="Times New Roman"/>
      <w:b/>
      <w:sz w:val="24"/>
      <w:u w:val="single"/>
    </w:rPr>
  </w:style>
  <w:style w:type="paragraph" w:customStyle="1" w:styleId="Annexetitrefichefinancire">
    <w:name w:val="Annexe titre (fiche financière)"/>
    <w:basedOn w:val="Normal"/>
    <w:next w:val="Normal"/>
    <w:rsid w:val="00CA1172"/>
    <w:pPr>
      <w:spacing w:before="120" w:after="120" w:line="240" w:lineRule="auto"/>
      <w:jc w:val="center"/>
    </w:pPr>
    <w:rPr>
      <w:rFonts w:ascii="Times New Roman" w:hAnsi="Times New Roman" w:cs="Times New Roman"/>
      <w:b/>
      <w:sz w:val="24"/>
      <w:u w:val="single"/>
    </w:rPr>
  </w:style>
  <w:style w:type="paragraph" w:customStyle="1" w:styleId="Applicationdirecte">
    <w:name w:val="Application directe"/>
    <w:basedOn w:val="Normal"/>
    <w:next w:val="Fait"/>
    <w:rsid w:val="00CA1172"/>
    <w:pPr>
      <w:spacing w:before="480" w:after="120" w:line="240" w:lineRule="auto"/>
      <w:jc w:val="both"/>
    </w:pPr>
    <w:rPr>
      <w:rFonts w:ascii="Times New Roman" w:hAnsi="Times New Roman" w:cs="Times New Roman"/>
      <w:sz w:val="24"/>
    </w:rPr>
  </w:style>
  <w:style w:type="paragraph" w:customStyle="1" w:styleId="Avertissementtitre">
    <w:name w:val="Avertissement titre"/>
    <w:basedOn w:val="Normal"/>
    <w:next w:val="Normal"/>
    <w:rsid w:val="00CA1172"/>
    <w:pPr>
      <w:keepNext/>
      <w:spacing w:before="480" w:after="120" w:line="240" w:lineRule="auto"/>
      <w:jc w:val="both"/>
    </w:pPr>
    <w:rPr>
      <w:rFonts w:ascii="Times New Roman" w:hAnsi="Times New Roman" w:cs="Times New Roman"/>
      <w:sz w:val="24"/>
      <w:u w:val="single"/>
    </w:rPr>
  </w:style>
  <w:style w:type="paragraph" w:customStyle="1" w:styleId="Confidence">
    <w:name w:val="Confidence"/>
    <w:basedOn w:val="Normal"/>
    <w:next w:val="Normal"/>
    <w:rsid w:val="00CA1172"/>
    <w:pPr>
      <w:spacing w:before="360" w:after="120" w:line="240" w:lineRule="auto"/>
      <w:jc w:val="center"/>
    </w:pPr>
    <w:rPr>
      <w:rFonts w:ascii="Times New Roman" w:hAnsi="Times New Roman" w:cs="Times New Roman"/>
      <w:sz w:val="24"/>
    </w:rPr>
  </w:style>
  <w:style w:type="paragraph" w:customStyle="1" w:styleId="Confidentialit">
    <w:name w:val="Confidentialité"/>
    <w:basedOn w:val="Normal"/>
    <w:next w:val="TypedudocumentPagedecouverture"/>
    <w:rsid w:val="00CA1172"/>
    <w:pPr>
      <w:spacing w:before="240" w:after="240" w:line="240" w:lineRule="auto"/>
      <w:ind w:left="5103"/>
    </w:pPr>
    <w:rPr>
      <w:rFonts w:ascii="Times New Roman" w:hAnsi="Times New Roman" w:cs="Times New Roman"/>
      <w:i/>
      <w:sz w:val="32"/>
    </w:rPr>
  </w:style>
  <w:style w:type="paragraph" w:customStyle="1" w:styleId="Corrigendum">
    <w:name w:val="Corrigendum"/>
    <w:basedOn w:val="Normal"/>
    <w:next w:val="Normal"/>
    <w:rsid w:val="00CA1172"/>
    <w:pPr>
      <w:spacing w:after="240" w:line="240" w:lineRule="auto"/>
    </w:pPr>
    <w:rPr>
      <w:rFonts w:ascii="Times New Roman" w:hAnsi="Times New Roman" w:cs="Times New Roman"/>
      <w:sz w:val="24"/>
    </w:rPr>
  </w:style>
  <w:style w:type="paragraph" w:customStyle="1" w:styleId="Datedadoption">
    <w:name w:val="Date d'adoption"/>
    <w:basedOn w:val="Normal"/>
    <w:next w:val="IntrtEEE"/>
    <w:rsid w:val="00CA1172"/>
    <w:pPr>
      <w:spacing w:before="360" w:after="0" w:line="240" w:lineRule="auto"/>
      <w:jc w:val="center"/>
    </w:pPr>
    <w:rPr>
      <w:rFonts w:ascii="Times New Roman" w:hAnsi="Times New Roman" w:cs="Times New Roman"/>
      <w:b/>
      <w:sz w:val="24"/>
    </w:rPr>
  </w:style>
  <w:style w:type="paragraph" w:customStyle="1" w:styleId="Exposdesmotifstitre">
    <w:name w:val="Exposé des motifs titre"/>
    <w:basedOn w:val="Normal"/>
    <w:next w:val="Normal"/>
    <w:rsid w:val="00CA1172"/>
    <w:pPr>
      <w:spacing w:before="120" w:after="120" w:line="240" w:lineRule="auto"/>
      <w:jc w:val="center"/>
    </w:pPr>
    <w:rPr>
      <w:rFonts w:ascii="Times New Roman" w:hAnsi="Times New Roman" w:cs="Times New Roman"/>
      <w:b/>
      <w:sz w:val="24"/>
      <w:u w:val="single"/>
    </w:rPr>
  </w:style>
  <w:style w:type="paragraph" w:customStyle="1" w:styleId="Fait">
    <w:name w:val="Fait à"/>
    <w:basedOn w:val="Normal"/>
    <w:next w:val="Institutionquisigne"/>
    <w:rsid w:val="00CA1172"/>
    <w:pPr>
      <w:keepNext/>
      <w:spacing w:before="120" w:after="0" w:line="240" w:lineRule="auto"/>
      <w:jc w:val="both"/>
    </w:pPr>
    <w:rPr>
      <w:rFonts w:ascii="Times New Roman" w:hAnsi="Times New Roman" w:cs="Times New Roman"/>
      <w:sz w:val="24"/>
    </w:rPr>
  </w:style>
  <w:style w:type="paragraph" w:customStyle="1" w:styleId="Formuledadoption">
    <w:name w:val="Formule d'adoption"/>
    <w:basedOn w:val="Normal"/>
    <w:next w:val="Titrearticle"/>
    <w:rsid w:val="00CA1172"/>
    <w:pPr>
      <w:keepNext/>
      <w:spacing w:before="120" w:after="120" w:line="240" w:lineRule="auto"/>
      <w:jc w:val="both"/>
    </w:pPr>
    <w:rPr>
      <w:rFonts w:ascii="Times New Roman" w:hAnsi="Times New Roman" w:cs="Times New Roman"/>
      <w:sz w:val="24"/>
    </w:rPr>
  </w:style>
  <w:style w:type="paragraph" w:customStyle="1" w:styleId="Institutionquiagit">
    <w:name w:val="Institution qui agit"/>
    <w:basedOn w:val="Normal"/>
    <w:next w:val="Normal"/>
    <w:rsid w:val="00CA1172"/>
    <w:pPr>
      <w:keepNext/>
      <w:spacing w:before="600" w:after="120" w:line="240" w:lineRule="auto"/>
      <w:jc w:val="both"/>
    </w:pPr>
    <w:rPr>
      <w:rFonts w:ascii="Times New Roman" w:hAnsi="Times New Roman" w:cs="Times New Roman"/>
      <w:sz w:val="24"/>
    </w:rPr>
  </w:style>
  <w:style w:type="paragraph" w:customStyle="1" w:styleId="Institutionquisigne">
    <w:name w:val="Institution qui signe"/>
    <w:basedOn w:val="Normal"/>
    <w:next w:val="Personnequisigne"/>
    <w:rsid w:val="00CA1172"/>
    <w:pPr>
      <w:keepNext/>
      <w:tabs>
        <w:tab w:val="left" w:pos="4252"/>
      </w:tabs>
      <w:spacing w:before="720" w:after="0" w:line="240" w:lineRule="auto"/>
      <w:jc w:val="both"/>
    </w:pPr>
    <w:rPr>
      <w:rFonts w:ascii="Times New Roman" w:hAnsi="Times New Roman" w:cs="Times New Roman"/>
      <w:i/>
      <w:sz w:val="24"/>
    </w:rPr>
  </w:style>
  <w:style w:type="paragraph" w:customStyle="1" w:styleId="ManualConsidrant">
    <w:name w:val="Manual Considérant"/>
    <w:basedOn w:val="Normal"/>
    <w:rsid w:val="00CA1172"/>
    <w:pPr>
      <w:spacing w:before="120" w:after="120" w:line="240" w:lineRule="auto"/>
      <w:ind w:left="709" w:hanging="709"/>
      <w:jc w:val="both"/>
    </w:pPr>
    <w:rPr>
      <w:rFonts w:ascii="Times New Roman" w:hAnsi="Times New Roman" w:cs="Times New Roman"/>
      <w:sz w:val="24"/>
    </w:rPr>
  </w:style>
  <w:style w:type="paragraph" w:customStyle="1" w:styleId="Personnequisigne">
    <w:name w:val="Personne qui signe"/>
    <w:basedOn w:val="Normal"/>
    <w:next w:val="Institutionquisigne"/>
    <w:rsid w:val="00CA1172"/>
    <w:pPr>
      <w:tabs>
        <w:tab w:val="left" w:pos="4252"/>
      </w:tabs>
      <w:spacing w:after="0" w:line="240" w:lineRule="auto"/>
    </w:pPr>
    <w:rPr>
      <w:rFonts w:ascii="Times New Roman" w:hAnsi="Times New Roman" w:cs="Times New Roman"/>
      <w:i/>
      <w:sz w:val="24"/>
    </w:rPr>
  </w:style>
  <w:style w:type="paragraph" w:customStyle="1" w:styleId="Rfrenceinterinstitutionnelle">
    <w:name w:val="Référence interinstitutionnelle"/>
    <w:basedOn w:val="Normal"/>
    <w:next w:val="Statut"/>
    <w:rsid w:val="00CA1172"/>
    <w:pPr>
      <w:spacing w:after="0" w:line="240" w:lineRule="auto"/>
      <w:ind w:left="5103"/>
    </w:pPr>
    <w:rPr>
      <w:rFonts w:ascii="Times New Roman" w:hAnsi="Times New Roman" w:cs="Times New Roman"/>
      <w:sz w:val="24"/>
    </w:rPr>
  </w:style>
  <w:style w:type="paragraph" w:customStyle="1" w:styleId="Rfrenceinterne">
    <w:name w:val="Référence interne"/>
    <w:basedOn w:val="Normal"/>
    <w:next w:val="Rfrenceinterinstitutionnelle"/>
    <w:rsid w:val="00CA1172"/>
    <w:pPr>
      <w:spacing w:after="0" w:line="240" w:lineRule="auto"/>
      <w:ind w:left="5103"/>
    </w:pPr>
    <w:rPr>
      <w:rFonts w:ascii="Times New Roman" w:hAnsi="Times New Roman" w:cs="Times New Roman"/>
      <w:sz w:val="24"/>
    </w:rPr>
  </w:style>
  <w:style w:type="paragraph" w:customStyle="1" w:styleId="Statut">
    <w:name w:val="Statut"/>
    <w:basedOn w:val="Normal"/>
    <w:next w:val="Typedudocument"/>
    <w:rsid w:val="00CA1172"/>
    <w:pPr>
      <w:spacing w:after="240" w:line="240" w:lineRule="auto"/>
      <w:jc w:val="center"/>
    </w:pPr>
    <w:rPr>
      <w:rFonts w:ascii="Times New Roman" w:hAnsi="Times New Roman" w:cs="Times New Roman"/>
      <w:sz w:val="24"/>
    </w:rPr>
  </w:style>
  <w:style w:type="paragraph" w:customStyle="1" w:styleId="Titrearticle">
    <w:name w:val="Titre article"/>
    <w:basedOn w:val="Normal"/>
    <w:next w:val="Normal"/>
    <w:rsid w:val="00CA1172"/>
    <w:pPr>
      <w:keepNext/>
      <w:spacing w:before="360" w:after="120" w:line="240" w:lineRule="auto"/>
      <w:jc w:val="center"/>
    </w:pPr>
    <w:rPr>
      <w:rFonts w:ascii="Times New Roman" w:hAnsi="Times New Roman" w:cs="Times New Roman"/>
      <w:i/>
      <w:sz w:val="24"/>
    </w:rPr>
  </w:style>
  <w:style w:type="paragraph" w:customStyle="1" w:styleId="Typedudocument">
    <w:name w:val="Type du document"/>
    <w:basedOn w:val="Normal"/>
    <w:next w:val="Accompagnant"/>
    <w:rsid w:val="00CA1172"/>
    <w:pPr>
      <w:spacing w:before="360" w:after="180" w:line="240" w:lineRule="auto"/>
      <w:jc w:val="center"/>
    </w:pPr>
    <w:rPr>
      <w:rFonts w:ascii="Times New Roman" w:hAnsi="Times New Roman" w:cs="Times New Roman"/>
      <w:b/>
      <w:sz w:val="24"/>
    </w:rPr>
  </w:style>
  <w:style w:type="character" w:customStyle="1" w:styleId="Added">
    <w:name w:val="Added"/>
    <w:basedOn w:val="DefaultParagraphFont"/>
    <w:rsid w:val="00CA1172"/>
    <w:rPr>
      <w:b/>
      <w:u w:val="single"/>
      <w:shd w:val="clear" w:color="auto" w:fill="auto"/>
    </w:rPr>
  </w:style>
  <w:style w:type="character" w:customStyle="1" w:styleId="Deleted">
    <w:name w:val="Deleted"/>
    <w:basedOn w:val="DefaultParagraphFont"/>
    <w:rsid w:val="00CA1172"/>
    <w:rPr>
      <w:strike/>
      <w:dstrike w:val="0"/>
      <w:shd w:val="clear" w:color="auto" w:fill="auto"/>
    </w:rPr>
  </w:style>
  <w:style w:type="paragraph" w:customStyle="1" w:styleId="Address">
    <w:name w:val="Address"/>
    <w:basedOn w:val="Normal"/>
    <w:next w:val="Normal"/>
    <w:rsid w:val="00CA1172"/>
    <w:pPr>
      <w:keepLines/>
      <w:spacing w:before="120" w:after="120" w:line="360" w:lineRule="auto"/>
      <w:ind w:left="3402"/>
    </w:pPr>
    <w:rPr>
      <w:rFonts w:ascii="Times New Roman" w:hAnsi="Times New Roman" w:cs="Times New Roman"/>
      <w:sz w:val="24"/>
    </w:rPr>
  </w:style>
  <w:style w:type="paragraph" w:customStyle="1" w:styleId="Objetexterne">
    <w:name w:val="Objet externe"/>
    <w:basedOn w:val="Normal"/>
    <w:next w:val="Normal"/>
    <w:rsid w:val="00CA1172"/>
    <w:pPr>
      <w:spacing w:before="120" w:after="120" w:line="240" w:lineRule="auto"/>
      <w:jc w:val="both"/>
    </w:pPr>
    <w:rPr>
      <w:rFonts w:ascii="Times New Roman" w:hAnsi="Times New Roman" w:cs="Times New Roman"/>
      <w:i/>
      <w:caps/>
      <w:sz w:val="24"/>
    </w:rPr>
  </w:style>
  <w:style w:type="paragraph" w:customStyle="1" w:styleId="Supertitre">
    <w:name w:val="Supertitre"/>
    <w:basedOn w:val="Normal"/>
    <w:next w:val="Normal"/>
    <w:rsid w:val="00CA1172"/>
    <w:pPr>
      <w:spacing w:after="600" w:line="240" w:lineRule="auto"/>
      <w:jc w:val="center"/>
    </w:pPr>
    <w:rPr>
      <w:rFonts w:ascii="Times New Roman" w:hAnsi="Times New Roman" w:cs="Times New Roman"/>
      <w:b/>
      <w:sz w:val="24"/>
    </w:rPr>
  </w:style>
  <w:style w:type="paragraph" w:customStyle="1" w:styleId="Languesfaisantfoi">
    <w:name w:val="Langues faisant foi"/>
    <w:basedOn w:val="Normal"/>
    <w:next w:val="Normal"/>
    <w:rsid w:val="00CA1172"/>
    <w:pPr>
      <w:spacing w:before="360" w:after="0" w:line="240" w:lineRule="auto"/>
      <w:jc w:val="center"/>
    </w:pPr>
    <w:rPr>
      <w:rFonts w:ascii="Times New Roman" w:hAnsi="Times New Roman" w:cs="Times New Roman"/>
      <w:sz w:val="24"/>
    </w:rPr>
  </w:style>
  <w:style w:type="paragraph" w:customStyle="1" w:styleId="Rfrencecroise">
    <w:name w:val="Référence croisée"/>
    <w:basedOn w:val="Normal"/>
    <w:rsid w:val="00CA1172"/>
    <w:pPr>
      <w:spacing w:after="0" w:line="240" w:lineRule="auto"/>
      <w:jc w:val="center"/>
    </w:pPr>
    <w:rPr>
      <w:rFonts w:ascii="Times New Roman" w:hAnsi="Times New Roman" w:cs="Times New Roman"/>
      <w:sz w:val="24"/>
    </w:rPr>
  </w:style>
  <w:style w:type="paragraph" w:customStyle="1" w:styleId="Fichefinanciretitre">
    <w:name w:val="Fiche financière titre"/>
    <w:basedOn w:val="Normal"/>
    <w:next w:val="Normal"/>
    <w:rsid w:val="00CA1172"/>
    <w:pPr>
      <w:spacing w:before="120" w:after="120" w:line="240" w:lineRule="auto"/>
      <w:jc w:val="center"/>
    </w:pPr>
    <w:rPr>
      <w:rFonts w:ascii="Times New Roman" w:hAnsi="Times New Roman" w:cs="Times New Roman"/>
      <w:b/>
      <w:sz w:val="24"/>
      <w:u w:val="single"/>
    </w:rPr>
  </w:style>
  <w:style w:type="paragraph" w:customStyle="1" w:styleId="DatedadoptionPagedecouverture">
    <w:name w:val="Date d'adoption (Page de couverture)"/>
    <w:basedOn w:val="Datedadoption"/>
    <w:next w:val="IntrtEEEPagedecouverture"/>
    <w:rsid w:val="00CA1172"/>
  </w:style>
  <w:style w:type="paragraph" w:customStyle="1" w:styleId="RfrenceinterinstitutionnellePagedecouverture">
    <w:name w:val="Référence interinstitutionnelle (Page de couverture)"/>
    <w:basedOn w:val="Rfrenceinterinstitutionnelle"/>
    <w:next w:val="Confidentialit"/>
    <w:rsid w:val="00CA1172"/>
  </w:style>
  <w:style w:type="paragraph" w:customStyle="1" w:styleId="StatutPagedecouverture">
    <w:name w:val="Statut (Page de couverture)"/>
    <w:basedOn w:val="Statut"/>
    <w:next w:val="TypedudocumentPagedecouverture"/>
    <w:rsid w:val="00CA1172"/>
  </w:style>
  <w:style w:type="paragraph" w:customStyle="1" w:styleId="TypedudocumentPagedecouverture">
    <w:name w:val="Type du document (Page de couverture)"/>
    <w:basedOn w:val="Typedudocument"/>
    <w:next w:val="AccompagnantPagedecouverture"/>
    <w:rsid w:val="00CA1172"/>
  </w:style>
  <w:style w:type="paragraph" w:customStyle="1" w:styleId="Volume">
    <w:name w:val="Volume"/>
    <w:basedOn w:val="Normal"/>
    <w:next w:val="Confidentialit"/>
    <w:rsid w:val="00CA1172"/>
    <w:pPr>
      <w:spacing w:after="240" w:line="240" w:lineRule="auto"/>
      <w:ind w:left="5103"/>
    </w:pPr>
    <w:rPr>
      <w:rFonts w:ascii="Times New Roman" w:hAnsi="Times New Roman" w:cs="Times New Roman"/>
      <w:sz w:val="24"/>
    </w:rPr>
  </w:style>
  <w:style w:type="paragraph" w:customStyle="1" w:styleId="IntrtEEE">
    <w:name w:val="Intérêt EEE"/>
    <w:basedOn w:val="Languesfaisantfoi"/>
    <w:next w:val="Normal"/>
    <w:rsid w:val="00CA1172"/>
    <w:pPr>
      <w:spacing w:after="240"/>
    </w:pPr>
  </w:style>
  <w:style w:type="paragraph" w:customStyle="1" w:styleId="Accompagnant">
    <w:name w:val="Accompagnant"/>
    <w:basedOn w:val="Normal"/>
    <w:next w:val="Typeacteprincipal"/>
    <w:rsid w:val="00CA1172"/>
    <w:pPr>
      <w:spacing w:before="180" w:after="240" w:line="240" w:lineRule="auto"/>
      <w:jc w:val="center"/>
    </w:pPr>
    <w:rPr>
      <w:rFonts w:ascii="Times New Roman" w:hAnsi="Times New Roman" w:cs="Times New Roman"/>
      <w:b/>
      <w:sz w:val="24"/>
    </w:rPr>
  </w:style>
  <w:style w:type="paragraph" w:customStyle="1" w:styleId="Typeacteprincipal">
    <w:name w:val="Type acte principal"/>
    <w:basedOn w:val="Normal"/>
    <w:next w:val="Objetacteprincipal"/>
    <w:rsid w:val="00CA1172"/>
    <w:pPr>
      <w:spacing w:after="240" w:line="240" w:lineRule="auto"/>
      <w:jc w:val="center"/>
    </w:pPr>
    <w:rPr>
      <w:rFonts w:ascii="Times New Roman" w:hAnsi="Times New Roman" w:cs="Times New Roman"/>
      <w:b/>
      <w:sz w:val="24"/>
    </w:rPr>
  </w:style>
  <w:style w:type="paragraph" w:customStyle="1" w:styleId="Objetacteprincipal">
    <w:name w:val="Objet acte principal"/>
    <w:basedOn w:val="Normal"/>
    <w:next w:val="Titrearticle"/>
    <w:rsid w:val="00CA1172"/>
    <w:pPr>
      <w:spacing w:after="360" w:line="240" w:lineRule="auto"/>
      <w:jc w:val="center"/>
    </w:pPr>
    <w:rPr>
      <w:rFonts w:ascii="Times New Roman" w:hAnsi="Times New Roman" w:cs="Times New Roman"/>
      <w:b/>
      <w:sz w:val="24"/>
    </w:rPr>
  </w:style>
  <w:style w:type="paragraph" w:customStyle="1" w:styleId="IntrtEEEPagedecouverture">
    <w:name w:val="Intérêt EEE (Page de couverture)"/>
    <w:basedOn w:val="IntrtEEE"/>
    <w:next w:val="Rfrencecroise"/>
    <w:rsid w:val="00CA1172"/>
  </w:style>
  <w:style w:type="paragraph" w:customStyle="1" w:styleId="AccompagnantPagedecouverture">
    <w:name w:val="Accompagnant (Page de couverture)"/>
    <w:basedOn w:val="Accompagnant"/>
    <w:next w:val="TypeacteprincipalPagedecouverture"/>
    <w:rsid w:val="00CA1172"/>
  </w:style>
  <w:style w:type="paragraph" w:customStyle="1" w:styleId="TypeacteprincipalPagedecouverture">
    <w:name w:val="Type acte principal (Page de couverture)"/>
    <w:basedOn w:val="Typeacteprincipal"/>
    <w:next w:val="ObjetacteprincipalPagedecouverture"/>
    <w:rsid w:val="00CA1172"/>
  </w:style>
  <w:style w:type="paragraph" w:customStyle="1" w:styleId="ObjetacteprincipalPagedecouverture">
    <w:name w:val="Objet acte principal (Page de couverture)"/>
    <w:basedOn w:val="Objetacteprincipal"/>
    <w:next w:val="Rfrencecroise"/>
    <w:rsid w:val="00CA1172"/>
  </w:style>
  <w:style w:type="paragraph" w:customStyle="1" w:styleId="LanguesfaisantfoiPagedecouverture">
    <w:name w:val="Langues faisant foi (Page de couverture)"/>
    <w:basedOn w:val="Normal"/>
    <w:next w:val="Normal"/>
    <w:rsid w:val="00CA1172"/>
    <w:pPr>
      <w:spacing w:before="360" w:after="0" w:line="240" w:lineRule="auto"/>
      <w:jc w:val="center"/>
    </w:pPr>
    <w:rPr>
      <w:rFonts w:ascii="Times New Roman" w:hAnsi="Times New Roman" w:cs="Times New Roman"/>
      <w:sz w:val="24"/>
    </w:rPr>
  </w:style>
  <w:style w:type="paragraph" w:styleId="ListBullet">
    <w:name w:val="List Bullet"/>
    <w:basedOn w:val="Normal"/>
    <w:uiPriority w:val="99"/>
    <w:semiHidden/>
    <w:unhideWhenUsed/>
    <w:rsid w:val="00CA1172"/>
    <w:pPr>
      <w:numPr>
        <w:numId w:val="26"/>
      </w:numPr>
      <w:spacing w:before="120" w:after="120" w:line="240" w:lineRule="auto"/>
      <w:contextualSpacing/>
      <w:jc w:val="both"/>
    </w:pPr>
    <w:rPr>
      <w:rFonts w:ascii="Times New Roman" w:hAnsi="Times New Roman" w:cs="Times New Roman"/>
      <w:sz w:val="24"/>
    </w:rPr>
  </w:style>
  <w:style w:type="paragraph" w:styleId="ListBullet2">
    <w:name w:val="List Bullet 2"/>
    <w:basedOn w:val="Normal"/>
    <w:uiPriority w:val="99"/>
    <w:semiHidden/>
    <w:unhideWhenUsed/>
    <w:rsid w:val="00CA1172"/>
    <w:pPr>
      <w:numPr>
        <w:numId w:val="27"/>
      </w:numPr>
      <w:spacing w:before="120" w:after="120" w:line="240" w:lineRule="auto"/>
      <w:contextualSpacing/>
      <w:jc w:val="both"/>
    </w:pPr>
    <w:rPr>
      <w:rFonts w:ascii="Times New Roman" w:hAnsi="Times New Roman" w:cs="Times New Roman"/>
      <w:sz w:val="24"/>
    </w:rPr>
  </w:style>
  <w:style w:type="paragraph" w:styleId="ListBullet3">
    <w:name w:val="List Bullet 3"/>
    <w:basedOn w:val="Normal"/>
    <w:uiPriority w:val="99"/>
    <w:semiHidden/>
    <w:unhideWhenUsed/>
    <w:rsid w:val="00CA1172"/>
    <w:pPr>
      <w:numPr>
        <w:numId w:val="28"/>
      </w:numPr>
      <w:spacing w:before="120" w:after="120" w:line="240" w:lineRule="auto"/>
      <w:contextualSpacing/>
      <w:jc w:val="both"/>
    </w:pPr>
    <w:rPr>
      <w:rFonts w:ascii="Times New Roman" w:hAnsi="Times New Roman" w:cs="Times New Roman"/>
      <w:sz w:val="24"/>
    </w:rPr>
  </w:style>
  <w:style w:type="paragraph" w:styleId="ListBullet4">
    <w:name w:val="List Bullet 4"/>
    <w:basedOn w:val="Normal"/>
    <w:uiPriority w:val="99"/>
    <w:semiHidden/>
    <w:unhideWhenUsed/>
    <w:rsid w:val="00CA1172"/>
    <w:pPr>
      <w:numPr>
        <w:numId w:val="29"/>
      </w:numPr>
      <w:spacing w:before="120" w:after="120" w:line="240" w:lineRule="auto"/>
      <w:contextualSpacing/>
      <w:jc w:val="both"/>
    </w:pPr>
    <w:rPr>
      <w:rFonts w:ascii="Times New Roman" w:hAnsi="Times New Roman" w:cs="Times New Roman"/>
      <w:sz w:val="24"/>
    </w:rPr>
  </w:style>
  <w:style w:type="paragraph" w:customStyle="1" w:styleId="paragraph">
    <w:name w:val="paragraph"/>
    <w:basedOn w:val="Normal"/>
    <w:rsid w:val="00CA1172"/>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5">
    <w:name w:val="Table Grid5"/>
    <w:basedOn w:val="TableNormal"/>
    <w:next w:val="TableGrid"/>
    <w:uiPriority w:val="59"/>
    <w:rsid w:val="00CA117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Mention1">
    <w:name w:val="Mention1"/>
    <w:basedOn w:val="DefaultParagraphFont"/>
    <w:uiPriority w:val="99"/>
    <w:unhideWhenUsed/>
    <w:rsid w:val="00CA1172"/>
    <w:rPr>
      <w:color w:val="2B579A"/>
      <w:shd w:val="clear" w:color="auto" w:fill="E6E6E6"/>
    </w:rPr>
  </w:style>
  <w:style w:type="character" w:styleId="Emphasis">
    <w:name w:val="Emphasis"/>
    <w:basedOn w:val="DefaultParagraphFont"/>
    <w:uiPriority w:val="20"/>
    <w:qFormat/>
    <w:rsid w:val="00CA1172"/>
    <w:rPr>
      <w:i/>
      <w:iCs/>
    </w:rPr>
  </w:style>
  <w:style w:type="character" w:customStyle="1" w:styleId="phrase">
    <w:name w:val="phrase"/>
    <w:basedOn w:val="DefaultParagraphFont"/>
    <w:rsid w:val="00CA1172"/>
  </w:style>
  <w:style w:type="character" w:customStyle="1" w:styleId="word">
    <w:name w:val="word"/>
    <w:basedOn w:val="DefaultParagraphFont"/>
    <w:rsid w:val="00CA1172"/>
  </w:style>
  <w:style w:type="character" w:customStyle="1" w:styleId="y2iqfc">
    <w:name w:val="y2iqfc"/>
    <w:basedOn w:val="DefaultParagraphFont"/>
    <w:rsid w:val="00CA1172"/>
  </w:style>
  <w:style w:type="character" w:customStyle="1" w:styleId="Piemint1">
    <w:name w:val="Pieminēt1"/>
    <w:basedOn w:val="DefaultParagraphFont"/>
    <w:uiPriority w:val="99"/>
    <w:unhideWhenUsed/>
    <w:rsid w:val="00CA1172"/>
    <w:rPr>
      <w:color w:val="2B579A"/>
      <w:shd w:val="clear" w:color="auto" w:fill="E6E6E6"/>
    </w:rPr>
  </w:style>
  <w:style w:type="character" w:customStyle="1" w:styleId="UnresolvedMention1">
    <w:name w:val="Unresolved Mention1"/>
    <w:basedOn w:val="DefaultParagraphFont"/>
    <w:uiPriority w:val="99"/>
    <w:semiHidden/>
    <w:unhideWhenUsed/>
    <w:rsid w:val="00CA1172"/>
    <w:rPr>
      <w:color w:val="605E5C"/>
      <w:shd w:val="clear" w:color="auto" w:fill="E1DFDD"/>
    </w:rPr>
  </w:style>
  <w:style w:type="character" w:customStyle="1" w:styleId="bcx0">
    <w:name w:val="bcx0"/>
    <w:basedOn w:val="DefaultParagraphFont"/>
    <w:rsid w:val="00CA1172"/>
  </w:style>
  <w:style w:type="character" w:customStyle="1" w:styleId="jlqj4b">
    <w:name w:val="jlqj4b"/>
    <w:basedOn w:val="DefaultParagraphFont"/>
    <w:rsid w:val="00CA1172"/>
  </w:style>
  <w:style w:type="paragraph" w:customStyle="1" w:styleId="mt-translation">
    <w:name w:val="mt-translation"/>
    <w:basedOn w:val="Normal"/>
    <w:rsid w:val="00CA117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UnresolvedMention2">
    <w:name w:val="Unresolved Mention2"/>
    <w:basedOn w:val="DefaultParagraphFont"/>
    <w:uiPriority w:val="99"/>
    <w:semiHidden/>
    <w:unhideWhenUsed/>
    <w:rsid w:val="00CA1172"/>
    <w:rPr>
      <w:color w:val="605E5C"/>
      <w:shd w:val="clear" w:color="auto" w:fill="E1DFDD"/>
    </w:rPr>
  </w:style>
  <w:style w:type="numbering" w:customStyle="1" w:styleId="NoList6">
    <w:name w:val="No List6"/>
    <w:next w:val="NoList"/>
    <w:uiPriority w:val="99"/>
    <w:semiHidden/>
    <w:unhideWhenUsed/>
    <w:rsid w:val="002F3480"/>
  </w:style>
  <w:style w:type="numbering" w:customStyle="1" w:styleId="NoList15">
    <w:name w:val="No List15"/>
    <w:next w:val="NoList"/>
    <w:uiPriority w:val="99"/>
    <w:semiHidden/>
    <w:unhideWhenUsed/>
    <w:rsid w:val="002F3480"/>
  </w:style>
  <w:style w:type="table" w:customStyle="1" w:styleId="TableGrid6">
    <w:name w:val="Table Grid6"/>
    <w:basedOn w:val="TableNormal"/>
    <w:next w:val="TableGrid"/>
    <w:uiPriority w:val="59"/>
    <w:rsid w:val="002F348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Mention2">
    <w:name w:val="Mention2"/>
    <w:basedOn w:val="DefaultParagraphFont"/>
    <w:uiPriority w:val="99"/>
    <w:unhideWhenUsed/>
    <w:rsid w:val="002F3480"/>
    <w:rPr>
      <w:color w:val="2B579A"/>
      <w:shd w:val="clear" w:color="auto" w:fill="E6E6E6"/>
    </w:rPr>
  </w:style>
  <w:style w:type="numbering" w:customStyle="1" w:styleId="NoList7">
    <w:name w:val="No List7"/>
    <w:next w:val="NoList"/>
    <w:uiPriority w:val="99"/>
    <w:semiHidden/>
    <w:unhideWhenUsed/>
    <w:rsid w:val="00F3038C"/>
  </w:style>
  <w:style w:type="numbering" w:customStyle="1" w:styleId="NoList16">
    <w:name w:val="No List16"/>
    <w:next w:val="NoList"/>
    <w:uiPriority w:val="99"/>
    <w:semiHidden/>
    <w:unhideWhenUsed/>
    <w:rsid w:val="00F3038C"/>
  </w:style>
  <w:style w:type="table" w:customStyle="1" w:styleId="TableGrid7">
    <w:name w:val="Table Grid7"/>
    <w:basedOn w:val="TableNormal"/>
    <w:next w:val="TableGrid"/>
    <w:uiPriority w:val="59"/>
    <w:rsid w:val="00F3038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ubject">
    <w:name w:val="Subject"/>
    <w:basedOn w:val="Normal"/>
    <w:uiPriority w:val="2"/>
    <w:rsid w:val="000660E8"/>
    <w:pPr>
      <w:spacing w:after="240" w:line="240" w:lineRule="auto"/>
      <w:ind w:left="1191" w:hanging="1191"/>
      <w:contextualSpacing/>
    </w:pPr>
    <w:rPr>
      <w:rFonts w:ascii="Times New Roman" w:eastAsia="Times New Roman" w:hAnsi="Times New Roman" w:cs="Times New Roman"/>
      <w:b/>
      <w:sz w:val="24"/>
      <w:szCs w:val="20"/>
      <w:lang w:eastAsia="en-IE"/>
    </w:rPr>
  </w:style>
  <w:style w:type="paragraph" w:customStyle="1" w:styleId="1">
    <w:name w:val="1"/>
    <w:basedOn w:val="Normal"/>
    <w:link w:val="FootnoteReference"/>
    <w:uiPriority w:val="99"/>
    <w:rsid w:val="000660E8"/>
    <w:pPr>
      <w:spacing w:after="160" w:line="240" w:lineRule="exact"/>
      <w:jc w:val="both"/>
    </w:pPr>
    <w:rPr>
      <w:vertAlign w:val="superscript"/>
    </w:rPr>
  </w:style>
  <w:style w:type="paragraph" w:customStyle="1" w:styleId="Titreobjet">
    <w:name w:val="Titre objet"/>
    <w:basedOn w:val="Normal"/>
    <w:next w:val="Normal"/>
    <w:rsid w:val="000660E8"/>
    <w:pPr>
      <w:spacing w:before="360" w:after="360" w:line="240" w:lineRule="auto"/>
      <w:jc w:val="center"/>
    </w:pPr>
    <w:rPr>
      <w:rFonts w:ascii="Times New Roman" w:hAnsi="Times New Roman" w:cs="Times New Roman"/>
      <w:b/>
      <w:sz w:val="24"/>
    </w:rPr>
  </w:style>
  <w:style w:type="character" w:customStyle="1" w:styleId="Mention3">
    <w:name w:val="Mention3"/>
    <w:basedOn w:val="DefaultParagraphFont"/>
    <w:uiPriority w:val="99"/>
    <w:unhideWhenUsed/>
    <w:rPr>
      <w:color w:val="2B579A"/>
      <w:shd w:val="clear" w:color="auto" w:fill="E6E6E6"/>
    </w:rPr>
  </w:style>
  <w:style w:type="character" w:customStyle="1" w:styleId="Mention30">
    <w:name w:val="Mention30"/>
    <w:basedOn w:val="DefaultParagraphFont"/>
    <w:uiPriority w:val="99"/>
    <w:unhideWhenUsed/>
    <w:rsid w:val="000A2983"/>
    <w:rPr>
      <w:color w:val="2B579A"/>
      <w:shd w:val="clear" w:color="auto" w:fill="E6E6E6"/>
    </w:rPr>
  </w:style>
  <w:style w:type="character" w:customStyle="1" w:styleId="cf01">
    <w:name w:val="cf01"/>
    <w:basedOn w:val="DefaultParagraphFont"/>
    <w:rsid w:val="001A3BD9"/>
    <w:rPr>
      <w:rFonts w:ascii="Segoe UI" w:hAnsi="Segoe UI" w:cs="Segoe UI" w:hint="default"/>
      <w:i/>
      <w:iCs/>
      <w:sz w:val="18"/>
      <w:szCs w:val="18"/>
    </w:rPr>
  </w:style>
  <w:style w:type="character" w:customStyle="1" w:styleId="cf11">
    <w:name w:val="cf11"/>
    <w:basedOn w:val="DefaultParagraphFont"/>
    <w:rsid w:val="001A3BD9"/>
    <w:rPr>
      <w:rFonts w:ascii="Segoe UI" w:hAnsi="Segoe UI" w:cs="Segoe UI" w:hint="default"/>
      <w:i/>
      <w:iCs/>
      <w:sz w:val="18"/>
      <w:szCs w:val="18"/>
      <w:shd w:val="clear" w:color="auto" w:fill="FFFFFF"/>
    </w:rPr>
  </w:style>
  <w:style w:type="character" w:styleId="Mention">
    <w:name w:val="Mention"/>
    <w:basedOn w:val="DefaultParagraphFont"/>
    <w:uiPriority w:val="99"/>
    <w:unhideWhenUsed/>
    <w:rsid w:val="0028633A"/>
    <w:rPr>
      <w:color w:val="2B579A"/>
      <w:shd w:val="clear" w:color="auto" w:fill="E1DFDD"/>
    </w:rPr>
  </w:style>
  <w:style w:type="character" w:styleId="PageNumber">
    <w:name w:val="page number"/>
    <w:basedOn w:val="DefaultParagraphFont"/>
    <w:semiHidden/>
    <w:rsid w:val="00F6168E"/>
  </w:style>
  <w:style w:type="character" w:customStyle="1" w:styleId="Heading5Char">
    <w:name w:val="Heading 5 Char"/>
    <w:basedOn w:val="DefaultParagraphFont"/>
    <w:link w:val="Heading5"/>
    <w:uiPriority w:val="9"/>
    <w:semiHidden/>
    <w:rsid w:val="001A3E6F"/>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1A3E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3E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3E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3E6F"/>
    <w:rPr>
      <w:rFonts w:eastAsiaTheme="majorEastAsia" w:cstheme="majorBidi"/>
      <w:color w:val="272727" w:themeColor="text1" w:themeTint="D8"/>
    </w:rPr>
  </w:style>
  <w:style w:type="paragraph" w:styleId="Title">
    <w:name w:val="Title"/>
    <w:basedOn w:val="Normal"/>
    <w:next w:val="Normal"/>
    <w:link w:val="TitleChar"/>
    <w:uiPriority w:val="10"/>
    <w:qFormat/>
    <w:rsid w:val="001A3E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3E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3E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3E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3E6F"/>
    <w:pPr>
      <w:spacing w:before="160"/>
      <w:jc w:val="center"/>
    </w:pPr>
    <w:rPr>
      <w:i/>
      <w:iCs/>
      <w:color w:val="404040" w:themeColor="text1" w:themeTint="BF"/>
    </w:rPr>
  </w:style>
  <w:style w:type="character" w:customStyle="1" w:styleId="QuoteChar">
    <w:name w:val="Quote Char"/>
    <w:basedOn w:val="DefaultParagraphFont"/>
    <w:link w:val="Quote"/>
    <w:uiPriority w:val="29"/>
    <w:rsid w:val="001A3E6F"/>
    <w:rPr>
      <w:i/>
      <w:iCs/>
      <w:color w:val="404040" w:themeColor="text1" w:themeTint="BF"/>
    </w:rPr>
  </w:style>
  <w:style w:type="paragraph" w:styleId="IntenseQuote">
    <w:name w:val="Intense Quote"/>
    <w:basedOn w:val="Normal"/>
    <w:next w:val="Normal"/>
    <w:link w:val="IntenseQuoteChar"/>
    <w:uiPriority w:val="30"/>
    <w:qFormat/>
    <w:rsid w:val="001A3E6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A3E6F"/>
    <w:rPr>
      <w:i/>
      <w:iCs/>
      <w:color w:val="365F91" w:themeColor="accent1" w:themeShade="BF"/>
    </w:rPr>
  </w:style>
  <w:style w:type="character" w:styleId="IntenseReference">
    <w:name w:val="Intense Reference"/>
    <w:basedOn w:val="DefaultParagraphFont"/>
    <w:uiPriority w:val="32"/>
    <w:qFormat/>
    <w:rsid w:val="001A3E6F"/>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793974">
      <w:bodyDiv w:val="1"/>
      <w:marLeft w:val="0"/>
      <w:marRight w:val="0"/>
      <w:marTop w:val="0"/>
      <w:marBottom w:val="0"/>
      <w:divBdr>
        <w:top w:val="none" w:sz="0" w:space="0" w:color="auto"/>
        <w:left w:val="none" w:sz="0" w:space="0" w:color="auto"/>
        <w:bottom w:val="none" w:sz="0" w:space="0" w:color="auto"/>
        <w:right w:val="none" w:sz="0" w:space="0" w:color="auto"/>
      </w:divBdr>
      <w:divsChild>
        <w:div w:id="103431039">
          <w:marLeft w:val="0"/>
          <w:marRight w:val="0"/>
          <w:marTop w:val="0"/>
          <w:marBottom w:val="0"/>
          <w:divBdr>
            <w:top w:val="none" w:sz="0" w:space="0" w:color="auto"/>
            <w:left w:val="none" w:sz="0" w:space="0" w:color="auto"/>
            <w:bottom w:val="none" w:sz="0" w:space="0" w:color="auto"/>
            <w:right w:val="none" w:sz="0" w:space="0" w:color="auto"/>
          </w:divBdr>
        </w:div>
        <w:div w:id="106391471">
          <w:marLeft w:val="0"/>
          <w:marRight w:val="0"/>
          <w:marTop w:val="0"/>
          <w:marBottom w:val="0"/>
          <w:divBdr>
            <w:top w:val="none" w:sz="0" w:space="0" w:color="auto"/>
            <w:left w:val="none" w:sz="0" w:space="0" w:color="auto"/>
            <w:bottom w:val="none" w:sz="0" w:space="0" w:color="auto"/>
            <w:right w:val="none" w:sz="0" w:space="0" w:color="auto"/>
          </w:divBdr>
        </w:div>
        <w:div w:id="173885759">
          <w:marLeft w:val="0"/>
          <w:marRight w:val="0"/>
          <w:marTop w:val="0"/>
          <w:marBottom w:val="0"/>
          <w:divBdr>
            <w:top w:val="none" w:sz="0" w:space="0" w:color="auto"/>
            <w:left w:val="none" w:sz="0" w:space="0" w:color="auto"/>
            <w:bottom w:val="none" w:sz="0" w:space="0" w:color="auto"/>
            <w:right w:val="none" w:sz="0" w:space="0" w:color="auto"/>
          </w:divBdr>
        </w:div>
        <w:div w:id="263655098">
          <w:marLeft w:val="0"/>
          <w:marRight w:val="0"/>
          <w:marTop w:val="0"/>
          <w:marBottom w:val="0"/>
          <w:divBdr>
            <w:top w:val="none" w:sz="0" w:space="0" w:color="auto"/>
            <w:left w:val="none" w:sz="0" w:space="0" w:color="auto"/>
            <w:bottom w:val="none" w:sz="0" w:space="0" w:color="auto"/>
            <w:right w:val="none" w:sz="0" w:space="0" w:color="auto"/>
          </w:divBdr>
        </w:div>
        <w:div w:id="294481919">
          <w:marLeft w:val="0"/>
          <w:marRight w:val="0"/>
          <w:marTop w:val="0"/>
          <w:marBottom w:val="0"/>
          <w:divBdr>
            <w:top w:val="none" w:sz="0" w:space="0" w:color="auto"/>
            <w:left w:val="none" w:sz="0" w:space="0" w:color="auto"/>
            <w:bottom w:val="none" w:sz="0" w:space="0" w:color="auto"/>
            <w:right w:val="none" w:sz="0" w:space="0" w:color="auto"/>
          </w:divBdr>
        </w:div>
        <w:div w:id="411322074">
          <w:marLeft w:val="0"/>
          <w:marRight w:val="0"/>
          <w:marTop w:val="0"/>
          <w:marBottom w:val="0"/>
          <w:divBdr>
            <w:top w:val="none" w:sz="0" w:space="0" w:color="auto"/>
            <w:left w:val="none" w:sz="0" w:space="0" w:color="auto"/>
            <w:bottom w:val="none" w:sz="0" w:space="0" w:color="auto"/>
            <w:right w:val="none" w:sz="0" w:space="0" w:color="auto"/>
          </w:divBdr>
        </w:div>
        <w:div w:id="474025406">
          <w:marLeft w:val="0"/>
          <w:marRight w:val="0"/>
          <w:marTop w:val="0"/>
          <w:marBottom w:val="0"/>
          <w:divBdr>
            <w:top w:val="none" w:sz="0" w:space="0" w:color="auto"/>
            <w:left w:val="none" w:sz="0" w:space="0" w:color="auto"/>
            <w:bottom w:val="none" w:sz="0" w:space="0" w:color="auto"/>
            <w:right w:val="none" w:sz="0" w:space="0" w:color="auto"/>
          </w:divBdr>
        </w:div>
        <w:div w:id="500854512">
          <w:marLeft w:val="0"/>
          <w:marRight w:val="0"/>
          <w:marTop w:val="0"/>
          <w:marBottom w:val="0"/>
          <w:divBdr>
            <w:top w:val="none" w:sz="0" w:space="0" w:color="auto"/>
            <w:left w:val="none" w:sz="0" w:space="0" w:color="auto"/>
            <w:bottom w:val="none" w:sz="0" w:space="0" w:color="auto"/>
            <w:right w:val="none" w:sz="0" w:space="0" w:color="auto"/>
          </w:divBdr>
        </w:div>
        <w:div w:id="613899259">
          <w:marLeft w:val="0"/>
          <w:marRight w:val="0"/>
          <w:marTop w:val="0"/>
          <w:marBottom w:val="0"/>
          <w:divBdr>
            <w:top w:val="none" w:sz="0" w:space="0" w:color="auto"/>
            <w:left w:val="none" w:sz="0" w:space="0" w:color="auto"/>
            <w:bottom w:val="none" w:sz="0" w:space="0" w:color="auto"/>
            <w:right w:val="none" w:sz="0" w:space="0" w:color="auto"/>
          </w:divBdr>
        </w:div>
        <w:div w:id="621494363">
          <w:marLeft w:val="0"/>
          <w:marRight w:val="0"/>
          <w:marTop w:val="0"/>
          <w:marBottom w:val="0"/>
          <w:divBdr>
            <w:top w:val="none" w:sz="0" w:space="0" w:color="auto"/>
            <w:left w:val="none" w:sz="0" w:space="0" w:color="auto"/>
            <w:bottom w:val="none" w:sz="0" w:space="0" w:color="auto"/>
            <w:right w:val="none" w:sz="0" w:space="0" w:color="auto"/>
          </w:divBdr>
        </w:div>
        <w:div w:id="698237130">
          <w:marLeft w:val="0"/>
          <w:marRight w:val="0"/>
          <w:marTop w:val="0"/>
          <w:marBottom w:val="0"/>
          <w:divBdr>
            <w:top w:val="none" w:sz="0" w:space="0" w:color="auto"/>
            <w:left w:val="none" w:sz="0" w:space="0" w:color="auto"/>
            <w:bottom w:val="none" w:sz="0" w:space="0" w:color="auto"/>
            <w:right w:val="none" w:sz="0" w:space="0" w:color="auto"/>
          </w:divBdr>
        </w:div>
        <w:div w:id="711075406">
          <w:marLeft w:val="0"/>
          <w:marRight w:val="0"/>
          <w:marTop w:val="0"/>
          <w:marBottom w:val="0"/>
          <w:divBdr>
            <w:top w:val="none" w:sz="0" w:space="0" w:color="auto"/>
            <w:left w:val="none" w:sz="0" w:space="0" w:color="auto"/>
            <w:bottom w:val="none" w:sz="0" w:space="0" w:color="auto"/>
            <w:right w:val="none" w:sz="0" w:space="0" w:color="auto"/>
          </w:divBdr>
        </w:div>
        <w:div w:id="796215986">
          <w:marLeft w:val="0"/>
          <w:marRight w:val="0"/>
          <w:marTop w:val="0"/>
          <w:marBottom w:val="0"/>
          <w:divBdr>
            <w:top w:val="none" w:sz="0" w:space="0" w:color="auto"/>
            <w:left w:val="none" w:sz="0" w:space="0" w:color="auto"/>
            <w:bottom w:val="none" w:sz="0" w:space="0" w:color="auto"/>
            <w:right w:val="none" w:sz="0" w:space="0" w:color="auto"/>
          </w:divBdr>
        </w:div>
        <w:div w:id="929972738">
          <w:marLeft w:val="0"/>
          <w:marRight w:val="0"/>
          <w:marTop w:val="0"/>
          <w:marBottom w:val="0"/>
          <w:divBdr>
            <w:top w:val="none" w:sz="0" w:space="0" w:color="auto"/>
            <w:left w:val="none" w:sz="0" w:space="0" w:color="auto"/>
            <w:bottom w:val="none" w:sz="0" w:space="0" w:color="auto"/>
            <w:right w:val="none" w:sz="0" w:space="0" w:color="auto"/>
          </w:divBdr>
        </w:div>
        <w:div w:id="974795074">
          <w:marLeft w:val="0"/>
          <w:marRight w:val="0"/>
          <w:marTop w:val="0"/>
          <w:marBottom w:val="0"/>
          <w:divBdr>
            <w:top w:val="none" w:sz="0" w:space="0" w:color="auto"/>
            <w:left w:val="none" w:sz="0" w:space="0" w:color="auto"/>
            <w:bottom w:val="none" w:sz="0" w:space="0" w:color="auto"/>
            <w:right w:val="none" w:sz="0" w:space="0" w:color="auto"/>
          </w:divBdr>
        </w:div>
        <w:div w:id="987825011">
          <w:marLeft w:val="0"/>
          <w:marRight w:val="0"/>
          <w:marTop w:val="0"/>
          <w:marBottom w:val="0"/>
          <w:divBdr>
            <w:top w:val="none" w:sz="0" w:space="0" w:color="auto"/>
            <w:left w:val="none" w:sz="0" w:space="0" w:color="auto"/>
            <w:bottom w:val="none" w:sz="0" w:space="0" w:color="auto"/>
            <w:right w:val="none" w:sz="0" w:space="0" w:color="auto"/>
          </w:divBdr>
        </w:div>
        <w:div w:id="1059355152">
          <w:marLeft w:val="0"/>
          <w:marRight w:val="0"/>
          <w:marTop w:val="0"/>
          <w:marBottom w:val="0"/>
          <w:divBdr>
            <w:top w:val="none" w:sz="0" w:space="0" w:color="auto"/>
            <w:left w:val="none" w:sz="0" w:space="0" w:color="auto"/>
            <w:bottom w:val="none" w:sz="0" w:space="0" w:color="auto"/>
            <w:right w:val="none" w:sz="0" w:space="0" w:color="auto"/>
          </w:divBdr>
        </w:div>
        <w:div w:id="1170755565">
          <w:marLeft w:val="0"/>
          <w:marRight w:val="0"/>
          <w:marTop w:val="0"/>
          <w:marBottom w:val="0"/>
          <w:divBdr>
            <w:top w:val="none" w:sz="0" w:space="0" w:color="auto"/>
            <w:left w:val="none" w:sz="0" w:space="0" w:color="auto"/>
            <w:bottom w:val="none" w:sz="0" w:space="0" w:color="auto"/>
            <w:right w:val="none" w:sz="0" w:space="0" w:color="auto"/>
          </w:divBdr>
        </w:div>
        <w:div w:id="1202547596">
          <w:marLeft w:val="0"/>
          <w:marRight w:val="0"/>
          <w:marTop w:val="0"/>
          <w:marBottom w:val="0"/>
          <w:divBdr>
            <w:top w:val="none" w:sz="0" w:space="0" w:color="auto"/>
            <w:left w:val="none" w:sz="0" w:space="0" w:color="auto"/>
            <w:bottom w:val="none" w:sz="0" w:space="0" w:color="auto"/>
            <w:right w:val="none" w:sz="0" w:space="0" w:color="auto"/>
          </w:divBdr>
        </w:div>
        <w:div w:id="1290471613">
          <w:marLeft w:val="0"/>
          <w:marRight w:val="0"/>
          <w:marTop w:val="0"/>
          <w:marBottom w:val="0"/>
          <w:divBdr>
            <w:top w:val="none" w:sz="0" w:space="0" w:color="auto"/>
            <w:left w:val="none" w:sz="0" w:space="0" w:color="auto"/>
            <w:bottom w:val="none" w:sz="0" w:space="0" w:color="auto"/>
            <w:right w:val="none" w:sz="0" w:space="0" w:color="auto"/>
          </w:divBdr>
        </w:div>
        <w:div w:id="1394695076">
          <w:marLeft w:val="0"/>
          <w:marRight w:val="0"/>
          <w:marTop w:val="0"/>
          <w:marBottom w:val="0"/>
          <w:divBdr>
            <w:top w:val="none" w:sz="0" w:space="0" w:color="auto"/>
            <w:left w:val="none" w:sz="0" w:space="0" w:color="auto"/>
            <w:bottom w:val="none" w:sz="0" w:space="0" w:color="auto"/>
            <w:right w:val="none" w:sz="0" w:space="0" w:color="auto"/>
          </w:divBdr>
        </w:div>
        <w:div w:id="1468622058">
          <w:marLeft w:val="0"/>
          <w:marRight w:val="0"/>
          <w:marTop w:val="0"/>
          <w:marBottom w:val="0"/>
          <w:divBdr>
            <w:top w:val="none" w:sz="0" w:space="0" w:color="auto"/>
            <w:left w:val="none" w:sz="0" w:space="0" w:color="auto"/>
            <w:bottom w:val="none" w:sz="0" w:space="0" w:color="auto"/>
            <w:right w:val="none" w:sz="0" w:space="0" w:color="auto"/>
          </w:divBdr>
        </w:div>
        <w:div w:id="1486162918">
          <w:marLeft w:val="0"/>
          <w:marRight w:val="0"/>
          <w:marTop w:val="0"/>
          <w:marBottom w:val="0"/>
          <w:divBdr>
            <w:top w:val="none" w:sz="0" w:space="0" w:color="auto"/>
            <w:left w:val="none" w:sz="0" w:space="0" w:color="auto"/>
            <w:bottom w:val="none" w:sz="0" w:space="0" w:color="auto"/>
            <w:right w:val="none" w:sz="0" w:space="0" w:color="auto"/>
          </w:divBdr>
        </w:div>
        <w:div w:id="1492257163">
          <w:marLeft w:val="0"/>
          <w:marRight w:val="0"/>
          <w:marTop w:val="0"/>
          <w:marBottom w:val="0"/>
          <w:divBdr>
            <w:top w:val="none" w:sz="0" w:space="0" w:color="auto"/>
            <w:left w:val="none" w:sz="0" w:space="0" w:color="auto"/>
            <w:bottom w:val="none" w:sz="0" w:space="0" w:color="auto"/>
            <w:right w:val="none" w:sz="0" w:space="0" w:color="auto"/>
          </w:divBdr>
        </w:div>
        <w:div w:id="1522010994">
          <w:marLeft w:val="0"/>
          <w:marRight w:val="0"/>
          <w:marTop w:val="0"/>
          <w:marBottom w:val="0"/>
          <w:divBdr>
            <w:top w:val="none" w:sz="0" w:space="0" w:color="auto"/>
            <w:left w:val="none" w:sz="0" w:space="0" w:color="auto"/>
            <w:bottom w:val="none" w:sz="0" w:space="0" w:color="auto"/>
            <w:right w:val="none" w:sz="0" w:space="0" w:color="auto"/>
          </w:divBdr>
        </w:div>
        <w:div w:id="2143843874">
          <w:marLeft w:val="0"/>
          <w:marRight w:val="0"/>
          <w:marTop w:val="0"/>
          <w:marBottom w:val="0"/>
          <w:divBdr>
            <w:top w:val="none" w:sz="0" w:space="0" w:color="auto"/>
            <w:left w:val="none" w:sz="0" w:space="0" w:color="auto"/>
            <w:bottom w:val="none" w:sz="0" w:space="0" w:color="auto"/>
            <w:right w:val="none" w:sz="0" w:space="0" w:color="auto"/>
          </w:divBdr>
        </w:div>
      </w:divsChild>
    </w:div>
    <w:div w:id="250357884">
      <w:bodyDiv w:val="1"/>
      <w:marLeft w:val="0"/>
      <w:marRight w:val="0"/>
      <w:marTop w:val="0"/>
      <w:marBottom w:val="0"/>
      <w:divBdr>
        <w:top w:val="none" w:sz="0" w:space="0" w:color="auto"/>
        <w:left w:val="none" w:sz="0" w:space="0" w:color="auto"/>
        <w:bottom w:val="none" w:sz="0" w:space="0" w:color="auto"/>
        <w:right w:val="none" w:sz="0" w:space="0" w:color="auto"/>
      </w:divBdr>
      <w:divsChild>
        <w:div w:id="531113896">
          <w:marLeft w:val="0"/>
          <w:marRight w:val="0"/>
          <w:marTop w:val="0"/>
          <w:marBottom w:val="0"/>
          <w:divBdr>
            <w:top w:val="none" w:sz="0" w:space="0" w:color="auto"/>
            <w:left w:val="none" w:sz="0" w:space="0" w:color="auto"/>
            <w:bottom w:val="none" w:sz="0" w:space="0" w:color="auto"/>
            <w:right w:val="none" w:sz="0" w:space="0" w:color="auto"/>
          </w:divBdr>
        </w:div>
        <w:div w:id="1683164928">
          <w:marLeft w:val="0"/>
          <w:marRight w:val="0"/>
          <w:marTop w:val="0"/>
          <w:marBottom w:val="0"/>
          <w:divBdr>
            <w:top w:val="none" w:sz="0" w:space="0" w:color="auto"/>
            <w:left w:val="none" w:sz="0" w:space="0" w:color="auto"/>
            <w:bottom w:val="none" w:sz="0" w:space="0" w:color="auto"/>
            <w:right w:val="none" w:sz="0" w:space="0" w:color="auto"/>
          </w:divBdr>
        </w:div>
      </w:divsChild>
    </w:div>
    <w:div w:id="1049843382">
      <w:bodyDiv w:val="1"/>
      <w:marLeft w:val="0"/>
      <w:marRight w:val="0"/>
      <w:marTop w:val="0"/>
      <w:marBottom w:val="0"/>
      <w:divBdr>
        <w:top w:val="none" w:sz="0" w:space="0" w:color="auto"/>
        <w:left w:val="none" w:sz="0" w:space="0" w:color="auto"/>
        <w:bottom w:val="none" w:sz="0" w:space="0" w:color="auto"/>
        <w:right w:val="none" w:sz="0" w:space="0" w:color="auto"/>
      </w:divBdr>
      <w:divsChild>
        <w:div w:id="320696626">
          <w:marLeft w:val="0"/>
          <w:marRight w:val="0"/>
          <w:marTop w:val="0"/>
          <w:marBottom w:val="0"/>
          <w:divBdr>
            <w:top w:val="none" w:sz="0" w:space="0" w:color="auto"/>
            <w:left w:val="none" w:sz="0" w:space="0" w:color="auto"/>
            <w:bottom w:val="none" w:sz="0" w:space="0" w:color="auto"/>
            <w:right w:val="none" w:sz="0" w:space="0" w:color="auto"/>
          </w:divBdr>
        </w:div>
        <w:div w:id="1192769357">
          <w:marLeft w:val="0"/>
          <w:marRight w:val="0"/>
          <w:marTop w:val="0"/>
          <w:marBottom w:val="0"/>
          <w:divBdr>
            <w:top w:val="none" w:sz="0" w:space="0" w:color="auto"/>
            <w:left w:val="none" w:sz="0" w:space="0" w:color="auto"/>
            <w:bottom w:val="none" w:sz="0" w:space="0" w:color="auto"/>
            <w:right w:val="none" w:sz="0" w:space="0" w:color="auto"/>
          </w:divBdr>
        </w:div>
        <w:div w:id="1830321696">
          <w:marLeft w:val="0"/>
          <w:marRight w:val="0"/>
          <w:marTop w:val="0"/>
          <w:marBottom w:val="0"/>
          <w:divBdr>
            <w:top w:val="none" w:sz="0" w:space="0" w:color="auto"/>
            <w:left w:val="none" w:sz="0" w:space="0" w:color="auto"/>
            <w:bottom w:val="none" w:sz="0" w:space="0" w:color="auto"/>
            <w:right w:val="none" w:sz="0" w:space="0" w:color="auto"/>
          </w:divBdr>
        </w:div>
      </w:divsChild>
    </w:div>
    <w:div w:id="1105539517">
      <w:bodyDiv w:val="1"/>
      <w:marLeft w:val="0"/>
      <w:marRight w:val="0"/>
      <w:marTop w:val="0"/>
      <w:marBottom w:val="0"/>
      <w:divBdr>
        <w:top w:val="none" w:sz="0" w:space="0" w:color="auto"/>
        <w:left w:val="none" w:sz="0" w:space="0" w:color="auto"/>
        <w:bottom w:val="none" w:sz="0" w:space="0" w:color="auto"/>
        <w:right w:val="none" w:sz="0" w:space="0" w:color="auto"/>
      </w:divBdr>
      <w:divsChild>
        <w:div w:id="861988">
          <w:marLeft w:val="0"/>
          <w:marRight w:val="0"/>
          <w:marTop w:val="0"/>
          <w:marBottom w:val="0"/>
          <w:divBdr>
            <w:top w:val="none" w:sz="0" w:space="0" w:color="auto"/>
            <w:left w:val="none" w:sz="0" w:space="0" w:color="auto"/>
            <w:bottom w:val="none" w:sz="0" w:space="0" w:color="auto"/>
            <w:right w:val="none" w:sz="0" w:space="0" w:color="auto"/>
          </w:divBdr>
        </w:div>
        <w:div w:id="816384414">
          <w:marLeft w:val="0"/>
          <w:marRight w:val="0"/>
          <w:marTop w:val="0"/>
          <w:marBottom w:val="0"/>
          <w:divBdr>
            <w:top w:val="none" w:sz="0" w:space="0" w:color="auto"/>
            <w:left w:val="none" w:sz="0" w:space="0" w:color="auto"/>
            <w:bottom w:val="none" w:sz="0" w:space="0" w:color="auto"/>
            <w:right w:val="none" w:sz="0" w:space="0" w:color="auto"/>
          </w:divBdr>
        </w:div>
        <w:div w:id="1867524648">
          <w:marLeft w:val="0"/>
          <w:marRight w:val="0"/>
          <w:marTop w:val="0"/>
          <w:marBottom w:val="0"/>
          <w:divBdr>
            <w:top w:val="none" w:sz="0" w:space="0" w:color="auto"/>
            <w:left w:val="none" w:sz="0" w:space="0" w:color="auto"/>
            <w:bottom w:val="none" w:sz="0" w:space="0" w:color="auto"/>
            <w:right w:val="none" w:sz="0" w:space="0" w:color="auto"/>
          </w:divBdr>
        </w:div>
        <w:div w:id="2145847076">
          <w:marLeft w:val="0"/>
          <w:marRight w:val="0"/>
          <w:marTop w:val="0"/>
          <w:marBottom w:val="0"/>
          <w:divBdr>
            <w:top w:val="none" w:sz="0" w:space="0" w:color="auto"/>
            <w:left w:val="none" w:sz="0" w:space="0" w:color="auto"/>
            <w:bottom w:val="none" w:sz="0" w:space="0" w:color="auto"/>
            <w:right w:val="none" w:sz="0" w:space="0" w:color="auto"/>
          </w:divBdr>
        </w:div>
      </w:divsChild>
    </w:div>
    <w:div w:id="1864438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46BE23B851849448DBA97BD1FC45CCB"/>
        <w:category>
          <w:name w:val="General"/>
          <w:gallery w:val="placeholder"/>
        </w:category>
        <w:types>
          <w:type w:val="bbPlcHdr"/>
        </w:types>
        <w:behaviors>
          <w:behavior w:val="content"/>
        </w:behaviors>
        <w:guid w:val="{DDADE544-43B0-41E8-991E-A930146B801B}"/>
      </w:docPartPr>
      <w:docPartBody>
        <w:p w:rsidR="00E428AE" w:rsidRDefault="00E428AE"/>
      </w:docPartBody>
    </w:docPart>
    <w:docPart>
      <w:docPartPr>
        <w:name w:val="EF56473E661B416F94AB6370EDBF89FA"/>
        <w:category>
          <w:name w:val="General"/>
          <w:gallery w:val="placeholder"/>
        </w:category>
        <w:types>
          <w:type w:val="bbPlcHdr"/>
        </w:types>
        <w:behaviors>
          <w:behavior w:val="content"/>
        </w:behaviors>
        <w:guid w:val="{E4F3D042-E3ED-4A70-8ADF-D2B21873352D}"/>
      </w:docPartPr>
      <w:docPartBody>
        <w:p w:rsidR="00E428AE" w:rsidRDefault="00E428A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Arial Narrow&quot;,sans-serif">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01D"/>
    <w:rsid w:val="001F2A35"/>
    <w:rsid w:val="00290251"/>
    <w:rsid w:val="002F201D"/>
    <w:rsid w:val="003D2FA8"/>
    <w:rsid w:val="00436F92"/>
    <w:rsid w:val="00475F29"/>
    <w:rsid w:val="00B53762"/>
    <w:rsid w:val="00E421FB"/>
    <w:rsid w:val="00E428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6747409639620A48BB08F713A1AC624B" ma:contentTypeVersion="14" ma:contentTypeDescription="Izveidot jaunu dokumentu." ma:contentTypeScope="" ma:versionID="214bdd172c618ab9cd53eb4b2f74f16d">
  <xsd:schema xmlns:xsd="http://www.w3.org/2001/XMLSchema" xmlns:xs="http://www.w3.org/2001/XMLSchema" xmlns:p="http://schemas.microsoft.com/office/2006/metadata/properties" xmlns:ns2="1d57a815-79e8-498e-8f04-9c2e9221b678" xmlns:ns3="05fc81c9-325d-42ab-a312-d2989bc4c6c1" targetNamespace="http://schemas.microsoft.com/office/2006/metadata/properties" ma:root="true" ma:fieldsID="0ef2b8e2d6827afe8d1ce76e8ab0b534" ns2:_="" ns3:_="">
    <xsd:import namespace="1d57a815-79e8-498e-8f04-9c2e9221b678"/>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57a815-79e8-498e-8f04-9c2e9221b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d57a815-79e8-498e-8f04-9c2e9221b678">
      <Terms xmlns="http://schemas.microsoft.com/office/infopath/2007/PartnerControls"/>
    </lcf76f155ced4ddcb4097134ff3c332f>
    <TaxCatchAll xmlns="05fc81c9-325d-42ab-a312-d2989bc4c6c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710CD9-5F6A-4662-8036-69A4272C55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57a815-79e8-498e-8f04-9c2e9221b678"/>
    <ds:schemaRef ds:uri="05fc81c9-325d-42ab-a312-d2989bc4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9B593A-3E13-4C6C-A85A-4B7B7D1DCAE2}">
  <ds:schemaRefs>
    <ds:schemaRef ds:uri="http://schemas.microsoft.com/office/2006/metadata/properties"/>
    <ds:schemaRef ds:uri="http://schemas.microsoft.com/office/infopath/2007/PartnerControls"/>
    <ds:schemaRef ds:uri="1d57a815-79e8-498e-8f04-9c2e9221b678"/>
    <ds:schemaRef ds:uri="05fc81c9-325d-42ab-a312-d2989bc4c6c1"/>
  </ds:schemaRefs>
</ds:datastoreItem>
</file>

<file path=customXml/itemProps3.xml><?xml version="1.0" encoding="utf-8"?>
<ds:datastoreItem xmlns:ds="http://schemas.openxmlformats.org/officeDocument/2006/customXml" ds:itemID="{4C8249D4-BBAA-4622-8BE8-6F9C6954F6FB}">
  <ds:schemaRefs>
    <ds:schemaRef ds:uri="http://schemas.microsoft.com/sharepoint/v3/contenttype/forms"/>
  </ds:schemaRefs>
</ds:datastoreItem>
</file>

<file path=customXml/itemProps4.xml><?xml version="1.0" encoding="utf-8"?>
<ds:datastoreItem xmlns:ds="http://schemas.openxmlformats.org/officeDocument/2006/customXml" ds:itemID="{CB9C56AA-AB23-4487-BBA2-87D8644B54DB}">
  <ds:schemaRefs>
    <ds:schemaRef ds:uri="http://schemas.openxmlformats.org/officeDocument/2006/bibliography"/>
  </ds:schemaRefs>
</ds:datastoreItem>
</file>

<file path=docMetadata/LabelInfo.xml><?xml version="1.0" encoding="utf-8"?>
<clbl:labelList xmlns:clbl="http://schemas.microsoft.com/office/2020/mipLabelMetadata">
  <clbl:label id="{6f3e7d20-2181-4348-af28-4cbf4a40754e}" enabled="1" method="Privilege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Template>
  <TotalTime>0</TotalTime>
  <Pages>248</Pages>
  <Words>43750</Words>
  <Characters>249380</Characters>
  <Application>Microsoft Office Word</Application>
  <DocSecurity>0</DocSecurity>
  <Lines>2078</Lines>
  <Paragraphs>585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2025-03-26T11:31:00Z</dcterms:created>
  <dcterms:modified xsi:type="dcterms:W3CDTF">2025-04-09T11:13:00Z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annex">
    <vt:lpwstr>2</vt:lpwstr>
  </property>
  <property fmtid="{D5CDD505-2E9C-101B-9397-08002B2CF9AE}" pid="3" name="MSIP_Label_6bd9ddd1-4d20-43f6-abfa-fc3c07406f94_Name">
    <vt:lpwstr>Commission Use</vt:lpwstr>
  </property>
  <property fmtid="{D5CDD505-2E9C-101B-9397-08002B2CF9AE}" pid="4" name="Order">
    <vt:r8>601200</vt:r8>
  </property>
  <property fmtid="{D5CDD505-2E9C-101B-9397-08002B2CF9AE}" pid="5" name="Part">
    <vt:lpwstr>&lt;UNUSED&gt;</vt:lpwstr>
  </property>
  <property fmtid="{D5CDD505-2E9C-101B-9397-08002B2CF9AE}" pid="6" name="Last edited using">
    <vt:lpwstr>LW 9.1, Build 20240808</vt:lpwstr>
  </property>
  <property fmtid="{D5CDD505-2E9C-101B-9397-08002B2CF9AE}" pid="7" name="_LW_INVALIDATED__LW_INVALIDATED__LW_INVALIDATED__LW_INVALIDATED__LW_INVALIDATED__LW_INVALIDATED__LW_INVALIDATED_ContentTypeId">
    <vt:lpwstr>0x010100258AA79CEB83498886A3A08681123250003A96FF36B9FA2B41AA2F50B89189C74B</vt:lpwstr>
  </property>
  <property fmtid="{D5CDD505-2E9C-101B-9397-08002B2CF9AE}" pid="8" name="MediaServiceImageTags">
    <vt:lpwstr/>
  </property>
  <property fmtid="{D5CDD505-2E9C-101B-9397-08002B2CF9AE}" pid="9" name="xd_ProgID">
    <vt:lpwstr/>
  </property>
  <property fmtid="{D5CDD505-2E9C-101B-9397-08002B2CF9AE}" pid="10" name="ContentTypeId">
    <vt:lpwstr>0x0101006747409639620A48BB08F713A1AC624B</vt:lpwstr>
  </property>
  <property fmtid="{D5CDD505-2E9C-101B-9397-08002B2CF9AE}" pid="11" name="MSIP_Label_6bd9ddd1-4d20-43f6-abfa-fc3c07406f94_ContentBits">
    <vt:lpwstr>0</vt:lpwstr>
  </property>
  <property fmtid="{D5CDD505-2E9C-101B-9397-08002B2CF9AE}" pid="12" name="ComplianceAssetId">
    <vt:lpwstr/>
  </property>
  <property fmtid="{D5CDD505-2E9C-101B-9397-08002B2CF9AE}" pid="13" name="TemplateUrl">
    <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Method">
    <vt:lpwstr>Standard</vt:lpwstr>
  </property>
  <property fmtid="{D5CDD505-2E9C-101B-9397-08002B2CF9AE}" pid="16" name="_LW_INVALIDATED__LW_INVALIDATED_ContentTypeId">
    <vt:lpwstr>0x01010062094E9F29D6C04F85860C631ABC812A</vt:lpwstr>
  </property>
  <property fmtid="{D5CDD505-2E9C-101B-9397-08002B2CF9AE}" pid="17" name="MSIP_Label_6bd9ddd1-4d20-43f6-abfa-fc3c07406f94_Enabled">
    <vt:lpwstr>true</vt:lpwstr>
  </property>
  <property fmtid="{D5CDD505-2E9C-101B-9397-08002B2CF9AE}" pid="18" name="_ExtendedDescription">
    <vt:lpwstr/>
  </property>
  <property fmtid="{D5CDD505-2E9C-101B-9397-08002B2CF9AE}" pid="19" name="TriggerFlowInfo">
    <vt:lpwstr/>
  </property>
  <property fmtid="{D5CDD505-2E9C-101B-9397-08002B2CF9AE}" pid="20" name="Created using">
    <vt:lpwstr>LW 7.0.1, Build 20200226</vt:lpwstr>
  </property>
  <property fmtid="{D5CDD505-2E9C-101B-9397-08002B2CF9AE}" pid="21" name="Total parts">
    <vt:lpwstr>&lt;UNUSED&gt;</vt:lpwstr>
  </property>
  <property fmtid="{D5CDD505-2E9C-101B-9397-08002B2CF9AE}" pid="22" name="Unique annex">
    <vt:lpwstr>0</vt:lpwstr>
  </property>
  <property fmtid="{D5CDD505-2E9C-101B-9397-08002B2CF9AE}" pid="23" name="DocStatus">
    <vt:lpwstr>Green</vt:lpwstr>
  </property>
  <property fmtid="{D5CDD505-2E9C-101B-9397-08002B2CF9AE}" pid="24" name="First annex">
    <vt:lpwstr>1</vt:lpwstr>
  </property>
  <property fmtid="{D5CDD505-2E9C-101B-9397-08002B2CF9AE}" pid="25" name="MSIP_Label_6bd9ddd1-4d20-43f6-abfa-fc3c07406f94_SetDate">
    <vt:lpwstr>2023-11-15T08:47:07Z</vt:lpwstr>
  </property>
  <property fmtid="{D5CDD505-2E9C-101B-9397-08002B2CF9AE}" pid="26" name="xd_Signature">
    <vt:bool>false</vt:bool>
  </property>
  <property fmtid="{D5CDD505-2E9C-101B-9397-08002B2CF9AE}" pid="27" name="Level of sensitivity">
    <vt:lpwstr>Sensitive treatment</vt:lpwstr>
  </property>
  <property fmtid="{D5CDD505-2E9C-101B-9397-08002B2CF9AE}" pid="28" name="MSIP_Label_6bd9ddd1-4d20-43f6-abfa-fc3c07406f94_ActionId">
    <vt:lpwstr>d206b0fc-b4af-453c-a390-ce646432f13b</vt:lpwstr>
  </property>
  <property fmtid="{D5CDD505-2E9C-101B-9397-08002B2CF9AE}" pid="29" name="CPTemplateID">
    <vt:lpwstr>CP-038</vt:lpwstr>
  </property>
</Properties>
</file>