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0ECC23B" w14:textId="77777777" w:rsidR="00C67304" w:rsidRPr="0098216B" w:rsidRDefault="00000000">
      <w:pPr>
        <w:spacing w:after="240"/>
        <w:jc w:val="center"/>
        <w:rPr>
          <w:b/>
          <w:sz w:val="24"/>
          <w:szCs w:val="24"/>
        </w:rPr>
      </w:pPr>
      <w:r w:rsidRPr="0098216B">
        <w:rPr>
          <w:b/>
          <w:sz w:val="24"/>
          <w:szCs w:val="24"/>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221"/>
        <w:gridCol w:w="6090"/>
        <w:gridCol w:w="1350"/>
        <w:gridCol w:w="4156"/>
      </w:tblGrid>
      <w:tr w:rsidR="00C67304" w:rsidRPr="0098216B" w14:paraId="2E884FA1" w14:textId="77777777" w:rsidTr="0098216B">
        <w:tc>
          <w:tcPr>
            <w:tcW w:w="750" w:type="dxa"/>
            <w:shd w:val="clear" w:color="auto" w:fill="FFFFFF"/>
            <w:noWrap/>
            <w:tcMar>
              <w:top w:w="75" w:type="dxa"/>
              <w:left w:w="75" w:type="dxa"/>
              <w:bottom w:w="75" w:type="dxa"/>
              <w:right w:w="75" w:type="dxa"/>
            </w:tcMar>
          </w:tcPr>
          <w:p w14:paraId="05E42DD3" w14:textId="77777777" w:rsidR="00C67304" w:rsidRPr="0098216B" w:rsidRDefault="00000000" w:rsidP="0098216B">
            <w:pPr>
              <w:jc w:val="left"/>
              <w:rPr>
                <w:sz w:val="24"/>
                <w:szCs w:val="24"/>
              </w:rPr>
            </w:pPr>
            <w:r w:rsidRPr="0098216B">
              <w:rPr>
                <w:b/>
                <w:sz w:val="24"/>
                <w:szCs w:val="24"/>
              </w:rPr>
              <w:t>Nr.p.k.</w:t>
            </w:r>
          </w:p>
        </w:tc>
        <w:tc>
          <w:tcPr>
            <w:tcW w:w="2221" w:type="dxa"/>
            <w:shd w:val="clear" w:color="auto" w:fill="FFFFFF"/>
            <w:noWrap/>
            <w:tcMar>
              <w:top w:w="75" w:type="dxa"/>
              <w:left w:w="75" w:type="dxa"/>
              <w:bottom w:w="75" w:type="dxa"/>
              <w:right w:w="75" w:type="dxa"/>
            </w:tcMar>
          </w:tcPr>
          <w:p w14:paraId="1DBEA9B5" w14:textId="77777777" w:rsidR="00C67304" w:rsidRPr="0098216B" w:rsidRDefault="00000000" w:rsidP="0098216B">
            <w:pPr>
              <w:jc w:val="left"/>
              <w:rPr>
                <w:sz w:val="24"/>
                <w:szCs w:val="24"/>
              </w:rPr>
            </w:pPr>
            <w:r w:rsidRPr="0098216B">
              <w:rPr>
                <w:b/>
                <w:sz w:val="24"/>
                <w:szCs w:val="24"/>
              </w:rPr>
              <w:t>Iebilduma / priekšlikuma iesniedzējs</w:t>
            </w:r>
          </w:p>
        </w:tc>
        <w:tc>
          <w:tcPr>
            <w:tcW w:w="6090" w:type="dxa"/>
            <w:shd w:val="clear" w:color="auto" w:fill="FFFFFF"/>
            <w:noWrap/>
            <w:tcMar>
              <w:top w:w="75" w:type="dxa"/>
              <w:left w:w="75" w:type="dxa"/>
              <w:bottom w:w="75" w:type="dxa"/>
              <w:right w:w="75" w:type="dxa"/>
            </w:tcMar>
          </w:tcPr>
          <w:p w14:paraId="3681451E" w14:textId="77777777" w:rsidR="00C67304" w:rsidRPr="0098216B" w:rsidRDefault="00000000" w:rsidP="0098216B">
            <w:pPr>
              <w:jc w:val="left"/>
              <w:rPr>
                <w:sz w:val="24"/>
                <w:szCs w:val="24"/>
              </w:rPr>
            </w:pPr>
            <w:r w:rsidRPr="0098216B">
              <w:rPr>
                <w:b/>
                <w:sz w:val="24"/>
                <w:szCs w:val="24"/>
              </w:rPr>
              <w:t>Iesniegtā iebilduma / priekšlikuma būtība</w:t>
            </w:r>
          </w:p>
        </w:tc>
        <w:tc>
          <w:tcPr>
            <w:tcW w:w="1350" w:type="dxa"/>
            <w:shd w:val="clear" w:color="auto" w:fill="FFFFFF"/>
            <w:noWrap/>
            <w:tcMar>
              <w:top w:w="75" w:type="dxa"/>
              <w:left w:w="75" w:type="dxa"/>
              <w:bottom w:w="75" w:type="dxa"/>
              <w:right w:w="75" w:type="dxa"/>
            </w:tcMar>
          </w:tcPr>
          <w:p w14:paraId="18456ADD" w14:textId="77777777" w:rsidR="00C67304" w:rsidRPr="0098216B" w:rsidRDefault="00000000" w:rsidP="0098216B">
            <w:pPr>
              <w:jc w:val="left"/>
              <w:rPr>
                <w:sz w:val="24"/>
                <w:szCs w:val="24"/>
              </w:rPr>
            </w:pPr>
            <w:r w:rsidRPr="0098216B">
              <w:rPr>
                <w:b/>
                <w:sz w:val="24"/>
                <w:szCs w:val="24"/>
              </w:rPr>
              <w:t>Ņemts vērā / nav ņemts vērā</w:t>
            </w:r>
          </w:p>
        </w:tc>
        <w:tc>
          <w:tcPr>
            <w:tcW w:w="4156" w:type="dxa"/>
            <w:shd w:val="clear" w:color="auto" w:fill="FFFFFF"/>
            <w:noWrap/>
            <w:tcMar>
              <w:top w:w="75" w:type="dxa"/>
              <w:left w:w="75" w:type="dxa"/>
              <w:bottom w:w="75" w:type="dxa"/>
              <w:right w:w="75" w:type="dxa"/>
            </w:tcMar>
          </w:tcPr>
          <w:p w14:paraId="3A216765" w14:textId="77777777" w:rsidR="00C67304" w:rsidRPr="0098216B" w:rsidRDefault="00000000" w:rsidP="0098216B">
            <w:pPr>
              <w:jc w:val="left"/>
              <w:rPr>
                <w:sz w:val="24"/>
                <w:szCs w:val="24"/>
              </w:rPr>
            </w:pPr>
            <w:r w:rsidRPr="0098216B">
              <w:rPr>
                <w:b/>
                <w:sz w:val="24"/>
                <w:szCs w:val="24"/>
              </w:rPr>
              <w:t>Pamatojums, ja iebildums / priekšlikums nav ņemts vērā</w:t>
            </w:r>
          </w:p>
        </w:tc>
      </w:tr>
      <w:tr w:rsidR="00C67304" w:rsidRPr="0098216B" w14:paraId="56103341" w14:textId="77777777" w:rsidTr="0098216B">
        <w:tc>
          <w:tcPr>
            <w:tcW w:w="750" w:type="dxa"/>
            <w:shd w:val="clear" w:color="auto" w:fill="FFFFFF"/>
            <w:noWrap/>
            <w:tcMar>
              <w:top w:w="75" w:type="dxa"/>
              <w:left w:w="75" w:type="dxa"/>
              <w:bottom w:w="75" w:type="dxa"/>
              <w:right w:w="75" w:type="dxa"/>
            </w:tcMar>
          </w:tcPr>
          <w:p w14:paraId="3E63A755" w14:textId="77777777" w:rsidR="00C67304" w:rsidRPr="0098216B" w:rsidRDefault="00000000" w:rsidP="0098216B">
            <w:pPr>
              <w:jc w:val="left"/>
              <w:rPr>
                <w:sz w:val="24"/>
                <w:szCs w:val="24"/>
              </w:rPr>
            </w:pPr>
            <w:r w:rsidRPr="0098216B">
              <w:rPr>
                <w:sz w:val="24"/>
                <w:szCs w:val="24"/>
              </w:rPr>
              <w:t>1.</w:t>
            </w:r>
          </w:p>
        </w:tc>
        <w:tc>
          <w:tcPr>
            <w:tcW w:w="2221" w:type="dxa"/>
            <w:shd w:val="clear" w:color="auto" w:fill="FFFFFF"/>
            <w:noWrap/>
            <w:tcMar>
              <w:top w:w="75" w:type="dxa"/>
              <w:left w:w="75" w:type="dxa"/>
              <w:bottom w:w="75" w:type="dxa"/>
              <w:right w:w="75" w:type="dxa"/>
            </w:tcMar>
          </w:tcPr>
          <w:p w14:paraId="10174B89" w14:textId="77777777" w:rsidR="00C67304" w:rsidRPr="0098216B" w:rsidRDefault="00000000" w:rsidP="0098216B">
            <w:pPr>
              <w:jc w:val="left"/>
              <w:rPr>
                <w:sz w:val="24"/>
                <w:szCs w:val="24"/>
              </w:rPr>
            </w:pPr>
            <w:r w:rsidRPr="0098216B">
              <w:rPr>
                <w:sz w:val="24"/>
                <w:szCs w:val="24"/>
              </w:rPr>
              <w:t>Būvuzraugs, Rihards Ābols</w:t>
            </w:r>
          </w:p>
        </w:tc>
        <w:tc>
          <w:tcPr>
            <w:tcW w:w="6090" w:type="dxa"/>
            <w:shd w:val="clear" w:color="auto" w:fill="FFFFFF"/>
            <w:noWrap/>
            <w:tcMar>
              <w:top w:w="75" w:type="dxa"/>
              <w:left w:w="75" w:type="dxa"/>
              <w:bottom w:w="75" w:type="dxa"/>
              <w:right w:w="75" w:type="dxa"/>
            </w:tcMar>
          </w:tcPr>
          <w:p w14:paraId="68B99092" w14:textId="77777777" w:rsidR="00C67304" w:rsidRPr="0098216B" w:rsidRDefault="00000000" w:rsidP="0098216B">
            <w:pPr>
              <w:jc w:val="left"/>
              <w:rPr>
                <w:sz w:val="24"/>
                <w:szCs w:val="24"/>
              </w:rPr>
            </w:pPr>
            <w:r w:rsidRPr="0098216B">
              <w:rPr>
                <w:sz w:val="24"/>
                <w:szCs w:val="24"/>
              </w:rPr>
              <w:t>izskatās, ka plāns ir atteikties ne tikai no SEGTO DARBU AKTIEM, bet arī no ATSEVIŠĶU DARBU OPERĀCIJU VAI TEHNOLOĢISKO KONTROLI, JEB PRAKSĒ TĀ SAUKTO KVALITĀTES KONTROLES AKTU-KKA!!!</w:t>
            </w:r>
            <w:r w:rsidRPr="0098216B">
              <w:rPr>
                <w:sz w:val="24"/>
                <w:szCs w:val="24"/>
              </w:rPr>
              <w:br/>
              <w:t>Būvniecības likumā-BL-minētas būtiskas prasības būvēm, savukārt būtiskās prasības izpilda caur LBN, savukārt LBN noteikts izmantot piemērojamos standartus un atsevišķos gadījumos konkrētus stantartus!!! Galvenais standarts ir LVS EN 1990 un tajā minēti galvenie kvalitātes kontroles principi, lai nodrošinātu ēku un būvju drošumu.</w:t>
            </w:r>
            <w:r w:rsidRPr="0098216B">
              <w:rPr>
                <w:sz w:val="24"/>
                <w:szCs w:val="24"/>
              </w:rPr>
              <w:br/>
              <w:t>Praktiski katrā būvniecības standartā ir minētas prasības kvalitātes kontrolei, aprakstītas procedūras darbu operācijām un varbūt pat doti veidlapu piemēri, kas jāaizpilda, lai sniegtu pierādījumus par nosacījumu izpildi.( Piemēram standartā LVS EN 13670 “Betona konstrukciju izgatavošana uzskaitītas minimālās prasības a) materiālu un izstrādājumu pārbaudes, b) būvdarbu veikšanas pārbaudes c) Pārbaužu veidi un dokumentācija!</w:t>
            </w:r>
            <w:r w:rsidRPr="0098216B">
              <w:rPr>
                <w:sz w:val="24"/>
                <w:szCs w:val="24"/>
              </w:rPr>
              <w:br/>
              <w:t>Ja izslēdzam ārā Segto darbu aktus un prasību atsevišķām darbu operācijām, es teiktu ka ar Nozīmīgo konstrukciju aktu nevar sniegt visaptverošus pierādījumus par prasību izpildi, jo katrā standartā atšķiras prasības atsevišķu darba operāciju kontrolei. Nozīmīgo konstrukciju akts var būt kā noslēguma dokuments.</w:t>
            </w:r>
            <w:r w:rsidRPr="0098216B">
              <w:rPr>
                <w:sz w:val="24"/>
                <w:szCs w:val="24"/>
              </w:rPr>
              <w:br/>
              <w:t xml:space="preserve">Ja runā par būvdarbu žurnālu, tad izmaiņas ir atbalstāmas, informacijas ievades ziņā tas ir morāli novecojis un neatbilst </w:t>
            </w:r>
            <w:r w:rsidRPr="0098216B">
              <w:rPr>
                <w:sz w:val="24"/>
                <w:szCs w:val="24"/>
              </w:rPr>
              <w:lastRenderedPageBreak/>
              <w:t>mūzdienu standartu un tehnoloģiju prasībām. </w:t>
            </w:r>
            <w:r w:rsidRPr="0098216B">
              <w:rPr>
                <w:sz w:val="24"/>
                <w:szCs w:val="24"/>
              </w:rPr>
              <w:br/>
            </w:r>
            <w:r w:rsidRPr="0098216B">
              <w:rPr>
                <w:b/>
                <w:sz w:val="24"/>
                <w:szCs w:val="24"/>
              </w:rPr>
              <w:t>24-TA-434</w:t>
            </w:r>
            <w:r w:rsidRPr="0098216B">
              <w:rPr>
                <w:sz w:val="24"/>
                <w:szCs w:val="24"/>
              </w:rPr>
              <w:br/>
            </w:r>
            <w:r w:rsidRPr="0098216B">
              <w:rPr>
                <w:b/>
                <w:sz w:val="24"/>
                <w:szCs w:val="24"/>
              </w:rPr>
              <w:t xml:space="preserve">Plānotie grozijumi Pieņemami: </w:t>
            </w:r>
            <w:r w:rsidRPr="0098216B">
              <w:rPr>
                <w:sz w:val="24"/>
                <w:szCs w:val="24"/>
              </w:rPr>
              <w:t>“121. Ierakstus būvdarbu žurnālā katru darba dienu veic būvdarbu vadītājs, un tiem jāraksturo faktiskā situācija būvlaukumā. Ja secīgo ikdienas būvdarbu specifika nemainās, būvdarbu žurnālā veic vienu ierakstu, norādot darbu uzsākšanas datumu un pabeigšanas datumu.  [R1] Būvuzrauga un autoruzrauga būvdarbu žurnālā izteiktie iebildumi vai norādījumi ir uzskatāmi par izpildītiem, ja būvuzraugs vai autoruzraugs veicis attiecīgu atzīmi būvdarbu žurnālā. Ierakstus būvdarbu žurnālā par saviem veiktajiem darbiem veic arī atsevišķu būvdarbu veicēju būvdarbu vadītāji.”;</w:t>
            </w:r>
            <w:r w:rsidRPr="0098216B">
              <w:rPr>
                <w:sz w:val="24"/>
                <w:szCs w:val="24"/>
              </w:rPr>
              <w:br/>
            </w:r>
            <w:r w:rsidRPr="0098216B">
              <w:rPr>
                <w:sz w:val="24"/>
                <w:szCs w:val="24"/>
              </w:rPr>
              <w:br/>
              <w:t> [R1]Liekas o.k. ja uzsākot, katra darba operāciju, ieraksta žurnālā uzsākšanas datumu, tad kamēr vienu un to pašu darbu veic-neraksta. Kad pabeidz darbu operāciju, tad veic ierakstu žurnālā. Šo arī liekas var saprogrammēt katrs uzņēmums savās kvalitātes sistēmās, kurā brīdī tiek automatiski nosūtīti dati uz BIS caur API.</w:t>
            </w:r>
            <w:r w:rsidRPr="0098216B">
              <w:rPr>
                <w:sz w:val="24"/>
                <w:szCs w:val="24"/>
              </w:rPr>
              <w:br/>
            </w:r>
            <w:r w:rsidRPr="0098216B">
              <w:rPr>
                <w:b/>
                <w:sz w:val="24"/>
                <w:szCs w:val="24"/>
              </w:rPr>
              <w:t>24-TA-434</w:t>
            </w:r>
            <w:r w:rsidRPr="0098216B">
              <w:rPr>
                <w:sz w:val="24"/>
                <w:szCs w:val="24"/>
              </w:rPr>
              <w:br/>
            </w:r>
            <w:r w:rsidRPr="0098216B">
              <w:rPr>
                <w:b/>
                <w:sz w:val="24"/>
                <w:szCs w:val="24"/>
              </w:rPr>
              <w:t>Plānotie grozijumi NAV Pieņemami:P.125.1</w:t>
            </w:r>
            <w:r w:rsidRPr="0098216B">
              <w:rPr>
                <w:sz w:val="24"/>
                <w:szCs w:val="24"/>
              </w:rPr>
              <w:br/>
            </w:r>
            <w:r w:rsidRPr="0098216B">
              <w:rPr>
                <w:b/>
                <w:sz w:val="24"/>
                <w:szCs w:val="24"/>
              </w:rPr>
              <w:t>Piedāvājums pēc standartu principiem jāatstāj to šādi:</w:t>
            </w:r>
            <w:r w:rsidRPr="0098216B">
              <w:rPr>
                <w:sz w:val="24"/>
                <w:szCs w:val="24"/>
              </w:rPr>
              <w:t xml:space="preserve"> 125.1 būvdarbu veikšanas dokumentācijas, piegādāto būvizstrādājumu un konstrukciju, ierīču, mehānismu un līdzīgu iekārtu sākotnējo kontroli;[R1] </w:t>
            </w:r>
            <w:r w:rsidRPr="0098216B">
              <w:rPr>
                <w:sz w:val="24"/>
                <w:szCs w:val="24"/>
              </w:rPr>
              <w:br/>
            </w:r>
            <w:r w:rsidRPr="0098216B">
              <w:rPr>
                <w:sz w:val="24"/>
                <w:szCs w:val="24"/>
              </w:rPr>
              <w:br/>
              <w:t> [R1]Es teiktu, ka šis jāatstāj, jo tas atbilst LVS EN 1990: P. 4.8 Quality managament</w:t>
            </w:r>
            <w:r w:rsidRPr="0098216B">
              <w:rPr>
                <w:sz w:val="24"/>
                <w:szCs w:val="24"/>
              </w:rPr>
              <w:br/>
            </w:r>
            <w:r w:rsidRPr="0098216B">
              <w:rPr>
                <w:sz w:val="24"/>
                <w:szCs w:val="24"/>
              </w:rPr>
              <w:br/>
            </w:r>
            <w:r w:rsidRPr="0098216B">
              <w:rPr>
                <w:b/>
                <w:sz w:val="24"/>
                <w:szCs w:val="24"/>
              </w:rPr>
              <w:t>24-TA-434Plānotie grozijumi NAV Pieņemami:P.125.2</w:t>
            </w:r>
            <w:r w:rsidRPr="0098216B">
              <w:rPr>
                <w:sz w:val="24"/>
                <w:szCs w:val="24"/>
              </w:rPr>
              <w:br/>
            </w:r>
            <w:r w:rsidRPr="0098216B">
              <w:rPr>
                <w:b/>
                <w:sz w:val="24"/>
                <w:szCs w:val="24"/>
              </w:rPr>
              <w:t>Piedāvājums pēc standartu principiem to izteikt šādi:</w:t>
            </w:r>
            <w:r w:rsidRPr="0098216B">
              <w:rPr>
                <w:sz w:val="24"/>
                <w:szCs w:val="24"/>
              </w:rPr>
              <w:t xml:space="preserve"> </w:t>
            </w:r>
            <w:r w:rsidRPr="0098216B">
              <w:rPr>
                <w:sz w:val="24"/>
                <w:szCs w:val="24"/>
              </w:rPr>
              <w:lastRenderedPageBreak/>
              <w:t xml:space="preserve">125.2. atsevišķu darba operāciju vai darba procesu tehnoloģisko kontroli, saskaņā </w:t>
            </w:r>
            <w:r w:rsidRPr="0098216B">
              <w:rPr>
                <w:b/>
                <w:sz w:val="24"/>
                <w:szCs w:val="24"/>
              </w:rPr>
              <w:t>ar standartiem un materiālu ražotāju vai citiem būvdarbu tehnoloģiskiem aprakstiem;</w:t>
            </w:r>
            <w:r w:rsidRPr="0098216B">
              <w:rPr>
                <w:sz w:val="24"/>
                <w:szCs w:val="24"/>
              </w:rPr>
              <w:br/>
            </w:r>
            <w:r w:rsidRPr="0098216B">
              <w:rPr>
                <w:sz w:val="24"/>
                <w:szCs w:val="24"/>
              </w:rPr>
              <w:br/>
              <w:t>[R1]Es teiktu, ka šis jāatstāj, jo tas atbilst LVS EN 1990: B pielikums B.6. Execution quality un B.7 Execution quality</w:t>
            </w:r>
            <w:r w:rsidRPr="0098216B">
              <w:rPr>
                <w:sz w:val="24"/>
                <w:szCs w:val="24"/>
              </w:rPr>
              <w:br/>
            </w:r>
            <w:r w:rsidRPr="0098216B">
              <w:rPr>
                <w:sz w:val="24"/>
                <w:szCs w:val="24"/>
              </w:rPr>
              <w:br/>
            </w:r>
            <w:r w:rsidRPr="0098216B">
              <w:rPr>
                <w:b/>
                <w:sz w:val="24"/>
                <w:szCs w:val="24"/>
              </w:rPr>
              <w:t>24-TA-434</w:t>
            </w:r>
            <w:r w:rsidRPr="0098216B">
              <w:rPr>
                <w:sz w:val="24"/>
                <w:szCs w:val="24"/>
              </w:rPr>
              <w:br/>
            </w:r>
            <w:r w:rsidRPr="0098216B">
              <w:rPr>
                <w:b/>
                <w:sz w:val="24"/>
                <w:szCs w:val="24"/>
              </w:rPr>
              <w:t>Piedāvājums pēc standartu principiem, papildināt Mk. not. ar :</w:t>
            </w:r>
            <w:r w:rsidRPr="0098216B">
              <w:rPr>
                <w:sz w:val="24"/>
                <w:szCs w:val="24"/>
              </w:rPr>
              <w:t xml:space="preserve"> P. 125.4. Nozīmīgo konstrukciju pieņemšanas aktus sagatavo par </w:t>
            </w:r>
            <w:r w:rsidRPr="0098216B">
              <w:rPr>
                <w:b/>
                <w:sz w:val="24"/>
                <w:szCs w:val="24"/>
              </w:rPr>
              <w:t>pabeigtu</w:t>
            </w:r>
            <w:r w:rsidRPr="0098216B">
              <w:rPr>
                <w:sz w:val="24"/>
                <w:szCs w:val="24"/>
              </w:rPr>
              <w:t xml:space="preserve"> būves nesošo konstrukciju būvniecību. Būvniecības ierosinātājs un galvenais būvdarbu veicējs pirms būvdarbu uzsākšanas var vienoties par papildus nozīmīgo konstrukciju pieņemšanas aktu sarakstu, ievērojot būvdarbu veicēja iekšējo būvdarbu kvalitātes kontroles sistēmu </w:t>
            </w:r>
            <w:r w:rsidRPr="0098216B">
              <w:rPr>
                <w:b/>
                <w:sz w:val="24"/>
                <w:szCs w:val="24"/>
              </w:rPr>
              <w:t>un būvuzrauga plānu</w:t>
            </w:r>
            <w:r w:rsidRPr="0098216B">
              <w:rPr>
                <w:sz w:val="24"/>
                <w:szCs w:val="24"/>
              </w:rPr>
              <w:t xml:space="preserve">. Nozīmīgo konstrukciju pieņemšanas aktu sarakstu pievieno darbu veikšanas projektam, </w:t>
            </w:r>
            <w:r w:rsidRPr="0098216B">
              <w:rPr>
                <w:b/>
                <w:sz w:val="24"/>
                <w:szCs w:val="24"/>
              </w:rPr>
              <w:t>būvuzrauga plānam</w:t>
            </w:r>
            <w:r w:rsidRPr="0098216B">
              <w:rPr>
                <w:sz w:val="24"/>
                <w:szCs w:val="24"/>
              </w:rPr>
              <w:t xml:space="preserve"> vai būvdarbu žurnālam.</w:t>
            </w:r>
            <w:r w:rsidRPr="0098216B">
              <w:rPr>
                <w:sz w:val="24"/>
                <w:szCs w:val="24"/>
              </w:rPr>
              <w:br/>
            </w:r>
            <w:r w:rsidRPr="0098216B">
              <w:rPr>
                <w:sz w:val="24"/>
                <w:szCs w:val="24"/>
              </w:rPr>
              <w:br/>
              <w:t> [R1]Loģisks turpinājums punktam 125.3., kad veiktas visas atsevišķu darbu operācijas saskaņā ar standartu prasībām, kā noslēguma kontrole varētu būt Nozīmīgo konstrukciju pieņemšanas akts.</w:t>
            </w:r>
            <w:r w:rsidRPr="0098216B">
              <w:rPr>
                <w:sz w:val="24"/>
                <w:szCs w:val="24"/>
              </w:rPr>
              <w:br/>
            </w:r>
            <w:r w:rsidRPr="0098216B">
              <w:rPr>
                <w:sz w:val="24"/>
                <w:szCs w:val="24"/>
              </w:rPr>
              <w:br/>
            </w:r>
            <w:r w:rsidRPr="0098216B">
              <w:rPr>
                <w:b/>
                <w:sz w:val="24"/>
                <w:szCs w:val="24"/>
              </w:rPr>
              <w:t>24-TA-434Piedāvājums pēc standartu principiem, izteikt šādi:</w:t>
            </w:r>
            <w:r w:rsidRPr="0098216B">
              <w:rPr>
                <w:sz w:val="24"/>
                <w:szCs w:val="24"/>
              </w:rPr>
              <w:t xml:space="preserve"> “128. Būvdarbus var turpināt, ja būvdarbu veicējs būvniecības informācijas sistēmā ir izveidojis un nodevis apstiprināšanai nozīmīgo konstrukciju un ugunsdrošībai nozīmīgas inženiertehniskās sistēmas pieņemšanas aktu. Ja būvuzraugs vai autoruzraugs konstatē veikto darbu neatbilstību būvniecības ieceres dokumentācijai vai </w:t>
            </w:r>
            <w:r w:rsidRPr="0098216B">
              <w:rPr>
                <w:b/>
                <w:sz w:val="24"/>
                <w:szCs w:val="24"/>
              </w:rPr>
              <w:t xml:space="preserve">standartiem, materiālu ražotāju </w:t>
            </w:r>
            <w:r w:rsidRPr="0098216B">
              <w:rPr>
                <w:sz w:val="24"/>
                <w:szCs w:val="24"/>
              </w:rPr>
              <w:t xml:space="preserve">vai būvdarbu tehnoloģijas </w:t>
            </w:r>
            <w:r w:rsidRPr="0098216B">
              <w:rPr>
                <w:sz w:val="24"/>
                <w:szCs w:val="24"/>
              </w:rPr>
              <w:lastRenderedPageBreak/>
              <w:t>prasībām, turpmākie darbi jāpārtrauc un jāveic attiecīgs ieraksts būvdarbu žurnālā, norādot izpildes termiņu.</w:t>
            </w:r>
            <w:r w:rsidRPr="0098216B">
              <w:rPr>
                <w:sz w:val="24"/>
                <w:szCs w:val="24"/>
              </w:rPr>
              <w:br/>
            </w:r>
            <w:r w:rsidRPr="0098216B">
              <w:rPr>
                <w:sz w:val="24"/>
                <w:szCs w:val="24"/>
              </w:rPr>
              <w:br/>
            </w:r>
            <w:r w:rsidRPr="0098216B">
              <w:rPr>
                <w:b/>
                <w:sz w:val="24"/>
                <w:szCs w:val="24"/>
              </w:rPr>
              <w:t>Piedāvājums:  papildināt Būvniecības likuma Adminstratīvo atbildību sarakstu, piemēram:</w:t>
            </w:r>
            <w:r w:rsidRPr="0098216B">
              <w:rPr>
                <w:sz w:val="24"/>
                <w:szCs w:val="24"/>
              </w:rPr>
              <w:br/>
            </w:r>
            <w:r w:rsidRPr="0098216B">
              <w:rPr>
                <w:sz w:val="24"/>
                <w:szCs w:val="24"/>
              </w:rPr>
              <w:br/>
              <w:t>Administratīvā atbildība par būvdarbu veikšanu, bez uzņēmuma izstrādātas būvdarbu kvalitātes kontroles sistēmas, tās neesamību vai nepietiekamību atbilstoši ēku būvnoteikumu 125. punkam.</w:t>
            </w:r>
            <w:r w:rsidRPr="0098216B">
              <w:rPr>
                <w:sz w:val="24"/>
                <w:szCs w:val="24"/>
              </w:rPr>
              <w:br/>
            </w:r>
            <w:r w:rsidRPr="0098216B">
              <w:rPr>
                <w:sz w:val="24"/>
                <w:szCs w:val="24"/>
              </w:rPr>
              <w:br/>
              <w:t>Par būvdarbu veikšanu, bez uzņēmuma izstrādātas būvdarbu kvalitātes kontroles sistēmas, tās  neesamību vai nepietiekamību atbilstoši ēku būvnoteikumu 125. punkam, piemēro naudas sodu juridiskajai personai līdz tūkstoš naudas soda vienībām.</w:t>
            </w:r>
            <w:r w:rsidRPr="0098216B">
              <w:rPr>
                <w:sz w:val="24"/>
                <w:szCs w:val="24"/>
              </w:rPr>
              <w:br/>
            </w:r>
            <w:r w:rsidRPr="0098216B">
              <w:rPr>
                <w:sz w:val="24"/>
                <w:szCs w:val="24"/>
              </w:rPr>
              <w:br/>
              <w:t> [R1]Principā šobrīd praksē vērojama situācija, ka esošā likumdošana neveicina būvuzņēmējiem izstrādāt efektīvu kvalitātes kontroles sistēmu un uzņemties atbildību par tās ievērošanu, t.sk kvalitāti un drošumu. Bieži būvuzņēmēju biznesa interesēs neapskaužamā situācijā tiek nostādīti tieši atbildīgie būvspeciālisti. Ir vērojams, ka būvuzņēmējiem ir izdevīgāk neievērot prasības, bet nomainīt atbildīgos būvspeciālistus. Netiek nodrošināta pietiekama izsekojamība.</w:t>
            </w:r>
            <w:r w:rsidRPr="0098216B">
              <w:rPr>
                <w:sz w:val="24"/>
                <w:szCs w:val="24"/>
              </w:rPr>
              <w:br/>
              <w:t>Ja nav iekšējo procesu izsekojamības un atbildības par to nodrošināšanu uzņēmumiem, tad  arī nevarēs noteikt atbildīgos reglamentētās sfērās.</w:t>
            </w:r>
            <w:r w:rsidRPr="0098216B">
              <w:rPr>
                <w:sz w:val="24"/>
                <w:szCs w:val="24"/>
              </w:rPr>
              <w:br/>
            </w:r>
            <w:r w:rsidRPr="0098216B">
              <w:rPr>
                <w:sz w:val="24"/>
                <w:szCs w:val="24"/>
              </w:rPr>
              <w:br/>
            </w:r>
            <w:r w:rsidRPr="0098216B">
              <w:rPr>
                <w:b/>
                <w:sz w:val="24"/>
                <w:szCs w:val="24"/>
              </w:rPr>
              <w:t>Vai Ekonomikas ministrija, būvvaldes un BVKB redz, kā letālu seku gadījumā varēs identificēt problēmu cēloņus un noteikt būvniecības dalībnieku atbildību???</w:t>
            </w:r>
            <w:r w:rsidRPr="0098216B">
              <w:rPr>
                <w:sz w:val="24"/>
                <w:szCs w:val="24"/>
              </w:rPr>
              <w:br/>
            </w:r>
            <w:r w:rsidRPr="0098216B">
              <w:rPr>
                <w:sz w:val="24"/>
                <w:szCs w:val="24"/>
              </w:rPr>
              <w:lastRenderedPageBreak/>
              <w:br/>
              <w:t>Skaidrības nolūkos, normatīvos aktos būtu precīzāk jādefinē prasības uzņēmumu iekšējai kvalitātes kontrolei, izsekojamībai, adminstratīvai atbildībai par to neievērošanu, kā arī vismaz piekļuvei šai iekšējai dokumentācijai no Būvvalžu, BVKB un Pasūtītāja puses, letālu seku vai būtisku pārkāpumu gadījumā.</w:t>
            </w:r>
            <w:r w:rsidRPr="0098216B">
              <w:rPr>
                <w:b/>
                <w:sz w:val="24"/>
                <w:szCs w:val="24"/>
              </w:rPr>
              <w:t xml:space="preserve"> Šobrīd šadu prasību nav!</w:t>
            </w:r>
            <w:r w:rsidRPr="0098216B">
              <w:rPr>
                <w:sz w:val="24"/>
                <w:szCs w:val="24"/>
              </w:rPr>
              <w:br/>
            </w:r>
            <w:r w:rsidRPr="0098216B">
              <w:rPr>
                <w:b/>
                <w:sz w:val="24"/>
                <w:szCs w:val="24"/>
              </w:rPr>
              <w:t>Piemēram</w:t>
            </w:r>
            <w:r w:rsidRPr="0098216B">
              <w:rPr>
                <w:sz w:val="24"/>
                <w:szCs w:val="24"/>
              </w:rPr>
              <w:t xml:space="preserve"> ražotājus kontrolē kompetentā institucija kas izdevusi ražošanas kontroles procesa sertifikātu, tā arī reizi gadā vai līdz 5 gadiem pārbauda ražotāja būtisko procesu ievērošanu saskaņā ar standartu un neatbilstību gadījumā to var apturēt, </w:t>
            </w:r>
            <w:r w:rsidRPr="0098216B">
              <w:rPr>
                <w:b/>
                <w:sz w:val="24"/>
                <w:szCs w:val="24"/>
              </w:rPr>
              <w:t>bet būvuzņēmēju būvdarbu kvalitātes kontroles sistēmu un procesu atbilstību (kaut kam) t.sk tās ievērošanu neviens nekontrolē.</w:t>
            </w:r>
            <w:r w:rsidRPr="0098216B">
              <w:rPr>
                <w:sz w:val="24"/>
                <w:szCs w:val="24"/>
              </w:rPr>
              <w:t xml:space="preserve"> Visi slēpjas aiz ISO 9001, bet kā zināms no eirokodeksu saimes standartiem, ISO 9001 ir tikai priekšnosacījums būvdarbu kvalitātes kontroles sistēmas izveidei. </w:t>
            </w:r>
            <w:r w:rsidRPr="0098216B">
              <w:rPr>
                <w:sz w:val="24"/>
                <w:szCs w:val="24"/>
              </w:rPr>
              <w:br/>
            </w:r>
            <w:r w:rsidRPr="0098216B">
              <w:rPr>
                <w:sz w:val="24"/>
                <w:szCs w:val="24"/>
              </w:rPr>
              <w:br/>
              <w:t>Nevajadzētu izlikties ka ar šiem grozijumiem viss tiks atrisināts, tikai radīts iespaids ka tā ir, bet faktiski būs vēl grūtāk kādam uzticēties un procesi necaurskatāmi. Lūgums iepazīties vismaz ar LVS EN 1990 Eirokodeksa principiem atiecībā uz drošumu un kvalitāti.</w:t>
            </w:r>
            <w:r w:rsidRPr="0098216B">
              <w:rPr>
                <w:sz w:val="24"/>
                <w:szCs w:val="24"/>
              </w:rPr>
              <w:br/>
            </w:r>
            <w:r w:rsidRPr="0098216B">
              <w:rPr>
                <w:sz w:val="24"/>
                <w:szCs w:val="24"/>
              </w:rPr>
              <w:br/>
              <w:t>Ir atbalstāma birokrātijas mazināšana, bet vairāk jāraugas automatizācijas virzienā, uzņēmumiem jāveicina izmantot rīkus kas palīdz ģenerēt atskaites un efektivizēt iekšējos procesus.</w:t>
            </w:r>
            <w:r w:rsidRPr="0098216B">
              <w:rPr>
                <w:sz w:val="24"/>
                <w:szCs w:val="24"/>
              </w:rPr>
              <w:br/>
            </w:r>
          </w:p>
        </w:tc>
        <w:tc>
          <w:tcPr>
            <w:tcW w:w="1350" w:type="dxa"/>
            <w:shd w:val="clear" w:color="auto" w:fill="FFFFFF"/>
            <w:noWrap/>
            <w:tcMar>
              <w:top w:w="75" w:type="dxa"/>
              <w:left w:w="75" w:type="dxa"/>
              <w:bottom w:w="75" w:type="dxa"/>
              <w:right w:w="75" w:type="dxa"/>
            </w:tcMar>
          </w:tcPr>
          <w:p w14:paraId="31EC2E05" w14:textId="44E3FFB5" w:rsidR="00C67304" w:rsidRPr="0098216B" w:rsidRDefault="0098216B" w:rsidP="0098216B">
            <w:pPr>
              <w:jc w:val="left"/>
              <w:rPr>
                <w:sz w:val="24"/>
                <w:szCs w:val="24"/>
              </w:rPr>
            </w:pPr>
            <w:r w:rsidRPr="0098216B">
              <w:rPr>
                <w:sz w:val="24"/>
                <w:szCs w:val="24"/>
              </w:rPr>
              <w:lastRenderedPageBreak/>
              <w:t>Nav ņemts vērā</w:t>
            </w:r>
          </w:p>
        </w:tc>
        <w:tc>
          <w:tcPr>
            <w:tcW w:w="4156" w:type="dxa"/>
            <w:shd w:val="clear" w:color="auto" w:fill="FFFFFF"/>
            <w:noWrap/>
            <w:tcMar>
              <w:top w:w="75" w:type="dxa"/>
              <w:left w:w="75" w:type="dxa"/>
              <w:bottom w:w="75" w:type="dxa"/>
              <w:right w:w="75" w:type="dxa"/>
            </w:tcMar>
          </w:tcPr>
          <w:p w14:paraId="59E42FBC" w14:textId="53AA2571" w:rsidR="0098216B" w:rsidRDefault="0098216B" w:rsidP="0098216B">
            <w:pPr>
              <w:jc w:val="left"/>
              <w:rPr>
                <w:sz w:val="24"/>
                <w:szCs w:val="24"/>
              </w:rPr>
            </w:pPr>
            <w:r>
              <w:rPr>
                <w:sz w:val="24"/>
                <w:szCs w:val="24"/>
              </w:rPr>
              <w:t>Piedāvātais regulējums ir pārrunāts ar Latvijas Būvinženieru savienības pārstāvjiem, kā arī ir notikušas tikšanās ar būvdarbu vadītājiem un būvuzraugiem.</w:t>
            </w:r>
            <w:r w:rsidR="00F24396">
              <w:rPr>
                <w:sz w:val="24"/>
                <w:szCs w:val="24"/>
              </w:rPr>
              <w:t xml:space="preserve"> Latvijas Būvuzņēmēju apvienības arī atbalsta grozījumus. Sanāksmēs ir pausts atbalsts piedāvātajam regulējumam.</w:t>
            </w:r>
          </w:p>
          <w:p w14:paraId="2F4E1C22" w14:textId="3792D63D" w:rsidR="0098216B" w:rsidRPr="00F24396" w:rsidRDefault="00F24396" w:rsidP="0098216B">
            <w:pPr>
              <w:jc w:val="left"/>
              <w:rPr>
                <w:bCs/>
                <w:sz w:val="24"/>
                <w:szCs w:val="24"/>
              </w:rPr>
            </w:pPr>
            <w:r>
              <w:rPr>
                <w:sz w:val="24"/>
                <w:szCs w:val="24"/>
              </w:rPr>
              <w:t xml:space="preserve">Ekonomikas ministrija norāda, ka jau šobrīd </w:t>
            </w:r>
            <w:r w:rsidRPr="00F24396">
              <w:rPr>
                <w:bCs/>
                <w:sz w:val="24"/>
                <w:szCs w:val="24"/>
              </w:rPr>
              <w:t xml:space="preserve">Ministru kabineta 2014.gada 2.septembra noteikumos Nr.529 “Ēku būvnoteikumi” </w:t>
            </w:r>
            <w:r>
              <w:rPr>
                <w:bCs/>
                <w:sz w:val="24"/>
                <w:szCs w:val="24"/>
              </w:rPr>
              <w:t>ir noteikts, ka gan projektēšanā, gan būvdarbos ir jāievēro standartos noteiktās prasības.</w:t>
            </w:r>
          </w:p>
          <w:p w14:paraId="4BEA01F7" w14:textId="77777777" w:rsidR="0098216B" w:rsidRDefault="0098216B" w:rsidP="0098216B">
            <w:pPr>
              <w:jc w:val="left"/>
              <w:rPr>
                <w:sz w:val="24"/>
                <w:szCs w:val="24"/>
              </w:rPr>
            </w:pPr>
          </w:p>
          <w:p w14:paraId="68F509F5" w14:textId="4C78B9A1" w:rsidR="00F24396" w:rsidRPr="00F24396" w:rsidRDefault="00F24396" w:rsidP="0098216B">
            <w:pPr>
              <w:jc w:val="left"/>
              <w:rPr>
                <w:i/>
                <w:iCs/>
                <w:sz w:val="24"/>
                <w:szCs w:val="24"/>
              </w:rPr>
            </w:pPr>
            <w:r w:rsidRPr="00F24396">
              <w:rPr>
                <w:i/>
                <w:iCs/>
                <w:sz w:val="24"/>
                <w:szCs w:val="24"/>
              </w:rPr>
              <w:t xml:space="preserve">65. Būvprojektu var izstrādāt, piemērojot Eiropas Savienības dalībvalstu nacionālo standartu un būvnormatīvu tehniskās prasības, bet tās nedrīkst pazemināt ēkai nacionālajos normatīvajos aktos noteiktās būtiskās prasības. Nav pieļaujama vairāku Eiropas Savienības dalībvalstu nacionālo standartu vai būvnormatīvu vienlaikus piemērošana viena konstruktīvā elementa vai vienas </w:t>
            </w:r>
            <w:r w:rsidRPr="00F24396">
              <w:rPr>
                <w:i/>
                <w:iCs/>
                <w:sz w:val="24"/>
                <w:szCs w:val="24"/>
              </w:rPr>
              <w:lastRenderedPageBreak/>
              <w:t>inženiertehniskās sistēmas projektēšanā viena objekta būvprojektā.</w:t>
            </w:r>
          </w:p>
          <w:p w14:paraId="6E157409" w14:textId="77777777" w:rsidR="00F24396" w:rsidRPr="00F24396" w:rsidRDefault="00F24396" w:rsidP="0098216B">
            <w:pPr>
              <w:jc w:val="left"/>
              <w:rPr>
                <w:i/>
                <w:iCs/>
                <w:sz w:val="24"/>
                <w:szCs w:val="24"/>
              </w:rPr>
            </w:pPr>
          </w:p>
          <w:p w14:paraId="6395F237" w14:textId="77777777" w:rsidR="00C67304" w:rsidRDefault="0098216B" w:rsidP="0098216B">
            <w:pPr>
              <w:jc w:val="left"/>
              <w:rPr>
                <w:i/>
                <w:iCs/>
                <w:sz w:val="24"/>
                <w:szCs w:val="24"/>
              </w:rPr>
            </w:pPr>
            <w:r w:rsidRPr="00F24396">
              <w:rPr>
                <w:i/>
                <w:iCs/>
                <w:sz w:val="24"/>
                <w:szCs w:val="24"/>
              </w:rPr>
              <w:t>124. Par būvdarbu kvalitāti ir atbildīgs būvdarbu veicējs. Būvdarbu kvalitāte nedrīkst būt zemāka par Latvijas būvnormatīvos un attiecīgajos standartos, apbūves noteikumos un citos normatīvajos aktos vai būvdarbu līgumā noteiktajiem būvdarbu kvalitātes rādītājiem.</w:t>
            </w:r>
          </w:p>
          <w:p w14:paraId="067F1D23" w14:textId="77777777" w:rsidR="00C1567E" w:rsidRDefault="00C1567E" w:rsidP="0098216B">
            <w:pPr>
              <w:jc w:val="left"/>
              <w:rPr>
                <w:i/>
                <w:iCs/>
                <w:sz w:val="24"/>
                <w:szCs w:val="24"/>
              </w:rPr>
            </w:pPr>
          </w:p>
          <w:p w14:paraId="4CAE4EC1" w14:textId="39974AE8" w:rsidR="00C1567E" w:rsidRPr="00C1567E" w:rsidRDefault="00C1567E" w:rsidP="0098216B">
            <w:pPr>
              <w:jc w:val="left"/>
              <w:rPr>
                <w:sz w:val="24"/>
                <w:szCs w:val="24"/>
              </w:rPr>
            </w:pPr>
            <w:r w:rsidRPr="00C1567E">
              <w:rPr>
                <w:sz w:val="24"/>
                <w:szCs w:val="24"/>
              </w:rPr>
              <w:t xml:space="preserve">Piedāvātais regulējums </w:t>
            </w:r>
            <w:r>
              <w:rPr>
                <w:sz w:val="24"/>
                <w:szCs w:val="24"/>
              </w:rPr>
              <w:t xml:space="preserve">nenosaka to, kādus būvdarbus būs jāpieņem, sastādot aktu, bet paredz, ka būs par to jāvienojas rakstiski (sagatavojot sarakstu). Aktus veidos būvniecības informācijas sistēmā no ikdienas ierakstiem, atsakoties no līdz šim esošas prakses, ka aktus veido no aktiem. </w:t>
            </w:r>
          </w:p>
        </w:tc>
      </w:tr>
      <w:tr w:rsidR="00C67304" w:rsidRPr="0098216B" w14:paraId="2615731D" w14:textId="77777777" w:rsidTr="0098216B">
        <w:tc>
          <w:tcPr>
            <w:tcW w:w="750" w:type="dxa"/>
            <w:shd w:val="clear" w:color="auto" w:fill="FFFFFF"/>
            <w:noWrap/>
            <w:tcMar>
              <w:top w:w="75" w:type="dxa"/>
              <w:left w:w="75" w:type="dxa"/>
              <w:bottom w:w="75" w:type="dxa"/>
              <w:right w:w="75" w:type="dxa"/>
            </w:tcMar>
          </w:tcPr>
          <w:p w14:paraId="468B2918" w14:textId="77777777" w:rsidR="00C67304" w:rsidRPr="0098216B" w:rsidRDefault="00000000" w:rsidP="0098216B">
            <w:pPr>
              <w:jc w:val="left"/>
              <w:rPr>
                <w:sz w:val="24"/>
                <w:szCs w:val="24"/>
              </w:rPr>
            </w:pPr>
            <w:r w:rsidRPr="0098216B">
              <w:rPr>
                <w:sz w:val="24"/>
                <w:szCs w:val="24"/>
              </w:rPr>
              <w:lastRenderedPageBreak/>
              <w:t>2.</w:t>
            </w:r>
          </w:p>
        </w:tc>
        <w:tc>
          <w:tcPr>
            <w:tcW w:w="2221" w:type="dxa"/>
            <w:shd w:val="clear" w:color="auto" w:fill="FFFFFF"/>
            <w:noWrap/>
            <w:tcMar>
              <w:top w:w="75" w:type="dxa"/>
              <w:left w:w="75" w:type="dxa"/>
              <w:bottom w:w="75" w:type="dxa"/>
              <w:right w:w="75" w:type="dxa"/>
            </w:tcMar>
          </w:tcPr>
          <w:p w14:paraId="63B44772" w14:textId="77777777" w:rsidR="00C67304" w:rsidRPr="0098216B" w:rsidRDefault="00000000" w:rsidP="0098216B">
            <w:pPr>
              <w:jc w:val="left"/>
              <w:rPr>
                <w:sz w:val="24"/>
                <w:szCs w:val="24"/>
              </w:rPr>
            </w:pPr>
            <w:r w:rsidRPr="0098216B">
              <w:rPr>
                <w:sz w:val="24"/>
                <w:szCs w:val="24"/>
              </w:rPr>
              <w:t>Būvuzraugs, Rihards Ābols</w:t>
            </w:r>
          </w:p>
        </w:tc>
        <w:tc>
          <w:tcPr>
            <w:tcW w:w="6090" w:type="dxa"/>
            <w:shd w:val="clear" w:color="auto" w:fill="FFFFFF"/>
            <w:noWrap/>
            <w:tcMar>
              <w:top w:w="75" w:type="dxa"/>
              <w:left w:w="75" w:type="dxa"/>
              <w:bottom w:w="75" w:type="dxa"/>
              <w:right w:w="75" w:type="dxa"/>
            </w:tcMar>
          </w:tcPr>
          <w:p w14:paraId="1625D66E" w14:textId="77777777" w:rsidR="00C67304" w:rsidRPr="0098216B" w:rsidRDefault="00000000" w:rsidP="0098216B">
            <w:pPr>
              <w:jc w:val="left"/>
              <w:rPr>
                <w:sz w:val="24"/>
                <w:szCs w:val="24"/>
              </w:rPr>
            </w:pPr>
            <w:r w:rsidRPr="0098216B">
              <w:rPr>
                <w:sz w:val="24"/>
                <w:szCs w:val="24"/>
              </w:rPr>
              <w:t>Papildinot iepriekš izteiktos komentārus par Projektu 24-TA-434</w:t>
            </w:r>
            <w:r w:rsidRPr="0098216B">
              <w:rPr>
                <w:sz w:val="24"/>
                <w:szCs w:val="24"/>
              </w:rPr>
              <w:br/>
            </w:r>
            <w:r w:rsidRPr="0098216B">
              <w:rPr>
                <w:sz w:val="24"/>
                <w:szCs w:val="24"/>
              </w:rPr>
              <w:br/>
            </w:r>
            <w:r w:rsidRPr="0098216B">
              <w:rPr>
                <w:sz w:val="24"/>
                <w:szCs w:val="24"/>
              </w:rPr>
              <w:lastRenderedPageBreak/>
              <w:t xml:space="preserve">Piedāvājums pēc standartu principiem papildināt  punktu 125. un izteikt šādi:: 125. Būvdarbu kvalitātes kontroles sistēmu katrs uzņēmums izstrādā atbilstoši savam profilam, veicamo darbu veidam un apjomam, </w:t>
            </w:r>
            <w:r w:rsidRPr="0098216B">
              <w:rPr>
                <w:b/>
                <w:sz w:val="24"/>
                <w:szCs w:val="24"/>
              </w:rPr>
              <w:t>nodrošina būvdarbu procesa izsekojamību, lai izvairītos no rupjām kļūdām. Būvdarbu kvalitātes kontrole ietver:</w:t>
            </w:r>
            <w:r w:rsidRPr="0098216B">
              <w:rPr>
                <w:sz w:val="24"/>
                <w:szCs w:val="24"/>
              </w:rPr>
              <w:br/>
            </w:r>
            <w:r w:rsidRPr="0098216B">
              <w:rPr>
                <w:sz w:val="24"/>
                <w:szCs w:val="24"/>
              </w:rPr>
              <w:br/>
              <w:t> [R1]Saskaņā ar EC 1990: p. 4.2 Structural reliability</w:t>
            </w:r>
            <w:r w:rsidRPr="0098216B">
              <w:rPr>
                <w:sz w:val="24"/>
                <w:szCs w:val="24"/>
              </w:rPr>
              <w:br/>
            </w:r>
            <w:r w:rsidRPr="0098216B">
              <w:rPr>
                <w:sz w:val="24"/>
                <w:szCs w:val="24"/>
              </w:rPr>
              <w:br/>
            </w:r>
          </w:p>
        </w:tc>
        <w:tc>
          <w:tcPr>
            <w:tcW w:w="1350" w:type="dxa"/>
            <w:shd w:val="clear" w:color="auto" w:fill="FFFFFF"/>
            <w:noWrap/>
            <w:tcMar>
              <w:top w:w="75" w:type="dxa"/>
              <w:left w:w="75" w:type="dxa"/>
              <w:bottom w:w="75" w:type="dxa"/>
              <w:right w:w="75" w:type="dxa"/>
            </w:tcMar>
          </w:tcPr>
          <w:p w14:paraId="449FF0A9" w14:textId="77777777" w:rsidR="00C67304" w:rsidRPr="0098216B" w:rsidRDefault="00C67304" w:rsidP="0098216B">
            <w:pPr>
              <w:jc w:val="left"/>
              <w:rPr>
                <w:sz w:val="24"/>
                <w:szCs w:val="24"/>
              </w:rPr>
            </w:pPr>
          </w:p>
        </w:tc>
        <w:tc>
          <w:tcPr>
            <w:tcW w:w="4156" w:type="dxa"/>
            <w:shd w:val="clear" w:color="auto" w:fill="FFFFFF"/>
            <w:noWrap/>
            <w:tcMar>
              <w:top w:w="75" w:type="dxa"/>
              <w:left w:w="75" w:type="dxa"/>
              <w:bottom w:w="75" w:type="dxa"/>
              <w:right w:w="75" w:type="dxa"/>
            </w:tcMar>
          </w:tcPr>
          <w:p w14:paraId="46E04DCC" w14:textId="77777777" w:rsidR="00C67304" w:rsidRPr="0098216B" w:rsidRDefault="00C67304" w:rsidP="0098216B">
            <w:pPr>
              <w:jc w:val="left"/>
              <w:rPr>
                <w:sz w:val="24"/>
                <w:szCs w:val="24"/>
              </w:rPr>
            </w:pPr>
          </w:p>
        </w:tc>
      </w:tr>
    </w:tbl>
    <w:p w14:paraId="1FEDD782" w14:textId="77777777" w:rsidR="00224F2E" w:rsidRPr="0098216B" w:rsidRDefault="00224F2E">
      <w:pPr>
        <w:rPr>
          <w:sz w:val="24"/>
          <w:szCs w:val="24"/>
        </w:rPr>
      </w:pPr>
    </w:p>
    <w:sectPr w:rsidR="00224F2E" w:rsidRPr="0098216B">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BFF14" w14:textId="77777777" w:rsidR="003350DF" w:rsidRDefault="003350DF">
      <w:r>
        <w:separator/>
      </w:r>
    </w:p>
  </w:endnote>
  <w:endnote w:type="continuationSeparator" w:id="0">
    <w:p w14:paraId="16E23F5B" w14:textId="77777777" w:rsidR="003350DF" w:rsidRDefault="00335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3CA37" w14:textId="77777777" w:rsidR="00C67304" w:rsidRDefault="00000000">
    <w:pPr>
      <w:jc w:val="right"/>
    </w:pPr>
    <w:r>
      <w:rPr>
        <w:sz w:val="24"/>
        <w:szCs w:val="24"/>
      </w:rPr>
      <w:fldChar w:fldCharType="begin"/>
    </w:r>
    <w:r>
      <w:rPr>
        <w:sz w:val="24"/>
        <w:szCs w:val="24"/>
      </w:rPr>
      <w:instrText>PAGE</w:instrText>
    </w:r>
    <w:r>
      <w:rPr>
        <w:sz w:val="24"/>
        <w:szCs w:val="24"/>
      </w:rPr>
      <w:fldChar w:fldCharType="separate"/>
    </w:r>
    <w:r w:rsidR="002A7E64">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F3E79" w14:textId="77777777" w:rsidR="00146C1B"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44BA5" w14:textId="77777777" w:rsidR="003350DF" w:rsidRDefault="003350DF">
      <w:r>
        <w:separator/>
      </w:r>
    </w:p>
  </w:footnote>
  <w:footnote w:type="continuationSeparator" w:id="0">
    <w:p w14:paraId="2574A67E" w14:textId="77777777" w:rsidR="003350DF" w:rsidRDefault="00335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F4DF2" w14:textId="77777777" w:rsidR="00C67304" w:rsidRDefault="00000000">
    <w:pPr>
      <w:pStyle w:val="Header"/>
      <w:contextualSpacing w:val="0"/>
    </w:pPr>
    <w:r>
      <w:t>Viedokļu pārskats 24-TA-434</w:t>
    </w:r>
    <w:r>
      <w:br/>
      <w:t>Izdrukāts 18.03.2024. 11.27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BDC73" w14:textId="77777777" w:rsidR="00C67304" w:rsidRDefault="00000000">
    <w:pPr>
      <w:pStyle w:val="Header"/>
      <w:contextualSpacing w:val="0"/>
    </w:pPr>
    <w:r>
      <w:t>Viedokļu pārskats 24-TA-434</w:t>
    </w:r>
    <w:r>
      <w:br/>
      <w:t>Izdrukāts 18.03.2024. 11.27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304"/>
    <w:rsid w:val="00146C1B"/>
    <w:rsid w:val="00224F2E"/>
    <w:rsid w:val="002A7E64"/>
    <w:rsid w:val="003350DF"/>
    <w:rsid w:val="0098216B"/>
    <w:rsid w:val="00C1567E"/>
    <w:rsid w:val="00C67304"/>
    <w:rsid w:val="00E77E4B"/>
    <w:rsid w:val="00F243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16A8A"/>
  <w15:docId w15:val="{B2A39EA8-24BA-46EC-84E3-1F5A39278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1A3A4-6E08-4E14-B292-90539B4F1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5859</Words>
  <Characters>3341</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viedoklu_parskats_24-TA-434.docx</vt:lpstr>
    </vt:vector>
  </TitlesOfParts>
  <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viedoklu_parskats_24-TA-434.docx</dc:title>
  <dc:creator>Elga Bučinska</dc:creator>
  <cp:lastModifiedBy>Elga Bučinska</cp:lastModifiedBy>
  <cp:revision>4</cp:revision>
  <dcterms:created xsi:type="dcterms:W3CDTF">2024-03-18T09:28:00Z</dcterms:created>
  <dcterms:modified xsi:type="dcterms:W3CDTF">2024-05-09T11:27:00Z</dcterms:modified>
</cp:coreProperties>
</file>