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68B2470" w14:textId="77777777" w:rsidR="006717AA" w:rsidRDefault="0008488D">
      <w:pPr>
        <w:spacing w:before="240" w:after="240"/>
        <w:rPr>
          <w:b/>
          <w:sz w:val="28"/>
        </w:rPr>
      </w:pPr>
      <w:r>
        <w:rPr>
          <w:b/>
          <w:sz w:val="28"/>
        </w:rPr>
        <w:t>25-TA-3014: Informatīvais ziņojums (Jauns)</w:t>
      </w:r>
    </w:p>
    <w:p w14:paraId="13019DA7" w14:textId="77777777" w:rsidR="006717AA" w:rsidRDefault="0008488D">
      <w:pPr>
        <w:pStyle w:val="titleparagraph"/>
        <w:contextualSpacing w:val="0"/>
      </w:pPr>
      <w:r>
        <w:t>Par vienotas patērētāju kreditētāju licencēšanas un uzraudzības institūcijas noteikšanu</w:t>
      </w:r>
    </w:p>
    <w:tbl>
      <w:tblPr>
        <w:tblStyle w:val="a"/>
        <w:tblW w:w="14567" w:type="dxa"/>
        <w:tblLayout w:type="fixed"/>
        <w:tblLook w:val="0600" w:firstRow="0" w:lastRow="0" w:firstColumn="0" w:lastColumn="0" w:noHBand="1" w:noVBand="1"/>
      </w:tblPr>
      <w:tblGrid>
        <w:gridCol w:w="2147"/>
        <w:gridCol w:w="12420"/>
      </w:tblGrid>
      <w:tr w:rsidR="006717AA" w14:paraId="0A1C40EC" w14:textId="77777777">
        <w:tc>
          <w:tcPr>
            <w:tcW w:w="4506" w:type="dxa"/>
            <w:shd w:val="clear" w:color="auto" w:fill="FFFFFF"/>
            <w:noWrap/>
            <w:tcMar>
              <w:top w:w="75" w:type="dxa"/>
              <w:left w:w="75" w:type="dxa"/>
              <w:bottom w:w="75" w:type="dxa"/>
              <w:right w:w="75" w:type="dxa"/>
            </w:tcMar>
            <w:vAlign w:val="center"/>
          </w:tcPr>
          <w:p w14:paraId="4009D5A7" w14:textId="77777777" w:rsidR="006717AA" w:rsidRDefault="0008488D">
            <w:r>
              <w:rPr>
                <w:b/>
              </w:rPr>
              <w:t>Iestāde:</w:t>
            </w:r>
          </w:p>
        </w:tc>
        <w:tc>
          <w:tcPr>
            <w:tcW w:w="27042" w:type="dxa"/>
            <w:shd w:val="clear" w:color="auto" w:fill="FFFFFF"/>
            <w:noWrap/>
            <w:tcMar>
              <w:top w:w="75" w:type="dxa"/>
              <w:left w:w="75" w:type="dxa"/>
              <w:bottom w:w="75" w:type="dxa"/>
              <w:right w:w="75" w:type="dxa"/>
            </w:tcMar>
            <w:vAlign w:val="center"/>
          </w:tcPr>
          <w:p w14:paraId="5456342B" w14:textId="53A40438" w:rsidR="006717AA" w:rsidRDefault="002B43AA">
            <w:r w:rsidRPr="002B43AA">
              <w:rPr>
                <w:b/>
              </w:rPr>
              <w:t>AS “</w:t>
            </w:r>
            <w:proofErr w:type="spellStart"/>
            <w:r w:rsidRPr="002B43AA">
              <w:rPr>
                <w:b/>
              </w:rPr>
              <w:t>DelfinGroup</w:t>
            </w:r>
            <w:proofErr w:type="spellEnd"/>
            <w:r w:rsidRPr="002B43AA">
              <w:rPr>
                <w:b/>
              </w:rPr>
              <w:t>”</w:t>
            </w:r>
          </w:p>
        </w:tc>
      </w:tr>
    </w:tbl>
    <w:p w14:paraId="78F35567" w14:textId="77777777" w:rsidR="006717AA" w:rsidRDefault="006717AA"/>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42"/>
        <w:gridCol w:w="2127"/>
        <w:gridCol w:w="5386"/>
        <w:gridCol w:w="4820"/>
        <w:gridCol w:w="1592"/>
      </w:tblGrid>
      <w:tr w:rsidR="006717AA" w14:paraId="606E6DC7" w14:textId="77777777" w:rsidTr="002B43AA">
        <w:tc>
          <w:tcPr>
            <w:tcW w:w="642" w:type="dxa"/>
            <w:shd w:val="clear" w:color="auto" w:fill="FFFFFF"/>
            <w:noWrap/>
            <w:tcMar>
              <w:top w:w="75" w:type="dxa"/>
              <w:left w:w="75" w:type="dxa"/>
              <w:bottom w:w="75" w:type="dxa"/>
              <w:right w:w="75" w:type="dxa"/>
            </w:tcMar>
            <w:vAlign w:val="center"/>
          </w:tcPr>
          <w:p w14:paraId="2A204F0C" w14:textId="77777777" w:rsidR="006717AA" w:rsidRDefault="0008488D">
            <w:pPr>
              <w:jc w:val="center"/>
              <w:rPr>
                <w:b/>
              </w:rPr>
            </w:pPr>
            <w:r>
              <w:rPr>
                <w:b/>
              </w:rPr>
              <w:t>Nr.p.k.</w:t>
            </w:r>
          </w:p>
        </w:tc>
        <w:tc>
          <w:tcPr>
            <w:tcW w:w="2127" w:type="dxa"/>
            <w:shd w:val="clear" w:color="auto" w:fill="FFFFFF"/>
            <w:noWrap/>
            <w:tcMar>
              <w:top w:w="75" w:type="dxa"/>
              <w:left w:w="75" w:type="dxa"/>
              <w:bottom w:w="75" w:type="dxa"/>
              <w:right w:w="75" w:type="dxa"/>
            </w:tcMar>
            <w:vAlign w:val="center"/>
          </w:tcPr>
          <w:p w14:paraId="3485584D" w14:textId="77777777" w:rsidR="006717AA" w:rsidRDefault="0008488D">
            <w:pPr>
              <w:jc w:val="center"/>
              <w:rPr>
                <w:b/>
              </w:rPr>
            </w:pPr>
            <w:r>
              <w:rPr>
                <w:b/>
              </w:rPr>
              <w:t>Saskaņošanai nosūtītā projekta redakcija</w:t>
            </w:r>
          </w:p>
        </w:tc>
        <w:tc>
          <w:tcPr>
            <w:tcW w:w="5386" w:type="dxa"/>
            <w:shd w:val="clear" w:color="auto" w:fill="FFFFFF"/>
            <w:noWrap/>
            <w:tcMar>
              <w:top w:w="75" w:type="dxa"/>
              <w:left w:w="75" w:type="dxa"/>
              <w:bottom w:w="75" w:type="dxa"/>
              <w:right w:w="75" w:type="dxa"/>
            </w:tcMar>
            <w:vAlign w:val="center"/>
          </w:tcPr>
          <w:p w14:paraId="7A994CBF" w14:textId="77777777" w:rsidR="006717AA" w:rsidRDefault="0008488D">
            <w:pPr>
              <w:jc w:val="center"/>
              <w:rPr>
                <w:b/>
              </w:rPr>
            </w:pPr>
            <w:r>
              <w:rPr>
                <w:b/>
              </w:rPr>
              <w:t>Iebildums / Priekšlikums</w:t>
            </w:r>
          </w:p>
        </w:tc>
        <w:tc>
          <w:tcPr>
            <w:tcW w:w="4820" w:type="dxa"/>
            <w:shd w:val="clear" w:color="auto" w:fill="FFFFFF"/>
            <w:noWrap/>
            <w:tcMar>
              <w:top w:w="75" w:type="dxa"/>
              <w:left w:w="75" w:type="dxa"/>
              <w:bottom w:w="75" w:type="dxa"/>
              <w:right w:w="75" w:type="dxa"/>
            </w:tcMar>
            <w:vAlign w:val="center"/>
          </w:tcPr>
          <w:p w14:paraId="6622463A" w14:textId="77777777" w:rsidR="006717AA" w:rsidRDefault="0008488D">
            <w:pPr>
              <w:jc w:val="center"/>
              <w:rPr>
                <w:b/>
              </w:rPr>
            </w:pPr>
            <w:r>
              <w:rPr>
                <w:b/>
              </w:rPr>
              <w:t>Apstrādes informācija</w:t>
            </w:r>
          </w:p>
        </w:tc>
        <w:tc>
          <w:tcPr>
            <w:tcW w:w="1592" w:type="dxa"/>
            <w:shd w:val="clear" w:color="auto" w:fill="FFFFFF"/>
            <w:noWrap/>
            <w:tcMar>
              <w:top w:w="75" w:type="dxa"/>
              <w:left w:w="75" w:type="dxa"/>
              <w:bottom w:w="75" w:type="dxa"/>
              <w:right w:w="75" w:type="dxa"/>
            </w:tcMar>
            <w:vAlign w:val="center"/>
          </w:tcPr>
          <w:p w14:paraId="4BED0F3D" w14:textId="77777777" w:rsidR="006717AA" w:rsidRDefault="0008488D">
            <w:pPr>
              <w:jc w:val="center"/>
              <w:rPr>
                <w:b/>
              </w:rPr>
            </w:pPr>
            <w:r>
              <w:rPr>
                <w:b/>
              </w:rPr>
              <w:t>Galīgā redakcija</w:t>
            </w:r>
          </w:p>
        </w:tc>
      </w:tr>
      <w:tr w:rsidR="006717AA" w14:paraId="5F247C93" w14:textId="77777777" w:rsidTr="002B43AA">
        <w:tc>
          <w:tcPr>
            <w:tcW w:w="14567" w:type="dxa"/>
            <w:gridSpan w:val="5"/>
            <w:shd w:val="clear" w:color="auto" w:fill="FFFFFF"/>
            <w:noWrap/>
            <w:tcMar>
              <w:top w:w="75" w:type="dxa"/>
              <w:left w:w="75" w:type="dxa"/>
              <w:bottom w:w="75" w:type="dxa"/>
              <w:right w:w="75" w:type="dxa"/>
            </w:tcMar>
            <w:vAlign w:val="center"/>
          </w:tcPr>
          <w:p w14:paraId="0776443D" w14:textId="77777777" w:rsidR="006717AA" w:rsidRDefault="0008488D">
            <w:r>
              <w:rPr>
                <w:b/>
              </w:rPr>
              <w:t>Izsludināšana: 19.01.2026. 15:02</w:t>
            </w:r>
          </w:p>
        </w:tc>
      </w:tr>
      <w:tr w:rsidR="006717AA" w14:paraId="5D27FC34" w14:textId="77777777" w:rsidTr="002B43AA">
        <w:tc>
          <w:tcPr>
            <w:tcW w:w="642" w:type="dxa"/>
            <w:shd w:val="clear" w:color="auto" w:fill="FFFFFF"/>
            <w:noWrap/>
            <w:tcMar>
              <w:top w:w="75" w:type="dxa"/>
              <w:left w:w="75" w:type="dxa"/>
              <w:bottom w:w="75" w:type="dxa"/>
              <w:right w:w="75" w:type="dxa"/>
            </w:tcMar>
          </w:tcPr>
          <w:p w14:paraId="15CBF7E2" w14:textId="77777777" w:rsidR="006717AA" w:rsidRDefault="0008488D">
            <w:r>
              <w:t>1.</w:t>
            </w:r>
          </w:p>
        </w:tc>
        <w:tc>
          <w:tcPr>
            <w:tcW w:w="2127" w:type="dxa"/>
            <w:shd w:val="clear" w:color="auto" w:fill="FFFFFF"/>
            <w:noWrap/>
            <w:tcMar>
              <w:top w:w="75" w:type="dxa"/>
              <w:left w:w="75" w:type="dxa"/>
              <w:bottom w:w="75" w:type="dxa"/>
              <w:right w:w="75" w:type="dxa"/>
            </w:tcMar>
          </w:tcPr>
          <w:p w14:paraId="4CF162D5" w14:textId="77777777" w:rsidR="006717AA" w:rsidRDefault="0008488D">
            <w:pPr>
              <w:spacing w:after="240"/>
              <w:rPr>
                <w:b/>
              </w:rPr>
            </w:pPr>
            <w:r>
              <w:rPr>
                <w:b/>
              </w:rPr>
              <w:t>Informatīvais ziņojums</w:t>
            </w:r>
          </w:p>
          <w:p w14:paraId="63695507" w14:textId="77777777" w:rsidR="006717AA" w:rsidRDefault="0008488D">
            <w:r>
              <w:t>Informatīvais ziņojums "Par vienotas patērētāju kreditētāju licencēšanas un uzraudzības institūcijas noteikšanu"</w:t>
            </w:r>
          </w:p>
        </w:tc>
        <w:tc>
          <w:tcPr>
            <w:tcW w:w="5386" w:type="dxa"/>
            <w:shd w:val="clear" w:color="auto" w:fill="FFFFFF"/>
            <w:noWrap/>
            <w:tcMar>
              <w:top w:w="75" w:type="dxa"/>
              <w:left w:w="75" w:type="dxa"/>
              <w:bottom w:w="75" w:type="dxa"/>
              <w:right w:w="75" w:type="dxa"/>
            </w:tcMar>
          </w:tcPr>
          <w:p w14:paraId="6330AA43" w14:textId="43FB4622" w:rsidR="002B43AA" w:rsidRPr="002B43AA" w:rsidRDefault="002B43AA" w:rsidP="002B43AA">
            <w:pPr>
              <w:spacing w:after="240"/>
              <w:rPr>
                <w:b/>
              </w:rPr>
            </w:pPr>
            <w:r w:rsidRPr="002B43AA">
              <w:rPr>
                <w:b/>
              </w:rPr>
              <w:t>Iebildums (AS “</w:t>
            </w:r>
            <w:proofErr w:type="spellStart"/>
            <w:r w:rsidRPr="002B43AA">
              <w:rPr>
                <w:b/>
              </w:rPr>
              <w:t>DelfinGroup</w:t>
            </w:r>
            <w:proofErr w:type="spellEnd"/>
            <w:r w:rsidRPr="002B43AA">
              <w:rPr>
                <w:b/>
              </w:rPr>
              <w:t xml:space="preserve">”- 23.01.2026. (ārpus </w:t>
            </w:r>
            <w:r>
              <w:rPr>
                <w:b/>
              </w:rPr>
              <w:t>TAP</w:t>
            </w:r>
            <w:r w:rsidRPr="002B43AA">
              <w:rPr>
                <w:b/>
              </w:rPr>
              <w:t>)</w:t>
            </w:r>
            <w:r>
              <w:rPr>
                <w:b/>
              </w:rPr>
              <w:t>)</w:t>
            </w:r>
          </w:p>
          <w:p w14:paraId="5D00B95C" w14:textId="77777777" w:rsidR="002B43AA" w:rsidRPr="002B43AA" w:rsidRDefault="002B43AA" w:rsidP="002B43AA">
            <w:pPr>
              <w:spacing w:after="240"/>
              <w:rPr>
                <w:bCs/>
              </w:rPr>
            </w:pPr>
            <w:r w:rsidRPr="002B43AA">
              <w:rPr>
                <w:bCs/>
              </w:rPr>
              <w:t>2026. gada 6. janvārī AS “</w:t>
            </w:r>
            <w:proofErr w:type="spellStart"/>
            <w:r w:rsidRPr="002B43AA">
              <w:rPr>
                <w:bCs/>
              </w:rPr>
              <w:t>DelfinGroup</w:t>
            </w:r>
            <w:proofErr w:type="spellEnd"/>
            <w:r w:rsidRPr="002B43AA">
              <w:rPr>
                <w:bCs/>
              </w:rPr>
              <w:t>”, reģistrācijas numurs 40103252854 (turpmāk – uzņēmums), kas ir saņēmis Patērētāju tiesību aizsardzības centra (turpmāk – PTAC) speciālo atļauju (licenci) patērētāju kreditēšanas pakalpojumu sniegšanai un ir viens no lielākajiem nebanku kreditētājiem Latvijā, iesniedza savus iebildumus (turpmāk – Iebildumus) par Finanšu ministrijas sagatavoto informatīvo ziņojumu “Par vienotas patērētāju kreditētāju licencēšanas un uzraudzības institūcijas noteikšanu” (turpmāk – informatīvais ziņojums).</w:t>
            </w:r>
          </w:p>
          <w:p w14:paraId="7FD3E346" w14:textId="77777777" w:rsidR="002B43AA" w:rsidRPr="002B43AA" w:rsidRDefault="002B43AA" w:rsidP="002B43AA">
            <w:pPr>
              <w:spacing w:after="240"/>
              <w:rPr>
                <w:bCs/>
              </w:rPr>
            </w:pPr>
            <w:r w:rsidRPr="002B43AA">
              <w:rPr>
                <w:bCs/>
              </w:rPr>
              <w:t xml:space="preserve">Finanšu ministrija ir sagatavojusi atjaunotu informatīvo ziņojumu, tajā skaitā sniedzot izziņu par </w:t>
            </w:r>
            <w:r w:rsidRPr="002B43AA">
              <w:rPr>
                <w:bCs/>
              </w:rPr>
              <w:lastRenderedPageBreak/>
              <w:t>uzņēmuma Iebildumiem, ar kuriem Iebildumi nav ņemti vērā (turpmāk – izziņa).</w:t>
            </w:r>
          </w:p>
          <w:p w14:paraId="7EC2E0FF" w14:textId="77777777" w:rsidR="002B43AA" w:rsidRPr="002B43AA" w:rsidRDefault="002B43AA" w:rsidP="002B43AA">
            <w:pPr>
              <w:spacing w:after="240"/>
              <w:rPr>
                <w:bCs/>
              </w:rPr>
            </w:pPr>
            <w:r w:rsidRPr="002B43AA">
              <w:rPr>
                <w:bCs/>
              </w:rPr>
              <w:t xml:space="preserve">Pēc Iebildumu iesniegšanas uzņēmuma pārstāvji kopā ar </w:t>
            </w:r>
            <w:proofErr w:type="spellStart"/>
            <w:r w:rsidRPr="002B43AA">
              <w:rPr>
                <w:bCs/>
              </w:rPr>
              <w:t>Fintech</w:t>
            </w:r>
            <w:proofErr w:type="spellEnd"/>
            <w:r w:rsidRPr="002B43AA">
              <w:rPr>
                <w:bCs/>
              </w:rPr>
              <w:t xml:space="preserve"> Latvia </w:t>
            </w:r>
            <w:proofErr w:type="spellStart"/>
            <w:r w:rsidRPr="002B43AA">
              <w:rPr>
                <w:bCs/>
              </w:rPr>
              <w:t>Assocation</w:t>
            </w:r>
            <w:proofErr w:type="spellEnd"/>
            <w:r w:rsidRPr="002B43AA">
              <w:rPr>
                <w:bCs/>
              </w:rPr>
              <w:t xml:space="preserve"> 2 reizes dažādos formātos tikās ar Latvijas Bankas pārstāvjiem, lai apspriestu nebanku nozares lomu Latvijā un iespējamo vienota uzrauga sistēmas ieviešanu Latvijā. Uzņēmums pateicas Latvijas Bankas pārstāvjiem par konstruktīvo dialogu, kura ietvaros izkristalizējās nepieciešamība pēc dziļākas un nesasteigtas diskusijas par vienota uzrauga modeļa iespēju Latvijā, veidojot darba grupas starp Latvijas Banku un nozari, kas varētu pie jautājuma par iespējamo reformu strādāt.</w:t>
            </w:r>
          </w:p>
          <w:p w14:paraId="153E9E7C" w14:textId="77777777" w:rsidR="002B43AA" w:rsidRPr="002B43AA" w:rsidRDefault="002B43AA" w:rsidP="002B43AA">
            <w:pPr>
              <w:spacing w:after="240"/>
              <w:rPr>
                <w:bCs/>
              </w:rPr>
            </w:pPr>
            <w:r w:rsidRPr="002B43AA">
              <w:rPr>
                <w:bCs/>
              </w:rPr>
              <w:t>Tāpat aktuāls ir jautājums par to, vai šīs reformas ietvaros, ja mērķis ir veidot vienu, spēcīgu uzraugu, nebūtu nepieciešama arī parādu atgūšanas pakalpojumu sniedzēju uzrauga maiņa no PTAC uz Latvijas Banku. Tas pamatojams ar to, ka šie pakalpojumi sniedzēji arī pārvalda pietiekami būtiskus kredītportfeļus un ir cieši saistīti ar patērētāju tiesībām finanšu pakalpojumu jomā.</w:t>
            </w:r>
          </w:p>
          <w:p w14:paraId="1E52BAAA" w14:textId="77777777" w:rsidR="002B43AA" w:rsidRPr="002B43AA" w:rsidRDefault="002B43AA" w:rsidP="002B43AA">
            <w:pPr>
              <w:spacing w:after="240"/>
              <w:rPr>
                <w:bCs/>
              </w:rPr>
            </w:pPr>
            <w:r w:rsidRPr="002B43AA">
              <w:rPr>
                <w:bCs/>
              </w:rPr>
              <w:t xml:space="preserve">Ņemot šo vērā, kā arī ievērojot to, ka 2026. gada 20. novembrī būtu jāstājas spēkā vēl nepieņemtajiem grozījumiem Patērētāju tiesību aizsardzības likumā (turpmāk – PTAL), ar kuriem tiks ieviestas Eiropas Parlamenta un Padomes 2023. gada 18. oktobra direktīvas (ES) 2023/2225 par patērētāju kredītlīgumiem un ar ko atceļ direktīvu 2008/48/EK prasības, un kas cita starpā paredz jaunu uzraugāmo subjektu grupas izveidi (tas ir, atlikto maksājumu </w:t>
            </w:r>
            <w:r w:rsidRPr="002B43AA">
              <w:rPr>
                <w:bCs/>
              </w:rPr>
              <w:lastRenderedPageBreak/>
              <w:t>pakalpojumu sniedzēju, no kuriem daļai vismaz šobrīd PTAL grozījumu likumprojektā netiek nemaz paredzētas prasības par reģistrāciju vai licences saņemšanu), tad uzņēmuma ieskatā informatīvais ziņojums un tajā virzītais mērķis nodot uzrauga funkciju Latvijas Bankas jau ar 2027. gada 1. septembri ir sasteigts, bez pārejas plāna un bez padziļinātas analīzes. Praksē tas nozīmētu, ka Latvijas Bankai ne tikai būtu jāpārņem esošo tirgus dalībnieku uzraudzība, bet jāspēj arī uzreiz sākt jaunu tirgus dalībnieku uzraudzību, kuriem līdz šim nav bijusi praktiskā pieredze ar PTAL prasībām attiecībā uz patērētāju kreditēšanu.</w:t>
            </w:r>
          </w:p>
          <w:p w14:paraId="66CFC766" w14:textId="77777777" w:rsidR="002B43AA" w:rsidRPr="002B43AA" w:rsidRDefault="002B43AA" w:rsidP="002B43AA">
            <w:pPr>
              <w:spacing w:after="240"/>
              <w:rPr>
                <w:bCs/>
              </w:rPr>
            </w:pPr>
            <w:r w:rsidRPr="002B43AA">
              <w:rPr>
                <w:bCs/>
              </w:rPr>
              <w:t>Līdz ar to uzņēmums nav kategoriski pret vienota uzrauga sistēmas ieviešanu Latvijā patērētāju kreditēšanas nozarē, bet gan ir pret sasteigtu un virspusēju reformu bez pārejas plāna, kas šobrīd tiek virzīta un pamatota ar virspusēju un nepilnvērtīgu informatīvo ziņojumu, par kuru uzņēmums ar šo sniedz atkārtotus iebildumus. Attiecīgi uzņēmuma ieskatā informatīvais ziņojums joprojām ir pretrunīgs un nepilnvērtīgs, un ir nepieciešamā informatīvā ziņojuma atkārtota izstrāde, aktīvāk diskusijā iesaistot nebanku sektoru, veidojot darba grupas starp Latvijas Banku un nebanku sektoru. Uzņēmums šobrīd informatīvajā ziņojumā neredz padziļinātu analīzi un skaidru rīcības plānu saistībā ar šo reformu.</w:t>
            </w:r>
          </w:p>
          <w:p w14:paraId="4C21845F" w14:textId="77777777" w:rsidR="002B43AA" w:rsidRPr="002B43AA" w:rsidRDefault="002B43AA" w:rsidP="002B43AA">
            <w:pPr>
              <w:spacing w:after="240"/>
              <w:rPr>
                <w:b/>
              </w:rPr>
            </w:pPr>
            <w:r w:rsidRPr="002B43AA">
              <w:rPr>
                <w:bCs/>
              </w:rPr>
              <w:t>1.</w:t>
            </w:r>
            <w:r w:rsidRPr="002B43AA">
              <w:rPr>
                <w:bCs/>
              </w:rPr>
              <w:tab/>
            </w:r>
            <w:r w:rsidRPr="002B43AA">
              <w:rPr>
                <w:b/>
              </w:rPr>
              <w:t xml:space="preserve">Informatīvajā ziņojuma ievadā joprojām ir pretrunīgi apgalvojumi izmaiņu vajadzībai </w:t>
            </w:r>
          </w:p>
          <w:p w14:paraId="3CE01511" w14:textId="77777777" w:rsidR="002B43AA" w:rsidRPr="002B43AA" w:rsidRDefault="002B43AA" w:rsidP="002B43AA">
            <w:pPr>
              <w:spacing w:after="240"/>
              <w:rPr>
                <w:bCs/>
              </w:rPr>
            </w:pPr>
            <w:r w:rsidRPr="002B43AA">
              <w:rPr>
                <w:bCs/>
              </w:rPr>
              <w:lastRenderedPageBreak/>
              <w:t>Informatīvā ziņojuma ievadā Finanšu ministrija norāda, ka “Latvijā patērētāju kreditēšanas nozare strauji attīstās, un tajā ienāk arvien jauni tirgus dalībnieki. Tādējādi pēdējo gadu laikā arī pieaug patērētāju kreditētāju loma finanšu tirgū, un līdz ar finanšu tehnoloģiju jomas attīstību tā ieņem arvien būtiskāku lomu, kā arī rada konkurenci kreditēšanā kopumā”.</w:t>
            </w:r>
          </w:p>
          <w:p w14:paraId="7B94FDDF" w14:textId="77777777" w:rsidR="002B43AA" w:rsidRPr="002B43AA" w:rsidRDefault="002B43AA" w:rsidP="002B43AA">
            <w:pPr>
              <w:spacing w:after="240"/>
              <w:rPr>
                <w:bCs/>
              </w:rPr>
            </w:pPr>
            <w:r w:rsidRPr="002B43AA">
              <w:rPr>
                <w:bCs/>
              </w:rPr>
              <w:t xml:space="preserve">Savukārt Informatīvā ziņojuma 12. lapaspusē no Finanšu ministrijas puses ir secināts, ka: “nebanku kreditētāju īpatsvars kopējā kreditēšanas apjomā joprojām saglabājas salīdzinoši zems”, ka “nebanku finanšu sektora tiešā saikne ar kredītiestādēm Latvijā saglabājas zema” un ka “Latvijas finanšu sistēmas nebanku finanšu sektora pakalpojumu pieejamības nepārtrauktība ir augsta, – kādam tirgus dalībniekam izstājoties, tā sniegtos pakalpojumus Latvijas finanšu sistēmas darbības nodrošināšanai var aizstāt citi, jo tirgus koncentrācija ir samērā zema”. Papildus Informatīvā ziņojuma 11. lapaspusē ir norādīts, ka “Kredītiestāžu sektorā kreditēšanas temps 2025. gada 1. pusgadā bija augstāks – 5.6% nekā nebanku kreditētāju iekšzemes nefinanšu sabiedrību un mājsaimniecībām izsniegto kredītu portfelī – 3,2”. </w:t>
            </w:r>
          </w:p>
          <w:p w14:paraId="1DDC45E8" w14:textId="77777777" w:rsidR="002B43AA" w:rsidRPr="002B43AA" w:rsidRDefault="002B43AA" w:rsidP="002B43AA">
            <w:pPr>
              <w:spacing w:after="240"/>
              <w:rPr>
                <w:bCs/>
              </w:rPr>
            </w:pPr>
            <w:r w:rsidRPr="002B43AA">
              <w:rPr>
                <w:bCs/>
              </w:rPr>
              <w:t xml:space="preserve">Tāpat arī PTAC statistika (https://www.ptac.gov.lv/lv/media/5274/download?attachment) liecina, ka tās licencēto kredītu devēju skaits ir stabils bez tendences būtiski augt. Kā arī PTAC licencēto kredītu devēju kopējais kredītportfelis ir salīdzinoši neliels pret valsts ekonomiku, un tas joprojām ir nebūtisks pret kopējo kredītportfeli </w:t>
            </w:r>
            <w:r w:rsidRPr="002B43AA">
              <w:rPr>
                <w:bCs/>
              </w:rPr>
              <w:lastRenderedPageBreak/>
              <w:t>Latvijas tautsaimniecībā (kā norādīts informatīvajā ziņojumā: “nebanku kreditētāju īpatsvars kopējā kreditēšanas apjomā joprojām saglabājas salīdzinoši zems”.</w:t>
            </w:r>
          </w:p>
          <w:p w14:paraId="137F45F2" w14:textId="03775813" w:rsidR="002B43AA" w:rsidRPr="002B43AA" w:rsidRDefault="002B43AA" w:rsidP="002B43AA">
            <w:pPr>
              <w:spacing w:after="240"/>
              <w:rPr>
                <w:bCs/>
              </w:rPr>
            </w:pPr>
            <w:r w:rsidRPr="002B43AA">
              <w:rPr>
                <w:bCs/>
              </w:rPr>
              <w:t>Ievērojot šo, informatīvā ziņojuma ievadā minētie apstākļi vienotas patērētāju kreditētāju licencēšanas un uzraudzības institūcijas noteikšanas nepieciešamībai nav pamatoti, tas ir, šobrīd nav novērojama strauja nozares izaugsme un tirgū neienāk arvien jauni tirgus dalībnieki. Drīzāk tieši pretēji, novērojama stabila situācija, kurā darbojas gan PTAC licencētie kredītu devēji, gan kredītiestādes, kuriem patērētāju kreditēšana ir tikai viens no biznesa virzieniem.</w:t>
            </w:r>
          </w:p>
          <w:p w14:paraId="14AB01F3" w14:textId="77777777" w:rsidR="002B43AA" w:rsidRPr="002B43AA" w:rsidRDefault="002B43AA" w:rsidP="002B43AA">
            <w:pPr>
              <w:spacing w:after="240"/>
              <w:rPr>
                <w:b/>
              </w:rPr>
            </w:pPr>
            <w:r w:rsidRPr="002B43AA">
              <w:rPr>
                <w:b/>
              </w:rPr>
              <w:t>2.</w:t>
            </w:r>
            <w:r w:rsidRPr="002B43AA">
              <w:rPr>
                <w:b/>
              </w:rPr>
              <w:tab/>
              <w:t>Informatīvajā ziņojumā un izziņā nav analīzes pēc būtības par nākotnes situāciju kreditēšanās uzraudzībā, kas saistīta ar atlikto maksājumu pakalpojuma sniedzējiem</w:t>
            </w:r>
          </w:p>
          <w:p w14:paraId="7F76811E" w14:textId="77777777" w:rsidR="002B43AA" w:rsidRPr="002B43AA" w:rsidRDefault="002B43AA" w:rsidP="002B43AA">
            <w:pPr>
              <w:spacing w:after="240"/>
              <w:rPr>
                <w:bCs/>
              </w:rPr>
            </w:pPr>
            <w:r w:rsidRPr="002B43AA">
              <w:rPr>
                <w:bCs/>
              </w:rPr>
              <w:t xml:space="preserve">Informatīvajā ziņojumā ir analizēta esošā situācija kreditēšanas uzraudzībā, taču nav analīzes pēc būtības par nākotnes situāciju kreditēšanas uzraudzībā, kas saistīta ar plānotajiem grozījumiem Patērētāju tiesību aizsardzības likumā (turpmāk – PTAL), kuriem jāstājas spēkā 2026. gada 20. novembrī un ar kuriem tiks ieviestas Eiropas Parlamenta un Padomes 2023. gada 18. oktobra direktīvas (ES) 2023/2225 par patērētāju kredītlīgumiem un ar ko atceļ direktīvu 2008/48/EK prasības. </w:t>
            </w:r>
          </w:p>
          <w:p w14:paraId="004464CC" w14:textId="77777777" w:rsidR="002B43AA" w:rsidRPr="002B43AA" w:rsidRDefault="002B43AA" w:rsidP="002B43AA">
            <w:pPr>
              <w:spacing w:after="240"/>
              <w:rPr>
                <w:bCs/>
              </w:rPr>
            </w:pPr>
            <w:r w:rsidRPr="002B43AA">
              <w:rPr>
                <w:bCs/>
              </w:rPr>
              <w:t xml:space="preserve">Šādas analīzes trūkums ir kritisks, jo ar plānotajiem grozījumiem tiks būtiski palielināta to patērētāju </w:t>
            </w:r>
            <w:r w:rsidRPr="002B43AA">
              <w:rPr>
                <w:bCs/>
              </w:rPr>
              <w:lastRenderedPageBreak/>
              <w:t>kreditēšanas pakalpojumu joma, uz kurām attieksies PTAL prasības par patērētāju spējas atmaksāt kredītu izvērtēšanu, prasības par kredītsaistību informācijas nodošanu kredītinformācijas birojiem u.c. prasības patērētāju tiesību aizsardzības jomā, kuru uzraudzību šobrīd veic PTAC. Šī joma pirmām kārtām būs “</w:t>
            </w:r>
            <w:proofErr w:type="spellStart"/>
            <w:r w:rsidRPr="002B43AA">
              <w:rPr>
                <w:bCs/>
              </w:rPr>
              <w:t>buy</w:t>
            </w:r>
            <w:proofErr w:type="spellEnd"/>
            <w:r w:rsidRPr="002B43AA">
              <w:rPr>
                <w:bCs/>
              </w:rPr>
              <w:t xml:space="preserve"> </w:t>
            </w:r>
            <w:proofErr w:type="spellStart"/>
            <w:r w:rsidRPr="002B43AA">
              <w:rPr>
                <w:bCs/>
              </w:rPr>
              <w:t>now</w:t>
            </w:r>
            <w:proofErr w:type="spellEnd"/>
            <w:r w:rsidRPr="002B43AA">
              <w:rPr>
                <w:bCs/>
              </w:rPr>
              <w:t xml:space="preserve"> </w:t>
            </w:r>
            <w:proofErr w:type="spellStart"/>
            <w:r w:rsidRPr="002B43AA">
              <w:rPr>
                <w:bCs/>
              </w:rPr>
              <w:t>pay</w:t>
            </w:r>
            <w:proofErr w:type="spellEnd"/>
            <w:r w:rsidRPr="002B43AA">
              <w:rPr>
                <w:bCs/>
              </w:rPr>
              <w:t xml:space="preserve"> </w:t>
            </w:r>
            <w:proofErr w:type="spellStart"/>
            <w:r w:rsidRPr="002B43AA">
              <w:rPr>
                <w:bCs/>
              </w:rPr>
              <w:t>later</w:t>
            </w:r>
            <w:proofErr w:type="spellEnd"/>
            <w:r w:rsidRPr="002B43AA">
              <w:rPr>
                <w:bCs/>
              </w:rPr>
              <w:t>” pakalpojums jeb atlikto maksājumu pakalpojums, kuru šobrīd piedāvā plašs spektrs ar dažādu sfēru komersantiem, tajā skaitā dažādu preču interneta veikali, sadzīves tehnikas veikali un telekomunikāciju pakalpojumu sniedzēji (tajā skaitā LMT, Bite, Tele2). Informatīvais ziņojums tajā skaitā nesatur analīzi par to, vai būtu saglabājams šobrīd Saeima 1. lasījumā apstiprinātajos PTAL grozījumos paredzētais, ka lielākajai daļai atlikto maksājumu pakalpojumu sniedzēju nebūs pienākums pat veikt reģistrāciju pie uzrauga.</w:t>
            </w:r>
          </w:p>
          <w:p w14:paraId="5ADB9430" w14:textId="77777777" w:rsidR="002B43AA" w:rsidRPr="002B43AA" w:rsidRDefault="002B43AA" w:rsidP="002B43AA">
            <w:pPr>
              <w:spacing w:after="240"/>
              <w:rPr>
                <w:bCs/>
              </w:rPr>
            </w:pPr>
            <w:r w:rsidRPr="002B43AA">
              <w:rPr>
                <w:bCs/>
              </w:rPr>
              <w:t>Attiecīgi vienotas patērētāju kreditētāju licencēšanas un uzraudzības institūcijas noteikšanas gadījumā tas nozīmēs, ka ikdienas nomaksas pirkumu pakalpojumu saņēmējus, ja to pakalpojums kvalificēsies konkrētajām PTAL prasībām, būs jāuzrauga Latvijas Bankai. Uzņēmumam ir šaubas, vai valsts centrālajai bankai būtu jāuzrauga “</w:t>
            </w:r>
            <w:proofErr w:type="spellStart"/>
            <w:r w:rsidRPr="002B43AA">
              <w:rPr>
                <w:bCs/>
              </w:rPr>
              <w:t>buy</w:t>
            </w:r>
            <w:proofErr w:type="spellEnd"/>
            <w:r w:rsidRPr="002B43AA">
              <w:rPr>
                <w:bCs/>
              </w:rPr>
              <w:t xml:space="preserve"> </w:t>
            </w:r>
            <w:proofErr w:type="spellStart"/>
            <w:r w:rsidRPr="002B43AA">
              <w:rPr>
                <w:bCs/>
              </w:rPr>
              <w:t>now</w:t>
            </w:r>
            <w:proofErr w:type="spellEnd"/>
            <w:r w:rsidRPr="002B43AA">
              <w:rPr>
                <w:bCs/>
              </w:rPr>
              <w:t xml:space="preserve"> </w:t>
            </w:r>
            <w:proofErr w:type="spellStart"/>
            <w:r w:rsidRPr="002B43AA">
              <w:rPr>
                <w:bCs/>
              </w:rPr>
              <w:t>pay</w:t>
            </w:r>
            <w:proofErr w:type="spellEnd"/>
            <w:r w:rsidRPr="002B43AA">
              <w:rPr>
                <w:bCs/>
              </w:rPr>
              <w:t xml:space="preserve"> </w:t>
            </w:r>
            <w:proofErr w:type="spellStart"/>
            <w:r w:rsidRPr="002B43AA">
              <w:rPr>
                <w:bCs/>
              </w:rPr>
              <w:t>later</w:t>
            </w:r>
            <w:proofErr w:type="spellEnd"/>
            <w:r w:rsidRPr="002B43AA">
              <w:rPr>
                <w:bCs/>
              </w:rPr>
              <w:t>” pakalpojuma sniegšana valstī, kā arī ziņojumā un  izziņā nav analizēts tas, vai citās Eiropas Savienības dalībvalstīs arī funkcija uzraudzīt atliktā maksājumu pakalpojumu sniedzējus tiks deleģēta centrālajai bankai.</w:t>
            </w:r>
          </w:p>
          <w:p w14:paraId="34D0EA7A" w14:textId="77777777" w:rsidR="002B43AA" w:rsidRPr="002B43AA" w:rsidRDefault="002B43AA" w:rsidP="002B43AA">
            <w:pPr>
              <w:spacing w:after="240"/>
              <w:rPr>
                <w:bCs/>
              </w:rPr>
            </w:pPr>
            <w:r w:rsidRPr="002B43AA">
              <w:rPr>
                <w:bCs/>
              </w:rPr>
              <w:t xml:space="preserve">Līdz ar to informatīvajā ziņojumā joprojām ir kļūdaini secināts, ka vienota uzrauga noteikšana atvieglos </w:t>
            </w:r>
            <w:r w:rsidRPr="002B43AA">
              <w:rPr>
                <w:bCs/>
              </w:rPr>
              <w:lastRenderedPageBreak/>
              <w:t>patērētājiem izpratni par to, kurā institūcijā vērsties pēc palīdzības, jo informatīvajā ziņojumā nav aplūkoti un analizēti aspekti, kas saistīti ar plānotajiem grozījumiem PTAL un divu uzraugu principa saglabāšanos attiecībā uz tiem komersantiem, kuri piedāvās atliktā maksājuma pakalpojumus. Ja tiktu noteikts vienots uzraugs – Latvijas Banka, tas nozīmētu to, ka patērētājam būs jāspēj saprast, ka par telekomunikācijas pakalpojumu līgumu viņam būs jāvēršas joprojām PTAC, bet, ja patērētājam ir nomaksas pirkuma līgums pie šīs paša pakalpojumu sniedzēja, tad būs jāvēršas pie Latvijas Bankas. Tāpēc arī maldīgs ir secinājums, ka vienota uzrauga Latvijas Bankas personā noteikšana atvieglotu patērētājiem iespēju aizsargāt savas tiesības.</w:t>
            </w:r>
          </w:p>
          <w:p w14:paraId="4DC027E8" w14:textId="77777777" w:rsidR="002B43AA" w:rsidRPr="002B43AA" w:rsidRDefault="002B43AA" w:rsidP="002B43AA">
            <w:pPr>
              <w:spacing w:after="240"/>
              <w:rPr>
                <w:bCs/>
              </w:rPr>
            </w:pPr>
            <w:r w:rsidRPr="002B43AA">
              <w:rPr>
                <w:bCs/>
              </w:rPr>
              <w:t>Līdz ar to ir veicams atkārtots izvērtējums par kreditēšanas uzraudzību sasaistē ar patērētāju tiesību aizsardzību, ņemot vērā to, ka uzraugam būs ne tikai jāuzrauga esošie, licencētie kredītu devēji, bet arī atlikto maksājumu pakalpojuma sniedzēji (gan reģistrētie, gan nereģistrētie).</w:t>
            </w:r>
          </w:p>
          <w:p w14:paraId="5FC7C419" w14:textId="77777777" w:rsidR="002B43AA" w:rsidRPr="002B43AA" w:rsidRDefault="002B43AA" w:rsidP="002B43AA">
            <w:pPr>
              <w:spacing w:after="240"/>
              <w:rPr>
                <w:b/>
              </w:rPr>
            </w:pPr>
            <w:r w:rsidRPr="002B43AA">
              <w:rPr>
                <w:b/>
              </w:rPr>
              <w:t>3.</w:t>
            </w:r>
            <w:r w:rsidRPr="002B43AA">
              <w:rPr>
                <w:b/>
              </w:rPr>
              <w:tab/>
              <w:t>Par kredītiestādes un tās meitas sabiedrību uzraudzību</w:t>
            </w:r>
          </w:p>
          <w:p w14:paraId="0DBAE49A" w14:textId="77777777" w:rsidR="002B43AA" w:rsidRPr="002B43AA" w:rsidRDefault="002B43AA" w:rsidP="002B43AA">
            <w:pPr>
              <w:spacing w:after="240"/>
              <w:rPr>
                <w:bCs/>
              </w:rPr>
            </w:pPr>
            <w:r w:rsidRPr="002B43AA">
              <w:rPr>
                <w:bCs/>
              </w:rPr>
              <w:t xml:space="preserve">Informatīvā ziņojuma 3. lapaspusē ir norādīts, ka “Ir situācijas, kad, piemēram, kredītiestādes meitas sabiedrībai, kura ir patērētāju kredītu sniedzēja, licenci izsniedz un uzraudzību nodrošina PTAC, bet mātes sabiedrībai, proti, kredītiestādei, uzraudzību nodrošina Latvijas Banka”. Turpinājumā informatīvajā ziņojumā ir norādīts, ka “Līdz ar to var veidoties situācija, ka </w:t>
            </w:r>
            <w:r w:rsidRPr="002B43AA">
              <w:rPr>
                <w:bCs/>
              </w:rPr>
              <w:lastRenderedPageBreak/>
              <w:t>vienam kreditēšanas pakalpojumu sniedzējam ir vairākas uzraudzības iestādes, kas praksē var nozīmēt arī paralēlas klātienes un neklātienes pārbaudes”.</w:t>
            </w:r>
          </w:p>
          <w:p w14:paraId="55E0A28A" w14:textId="77777777" w:rsidR="002B43AA" w:rsidRPr="002B43AA" w:rsidRDefault="002B43AA" w:rsidP="002B43AA">
            <w:pPr>
              <w:spacing w:after="240"/>
              <w:rPr>
                <w:bCs/>
              </w:rPr>
            </w:pPr>
            <w:r w:rsidRPr="002B43AA">
              <w:rPr>
                <w:bCs/>
              </w:rPr>
              <w:t>Uzņēmuma ieskatā tā ir mūsdienu biznesa prakse, ka grupas ietvaros ir juridiskas personas ar dažādām atļaujām jeb speciālajām licencēm un katrai no tām ir cits uzraugs, ievērojot arī juridisko personu atbildības nošķiršanas principu. Uzraugiem būtu jāspēj savā starpā koordinēt uzraudzība sektoros, kuros to uzraudzība daļēji pārklājas kāda grupas ietvaros. Turklāt nav dzirdēts par gadījumiem, kad Latvijas Banka būtu veikusi pārbaudes PTAC licencētā kredītu devēja, kas ir kredītiestādes meita.</w:t>
            </w:r>
          </w:p>
          <w:p w14:paraId="25C8639F" w14:textId="77777777" w:rsidR="002B43AA" w:rsidRPr="002B43AA" w:rsidRDefault="002B43AA" w:rsidP="002B43AA">
            <w:pPr>
              <w:spacing w:after="240"/>
              <w:rPr>
                <w:bCs/>
              </w:rPr>
            </w:pPr>
            <w:r w:rsidRPr="002B43AA">
              <w:rPr>
                <w:bCs/>
              </w:rPr>
              <w:t>Uzņēmumā ieskatā drīzāk būtu izvērtējama šobrīd sastopamā prakse, ka kredītiestāžu meitām savās firmās jeb nosaukumos izmantot vārdu “</w:t>
            </w:r>
            <w:proofErr w:type="spellStart"/>
            <w:r w:rsidRPr="002B43AA">
              <w:rPr>
                <w:bCs/>
              </w:rPr>
              <w:t>bank</w:t>
            </w:r>
            <w:proofErr w:type="spellEnd"/>
            <w:r w:rsidRPr="002B43AA">
              <w:rPr>
                <w:bCs/>
              </w:rPr>
              <w:t>” vai “banka”, radot patērētājam potenciālu neskaidrību, vai aizdevējs (līguma puse) ir vai nav banka.</w:t>
            </w:r>
          </w:p>
          <w:p w14:paraId="13A29C49" w14:textId="77777777" w:rsidR="002B43AA" w:rsidRPr="002B43AA" w:rsidRDefault="002B43AA" w:rsidP="002B43AA">
            <w:pPr>
              <w:spacing w:after="240"/>
              <w:rPr>
                <w:b/>
              </w:rPr>
            </w:pPr>
            <w:r w:rsidRPr="002B43AA">
              <w:rPr>
                <w:b/>
              </w:rPr>
              <w:t>4.</w:t>
            </w:r>
            <w:r w:rsidRPr="002B43AA">
              <w:rPr>
                <w:b/>
              </w:rPr>
              <w:tab/>
              <w:t>Par iestāžu kompetenci patērētāju tiesībās</w:t>
            </w:r>
          </w:p>
          <w:p w14:paraId="605267F8" w14:textId="77777777" w:rsidR="002B43AA" w:rsidRPr="002B43AA" w:rsidRDefault="002B43AA" w:rsidP="002B43AA">
            <w:pPr>
              <w:spacing w:after="240"/>
              <w:rPr>
                <w:bCs/>
              </w:rPr>
            </w:pPr>
            <w:r w:rsidRPr="002B43AA">
              <w:rPr>
                <w:bCs/>
              </w:rPr>
              <w:t xml:space="preserve">Informatīvā ziņojuma 3. lapaspusē ir norādīts, ka “Arī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 Uzņēmuma ieskatā šī ir tīra spekulācija, kamēr nav sniegti </w:t>
            </w:r>
            <w:r w:rsidRPr="002B43AA">
              <w:rPr>
                <w:bCs/>
              </w:rPr>
              <w:lastRenderedPageBreak/>
              <w:t>kvantitatīvi</w:t>
            </w:r>
            <w:r w:rsidRPr="002B43AA">
              <w:rPr>
                <w:b/>
              </w:rPr>
              <w:t xml:space="preserve"> </w:t>
            </w:r>
            <w:r w:rsidRPr="002B43AA">
              <w:rPr>
                <w:bCs/>
              </w:rPr>
              <w:t>dati, kas to apstiprina. Turklāt, uzņēmuma ieskatā šī problēma tikai palielinātos gadījumā, ja par vienoto uzraugu kļūtu Latvijas Banka, kuram būtu jāuzrauga arī “</w:t>
            </w:r>
            <w:proofErr w:type="spellStart"/>
            <w:r w:rsidRPr="002B43AA">
              <w:rPr>
                <w:bCs/>
              </w:rPr>
              <w:t>buy</w:t>
            </w:r>
            <w:proofErr w:type="spellEnd"/>
            <w:r w:rsidRPr="002B43AA">
              <w:rPr>
                <w:bCs/>
              </w:rPr>
              <w:t xml:space="preserve"> </w:t>
            </w:r>
            <w:proofErr w:type="spellStart"/>
            <w:r w:rsidRPr="002B43AA">
              <w:rPr>
                <w:bCs/>
              </w:rPr>
              <w:t>now</w:t>
            </w:r>
            <w:proofErr w:type="spellEnd"/>
            <w:r w:rsidRPr="002B43AA">
              <w:rPr>
                <w:bCs/>
              </w:rPr>
              <w:t xml:space="preserve"> </w:t>
            </w:r>
            <w:proofErr w:type="spellStart"/>
            <w:r w:rsidRPr="002B43AA">
              <w:rPr>
                <w:bCs/>
              </w:rPr>
              <w:t>pay</w:t>
            </w:r>
            <w:proofErr w:type="spellEnd"/>
            <w:r w:rsidRPr="002B43AA">
              <w:rPr>
                <w:bCs/>
              </w:rPr>
              <w:t xml:space="preserve"> </w:t>
            </w:r>
            <w:proofErr w:type="spellStart"/>
            <w:r w:rsidRPr="002B43AA">
              <w:rPr>
                <w:bCs/>
              </w:rPr>
              <w:t>later</w:t>
            </w:r>
            <w:proofErr w:type="spellEnd"/>
            <w:r w:rsidRPr="002B43AA">
              <w:rPr>
                <w:bCs/>
              </w:rPr>
              <w:t>” pakalpojuma un lombarda aizdevumu sniegšana valstī, kuru visbiežāk sniedz personas, kuras nav klasiski kredītu devēji.</w:t>
            </w:r>
          </w:p>
          <w:p w14:paraId="546B91EC" w14:textId="77777777" w:rsidR="002B43AA" w:rsidRPr="002B43AA" w:rsidRDefault="002B43AA" w:rsidP="002B43AA">
            <w:pPr>
              <w:spacing w:after="240"/>
              <w:rPr>
                <w:bCs/>
              </w:rPr>
            </w:pPr>
            <w:r w:rsidRPr="002B43AA">
              <w:rPr>
                <w:bCs/>
              </w:rPr>
              <w:t>Tāpat informatīvajā ziņojumā nav ņemts vērtā tas, ka uzņēmuma viens no darbības veidiem ir lietotu preču mazumtirdzniecība. Līdz ar to uzņēmuma gadījumā šī reforma radītu sadrumstalotību attiecībā uz patērētāju tiesību aizsardzības iestādi (šobrīd ir tikai PTAC, bet pēc reformas gan PTAC, gan Latvijas Banka).</w:t>
            </w:r>
          </w:p>
          <w:p w14:paraId="3DC9FC1A" w14:textId="77777777" w:rsidR="002B43AA" w:rsidRPr="002B43AA" w:rsidRDefault="002B43AA" w:rsidP="002B43AA">
            <w:pPr>
              <w:spacing w:after="240"/>
              <w:rPr>
                <w:bCs/>
              </w:rPr>
            </w:pPr>
            <w:r w:rsidRPr="002B43AA">
              <w:rPr>
                <w:bCs/>
              </w:rPr>
              <w:t>Uzņēmums uzskata, ka PTAC būtu jāsaglabā kā primārais uzraugs patērētāju tiesību aizsardzības jomā, jo PTAC darbiniekiem ir vislielākā prakse darbā ar patērētājiem un viens uzraugs patērētāju tiesību aizsardzības jomā ir saprotamāks un skaidrāks koncepts arī patērētājiem.</w:t>
            </w:r>
          </w:p>
          <w:p w14:paraId="08D94478" w14:textId="77777777" w:rsidR="002B43AA" w:rsidRPr="002B43AA" w:rsidRDefault="002B43AA" w:rsidP="002B43AA">
            <w:pPr>
              <w:spacing w:after="240"/>
              <w:rPr>
                <w:b/>
              </w:rPr>
            </w:pPr>
            <w:r w:rsidRPr="002B43AA">
              <w:rPr>
                <w:bCs/>
              </w:rPr>
              <w:t xml:space="preserve">Tas, ko varētu apsvērt, ir patērētāju tiesību uzraudzības nodošana Latvijas Bankai attiecībā uz tās jau uzraudzībā esošajām iestādēm – kredītiestādēm, ieguldījumu brokeru sabiedrībām u.c. Uzņēmuma ieskatā pirms šķietami arī šī ir galvenā problēma, kuru vēlas risināt Finanšu ministrija un Latvijas Banka, tas ir, kredītiestāžu uzraugam būtu jāpaplašina uzraudzība attiecībā uz tās jau uzraudzībā esošajām personām, lai Latvijas Banka varētu veicināt to, ka kredītiestādes vairāk finansē patērētājus un kredītiestādes ir pieejamākas patērētājiem, jo īpaši reģionos. Šo problēmu risināšanai nav nepieciešams noteikt vienotu </w:t>
            </w:r>
            <w:r w:rsidRPr="002B43AA">
              <w:rPr>
                <w:bCs/>
              </w:rPr>
              <w:lastRenderedPageBreak/>
              <w:t>uzraugu, bet gan paplašināt Latvijas Bankas pilnvaras attiecībā uz kredītiestādēm un citām tās uzraugāmiem subjektiem.</w:t>
            </w:r>
          </w:p>
          <w:p w14:paraId="12246CF7" w14:textId="77777777" w:rsidR="002B43AA" w:rsidRPr="002B43AA" w:rsidRDefault="002B43AA" w:rsidP="002B43AA">
            <w:pPr>
              <w:spacing w:after="240"/>
              <w:rPr>
                <w:b/>
              </w:rPr>
            </w:pPr>
            <w:r w:rsidRPr="002B43AA">
              <w:rPr>
                <w:b/>
              </w:rPr>
              <w:t>5.</w:t>
            </w:r>
            <w:r w:rsidRPr="002B43AA">
              <w:rPr>
                <w:b/>
              </w:rPr>
              <w:tab/>
              <w:t>Informatīvajā ziņojumā minētie ieguvumi ir diskutabli un minētās problēmas ir risināmas arī bez vienota uzrauga</w:t>
            </w:r>
          </w:p>
          <w:p w14:paraId="1A74EA24" w14:textId="77777777" w:rsidR="002B43AA" w:rsidRPr="002B43AA" w:rsidRDefault="002B43AA" w:rsidP="002B43AA">
            <w:pPr>
              <w:spacing w:after="240"/>
              <w:rPr>
                <w:bCs/>
              </w:rPr>
            </w:pPr>
            <w:r w:rsidRPr="002B43AA">
              <w:rPr>
                <w:bCs/>
              </w:rPr>
              <w:t>Informatīvā ziņojuma 5. lapaspusē ir norādīts, ka “Ņemot vērā jau esošo plašo finanšu tirgus dalībnieku uzraugāmo subjektu loku un piekļuvi plašam ekonomisko, tirgus un statistikas datu kopumam, kā arī spēju veikt padziļinātu sistēmisko risku analīzi, tā spēj nodrošināt pamatotus un uz pierādījumiem balstītus lēmumus” un tālāk uzskaitīti ieguvumi patērētāju tiesību un interešu aizsardzībā finanšu pakalpojumu jomā.</w:t>
            </w:r>
          </w:p>
          <w:p w14:paraId="12473994" w14:textId="77777777" w:rsidR="002B43AA" w:rsidRPr="002B43AA" w:rsidRDefault="002B43AA" w:rsidP="002B43AA">
            <w:pPr>
              <w:spacing w:after="240"/>
              <w:rPr>
                <w:bCs/>
              </w:rPr>
            </w:pPr>
            <w:r w:rsidRPr="002B43AA">
              <w:rPr>
                <w:bCs/>
              </w:rPr>
              <w:t xml:space="preserve">Kā pirmais ieguvums tiek minēta procentu likmju, komisijas maksu un kopējo kredītu izmaksu </w:t>
            </w:r>
            <w:proofErr w:type="spellStart"/>
            <w:r w:rsidRPr="002B43AA">
              <w:rPr>
                <w:bCs/>
              </w:rPr>
              <w:t>pārredzamības</w:t>
            </w:r>
            <w:proofErr w:type="spellEnd"/>
            <w:r w:rsidRPr="002B43AA">
              <w:rPr>
                <w:bCs/>
              </w:rPr>
              <w:t xml:space="preserve"> uzraudzība, nodrošinot, ka klientiem sniegtā informācija ir saprotama, salīdzināma un ļauj pieņemt informētus lēmumus. Uzņēmuma ieskatā šo funkciju šobrīd jau sekmīgi pilda PTAC. Turklāt normatīvie akti šobrīd paredz skaidrus ierobežojumus kredīta kopējām izmaksām patērētājiem, kā arī paredz pienākumu patērētājam nodrošināt Eiropas standartizētās informācijas veidlapu, kuras mērķis ir ļaut vienotā formā visās Eiropas Savienībā patērētājam saprast ar kredītu saistības izmaksas un salīdzināt tās ar citu kredītu devēju piedāvājumiem.</w:t>
            </w:r>
          </w:p>
          <w:p w14:paraId="517895B7" w14:textId="77777777" w:rsidR="002B43AA" w:rsidRPr="002B43AA" w:rsidRDefault="002B43AA" w:rsidP="002B43AA">
            <w:pPr>
              <w:spacing w:after="240"/>
              <w:rPr>
                <w:bCs/>
              </w:rPr>
            </w:pPr>
            <w:r w:rsidRPr="002B43AA">
              <w:rPr>
                <w:bCs/>
              </w:rPr>
              <w:lastRenderedPageBreak/>
              <w:t>Otrais ieguvums tiek minēta līgumu godīguma vērtēšana, novēršot negodīgus līguma nosacījumus un stiprinot līgumisko attiecību līdzsvaru starp pakalpojumu sniedzējiem un patērētājiem. Uzņēmuma ieskatā šo funkciju šobrīd jau sekmīgi pilda PTAC. Turklāt normatīvie akti šobrīd paredz skaidrus kredītu devēja pienākumus attiecībā uz šo. Papildus uzsverams, ka PTAC(-</w:t>
            </w:r>
            <w:proofErr w:type="spellStart"/>
            <w:r w:rsidRPr="002B43AA">
              <w:rPr>
                <w:bCs/>
              </w:rPr>
              <w:t>am</w:t>
            </w:r>
            <w:proofErr w:type="spellEnd"/>
            <w:r w:rsidRPr="002B43AA">
              <w:rPr>
                <w:bCs/>
              </w:rPr>
              <w:t xml:space="preserve">) kā patērētāju tiesību aizsardzības iestādei, kura, ikdienā palīdz patērētājiem, ir visplašākā pieredze par dažādu nozaru komersantu </w:t>
            </w:r>
            <w:proofErr w:type="spellStart"/>
            <w:r w:rsidRPr="002B43AA">
              <w:rPr>
                <w:bCs/>
              </w:rPr>
              <w:t>komercpraksi</w:t>
            </w:r>
            <w:proofErr w:type="spellEnd"/>
            <w:r w:rsidRPr="002B43AA">
              <w:rPr>
                <w:bCs/>
              </w:rPr>
              <w:t xml:space="preserve">, kas ļauj tieši PTAC šo pieredzi izmantot dažādu nozaru komersantu uzraudzībā attiecībā uz patērētāju tiesībām. Līdz ar to PTAC ir vislielākā praktiskā pieredze attiecībā uz problēmām, ar kurām saskaras patērētāji ikdienā ar dažādu nozaru komersantiem un to īstenoto </w:t>
            </w:r>
            <w:proofErr w:type="spellStart"/>
            <w:r w:rsidRPr="002B43AA">
              <w:rPr>
                <w:bCs/>
              </w:rPr>
              <w:t>komercpraksi</w:t>
            </w:r>
            <w:proofErr w:type="spellEnd"/>
            <w:r w:rsidRPr="002B43AA">
              <w:rPr>
                <w:bCs/>
              </w:rPr>
              <w:t xml:space="preserve"> pret patērētājiem.</w:t>
            </w:r>
          </w:p>
          <w:p w14:paraId="1A147B1A" w14:textId="77777777" w:rsidR="002B43AA" w:rsidRPr="002B43AA" w:rsidRDefault="002B43AA" w:rsidP="002B43AA">
            <w:pPr>
              <w:spacing w:after="240"/>
              <w:rPr>
                <w:bCs/>
              </w:rPr>
            </w:pPr>
            <w:r w:rsidRPr="002B43AA">
              <w:rPr>
                <w:bCs/>
              </w:rPr>
              <w:t xml:space="preserve">Trešais ieguvums tiek minēta atbildīgas kreditēšanas principu ievērošana, īpaši svarīgi, lai mazinātu pārmērīgas parādsaistības un ilgtermiņā veicinātu sabiedrības finanšu labklājību. Uzņēmuma ieskatā šo funkciju šobrīd kopumā sekmīgi pilda PTAC. Turklāt, informatīvajā ziņojumā atkārtojas paradigma par pārmērīgām parādsaistībām, lai gan Latvijā ir viens no stingrākajiem normatīvajiem regulējumiem patērētāju kreditēšanā Eiropā, kas tajā skaitā ir novedis pie tā, ka Latvijas kreditēšanas apjomi ir zemāki nekā vidēji Eiropā (https://www.tvnet.lv/8347466/latvijas-banka-kreditesana-klust-aktivaka-tacu-apjomi-vel-talu-no-eiropas-videja). Līdz ar to uzņēmuma ieskatā uzraudzībai būtu jākļūst vēl elastīgākai, nevis jādzīvo </w:t>
            </w:r>
            <w:r w:rsidRPr="002B43AA">
              <w:rPr>
                <w:bCs/>
              </w:rPr>
              <w:lastRenderedPageBreak/>
              <w:t>pēc stigmas, ka Latvijā pastāv pārmērīgas parādsaistības patērētājiem, kuras būtu jāmazina.</w:t>
            </w:r>
          </w:p>
          <w:p w14:paraId="1EC36452" w14:textId="77777777" w:rsidR="002B43AA" w:rsidRPr="002B43AA" w:rsidRDefault="002B43AA" w:rsidP="002B43AA">
            <w:pPr>
              <w:spacing w:after="240"/>
              <w:rPr>
                <w:bCs/>
              </w:rPr>
            </w:pPr>
            <w:r w:rsidRPr="002B43AA">
              <w:rPr>
                <w:bCs/>
              </w:rPr>
              <w:t>Savukārt par piekto ieguvumu – finanšu pakalpojumu pieejamības uzraudzību, tostarp reģionālajā griezumā, uzņēmums vēlas norādīt, ka nebanku kreditētāji pārsvarā sniedz savus pakalpojums tiešsaistē. Līdz ar to nebanku sektors ir pieejams jebkurā Latvijā vietā, jo to pakalpojumu saņemšana ir praktiski vienmēr neklātienē (galvenais izņēmums ir lombarda pakalpojumi).</w:t>
            </w:r>
          </w:p>
          <w:p w14:paraId="48EC6964" w14:textId="77777777" w:rsidR="002B43AA" w:rsidRPr="002B43AA" w:rsidRDefault="002B43AA" w:rsidP="002B43AA">
            <w:pPr>
              <w:spacing w:after="240"/>
              <w:rPr>
                <w:bCs/>
              </w:rPr>
            </w:pPr>
            <w:r w:rsidRPr="002B43AA">
              <w:rPr>
                <w:bCs/>
              </w:rPr>
              <w:t>Tāpat arī uzņēmumam nav skaidrs, kāda ir cēloņsakarība nebanku kreditētājiem ar informatīvajā ziņojumā minēto, ka vienots uzraugs “[..] ir īpaši būtiski situācijās, [..] nodrošinot banku pakalpojumu pieejamību reģionos”. Uzņēmuma ieskatā ar šo faktiski tiek norādīts, ka esošajā situācijā kredītiestādes koncentrējas tikai lielajās pilsētās, kam nav nekādas cēloņsakarības ar to, vai nebanku kreditētājus uzraudzītu Latvijas Banka vai PTAC.</w:t>
            </w:r>
          </w:p>
          <w:p w14:paraId="309405BC" w14:textId="77777777" w:rsidR="002B43AA" w:rsidRPr="002B43AA" w:rsidRDefault="002B43AA" w:rsidP="002B43AA">
            <w:pPr>
              <w:spacing w:after="240"/>
              <w:rPr>
                <w:b/>
              </w:rPr>
            </w:pPr>
            <w:r w:rsidRPr="002B43AA">
              <w:rPr>
                <w:b/>
              </w:rPr>
              <w:t>6.</w:t>
            </w:r>
            <w:r w:rsidRPr="002B43AA">
              <w:rPr>
                <w:b/>
              </w:rPr>
              <w:tab/>
              <w:t>Par datu pieejamību un datu avotiem</w:t>
            </w:r>
          </w:p>
          <w:p w14:paraId="39ACC00F" w14:textId="77777777" w:rsidR="002B43AA" w:rsidRPr="002B43AA" w:rsidRDefault="002B43AA" w:rsidP="002B43AA">
            <w:pPr>
              <w:spacing w:after="240"/>
              <w:rPr>
                <w:bCs/>
              </w:rPr>
            </w:pPr>
            <w:r w:rsidRPr="002B43AA">
              <w:rPr>
                <w:bCs/>
              </w:rPr>
              <w:t xml:space="preserve">Informatīvā ziņojuma turpinājumā norādīts, ka “Iespēja integrēt PTAC licencēto nebanku kreditētāju datus Latvijas Bankas Kredītu reģistrā būtiski uzlabo valsts spēju: • uzraudzīt kreditēšanas apjomu visos segmentos, • identificēt riskus pārkreditēšanās un maksātnespējas kontekstā, • nodrošināt vienotu un objektīvu informācijas avotu visiem tirgus dalībniekiem”. Uzņēmuma ieskatā jau šobrīd PTAC un Latvijas Banka var savstarpēji apmainīties ar </w:t>
            </w:r>
            <w:r w:rsidRPr="002B43AA">
              <w:rPr>
                <w:bCs/>
              </w:rPr>
              <w:lastRenderedPageBreak/>
              <w:t>nepieciešamajiem datiem, tajā skaitā nepieciešamas gadījumā caur normatīvo aktu grozījumiem unificējot datus, kas kredītu devējiem jāsniedz uzraugam. Attiecīgi patērētāju kreditēšanas monitoringa un iespējamo risku identificēšanā jau šobrīd nepieciešamie dati ir pieejami uzraugiem,  ar kuriem tie var savstarpēji apmainīties. Tādēļ nav nepieciešams vienots uzraugs, un veikt nozares uzrauga maiņu ar domu konsolidēt datu avotus, nešķiet lietderīgs un samērīgs.</w:t>
            </w:r>
          </w:p>
          <w:p w14:paraId="3350D338" w14:textId="77777777" w:rsidR="002B43AA" w:rsidRPr="002B43AA" w:rsidRDefault="002B43AA" w:rsidP="002B43AA">
            <w:pPr>
              <w:spacing w:after="240"/>
              <w:rPr>
                <w:bCs/>
              </w:rPr>
            </w:pPr>
            <w:r w:rsidRPr="002B43AA">
              <w:rPr>
                <w:bCs/>
              </w:rPr>
              <w:t>Attiecībā uz vienoto informācijas avotu visiem tirgus dalībniekiem, tad, ciktāl uzņēmumam ir zināms, tad arī kredītiestādes savstarpējā informācijas apmaiņā par patērētāju kredītsaistībām izmanto kredītinformācijas birojus. Tāpēc tas, ka nebanku kreditētāji sniegtu nākotnē datus pa tiešo arī Kredītu reģistram, kreditētāju praksē neko nemainītu, jo tie izmanto un turpinātu izmantot kredītinformācijas biroju pakalpojumus, lai apmainītos ar nepieciešamajiem datiem.</w:t>
            </w:r>
          </w:p>
          <w:p w14:paraId="3EC3E808" w14:textId="77777777" w:rsidR="002B43AA" w:rsidRPr="002B43AA" w:rsidRDefault="002B43AA" w:rsidP="002B43AA">
            <w:pPr>
              <w:spacing w:after="240"/>
              <w:rPr>
                <w:bCs/>
              </w:rPr>
            </w:pPr>
            <w:r w:rsidRPr="002B43AA">
              <w:rPr>
                <w:bCs/>
              </w:rPr>
              <w:t xml:space="preserve">Informatīvā ziņojumā tālāk arī norādīts, ka “plašāks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 Uzņēmuma ieskatā arī šobrīd Latvijas Bankai ir iespējas sadarbībā ar PTAC panākt iepriekš minētos mērķus un uzņēmums neredz šķēršļus, kas to šobrīd liegtu kopējā sadarbībā ar PTAC. Uzņēmums neapstrīd, ka valstij būtu ērtāk, ja datus apkopotu viena </w:t>
            </w:r>
            <w:r w:rsidRPr="002B43AA">
              <w:rPr>
                <w:bCs/>
              </w:rPr>
              <w:lastRenderedPageBreak/>
              <w:t>iestāde, taču tas nevar būt pašmērķis, kā rezultātā tiek radīti papildus slogs un izdevumi komersantiem.</w:t>
            </w:r>
          </w:p>
          <w:p w14:paraId="055BE9A0" w14:textId="147A9265" w:rsidR="002B43AA" w:rsidRPr="002B43AA" w:rsidRDefault="002B43AA" w:rsidP="002B43AA">
            <w:pPr>
              <w:spacing w:after="240"/>
              <w:rPr>
                <w:b/>
              </w:rPr>
            </w:pPr>
            <w:r w:rsidRPr="002B43AA">
              <w:rPr>
                <w:b/>
              </w:rPr>
              <w:t>7.</w:t>
            </w:r>
            <w:r w:rsidRPr="002B43AA">
              <w:rPr>
                <w:b/>
              </w:rPr>
              <w:tab/>
              <w:t>Par centrālās bankas galvenajām funkcijām</w:t>
            </w:r>
          </w:p>
          <w:p w14:paraId="321E554D" w14:textId="77777777" w:rsidR="002B43AA" w:rsidRPr="002B43AA" w:rsidRDefault="002B43AA" w:rsidP="002B43AA">
            <w:pPr>
              <w:spacing w:after="240"/>
              <w:rPr>
                <w:bCs/>
              </w:rPr>
            </w:pPr>
            <w:r w:rsidRPr="002B43AA">
              <w:rPr>
                <w:bCs/>
              </w:rPr>
              <w:t>Uzņēmums joprojām uzskata, ka nebanku kreditētāju uzraudzība nav centrālās bankas galvenā funkcija, jo īpaši Latvijas gadījumā, kad ar patērētāju kredītu normatīvajos aktos tiek saprasts arī lombarda aizdevums (atšķirībā no Lietuvas, kur Lietuvas Banka nelicencē un neuzrauga lombarda aizdevumu izsniedzējus. Tāpat uzņēmumam ir šaubas, vai centrālā banka ir īstā institūcija, kurai būtu jāuzrauga atlikto maksājumu pakalpojumu sniedzēji.</w:t>
            </w:r>
          </w:p>
          <w:p w14:paraId="3FAB99F0" w14:textId="50BB2AF6" w:rsidR="006717AA" w:rsidRDefault="002B43AA" w:rsidP="002B43AA">
            <w:r w:rsidRPr="002B43AA">
              <w:rPr>
                <w:bCs/>
              </w:rPr>
              <w:t>Taču, ja šāda būtiska reforma tiek veikta, tad uzņēmums uzskata, ka arī parādu atgūšanas pakalpojumu sniedzēju uzraudzība ir jānodod Latvijas Bankai, jo šo pakalpojumu sniedzēju pakalpojumi ietver kredītu piedziņu, kredītu restrukturizācijas un citas darbības, kas pēc sava rakstura ir līdzīgas patērētāju kreditētāju veiktajām darbībām (izņemot patērētāja spējas atmaksāt kredītu izvērtēšanas un kredīta izsniegšanas posmu).</w:t>
            </w:r>
          </w:p>
        </w:tc>
        <w:tc>
          <w:tcPr>
            <w:tcW w:w="4820" w:type="dxa"/>
            <w:shd w:val="clear" w:color="auto" w:fill="FFFFFF"/>
            <w:noWrap/>
            <w:tcMar>
              <w:top w:w="75" w:type="dxa"/>
              <w:left w:w="75" w:type="dxa"/>
              <w:bottom w:w="75" w:type="dxa"/>
              <w:right w:w="75" w:type="dxa"/>
            </w:tcMar>
          </w:tcPr>
          <w:p w14:paraId="16DE12BE" w14:textId="77777777" w:rsidR="006717AA" w:rsidRDefault="00D82C5C" w:rsidP="00B67F8F">
            <w:pPr>
              <w:jc w:val="center"/>
              <w:rPr>
                <w:b/>
                <w:bCs/>
              </w:rPr>
            </w:pPr>
            <w:r w:rsidRPr="00D82C5C">
              <w:rPr>
                <w:b/>
                <w:bCs/>
              </w:rPr>
              <w:lastRenderedPageBreak/>
              <w:t>Ņemts vērā</w:t>
            </w:r>
          </w:p>
          <w:p w14:paraId="6D232892" w14:textId="77777777" w:rsidR="00D82C5C" w:rsidRDefault="00D82C5C">
            <w:pPr>
              <w:rPr>
                <w:b/>
                <w:bCs/>
              </w:rPr>
            </w:pPr>
          </w:p>
          <w:p w14:paraId="0D985985" w14:textId="787C92C2" w:rsidR="00B67F8F" w:rsidRDefault="00B67F8F">
            <w:r w:rsidRPr="00B67F8F">
              <w:t>Informatīvajā zinājumā</w:t>
            </w:r>
            <w:r>
              <w:t xml:space="preserve"> </w:t>
            </w:r>
            <w:r w:rsidRPr="00B67F8F">
              <w:rPr>
                <w:bCs/>
              </w:rPr>
              <w:t>“Par vienotas patērētāju kreditētāju licencēšanas un uzraudzības institūcijas noteikšanu” (turpmāk – informatīvais ziņojums)</w:t>
            </w:r>
            <w:r w:rsidRPr="00B67F8F">
              <w:t xml:space="preserve"> ir nodefinēti pamatprincipi patērētāju kreditēšanas pakalpojumu sniedzēju uzraudzības institūcijas maiņai</w:t>
            </w:r>
            <w:r w:rsidR="00502AF2">
              <w:t>, proti,</w:t>
            </w:r>
            <w:r w:rsidRPr="00B67F8F">
              <w:t xml:space="preserve"> </w:t>
            </w:r>
            <w:r w:rsidR="00502AF2" w:rsidRPr="00502AF2">
              <w:rPr>
                <w:bCs/>
              </w:rPr>
              <w:t>vienota uzrauga sistēmas ieviešan</w:t>
            </w:r>
            <w:r w:rsidR="0095523A">
              <w:rPr>
                <w:bCs/>
              </w:rPr>
              <w:t>ai</w:t>
            </w:r>
            <w:r w:rsidR="00502AF2" w:rsidRPr="00502AF2">
              <w:rPr>
                <w:bCs/>
              </w:rPr>
              <w:t xml:space="preserve"> Latvijā</w:t>
            </w:r>
            <w:r w:rsidR="0095523A">
              <w:rPr>
                <w:bCs/>
              </w:rPr>
              <w:t>.</w:t>
            </w:r>
          </w:p>
          <w:p w14:paraId="606640D6" w14:textId="77777777" w:rsidR="0092690B" w:rsidRDefault="0095523A">
            <w:r>
              <w:t>Atkārtoti uzsverams, ka a</w:t>
            </w:r>
            <w:r w:rsidR="0099422A">
              <w:t xml:space="preserve">r </w:t>
            </w:r>
            <w:r w:rsidR="00B67F8F" w:rsidRPr="00B67F8F">
              <w:t xml:space="preserve">šo plānoto reformu netiek palielināts </w:t>
            </w:r>
            <w:r w:rsidR="0099422A" w:rsidRPr="00B67F8F">
              <w:t>administratīvais</w:t>
            </w:r>
            <w:r w:rsidR="00B67F8F" w:rsidRPr="00B67F8F">
              <w:t xml:space="preserve"> slogs, netiek radīta negatīva ietekme uz </w:t>
            </w:r>
            <w:r w:rsidR="0099422A" w:rsidRPr="00B67F8F">
              <w:t>kreditēšanas</w:t>
            </w:r>
            <w:r w:rsidR="00B67F8F" w:rsidRPr="00B67F8F">
              <w:t xml:space="preserve"> </w:t>
            </w:r>
            <w:r w:rsidR="0099422A" w:rsidRPr="00B67F8F">
              <w:t>aktivitāti</w:t>
            </w:r>
            <w:r w:rsidR="00B67F8F" w:rsidRPr="00B67F8F">
              <w:t>,</w:t>
            </w:r>
            <w:r w:rsidR="00DD2C1A">
              <w:t xml:space="preserve"> kā arī</w:t>
            </w:r>
            <w:r w:rsidR="00B67F8F" w:rsidRPr="00B67F8F">
              <w:t xml:space="preserve"> </w:t>
            </w:r>
            <w:r w:rsidR="00DD2C1A">
              <w:t>netiek</w:t>
            </w:r>
            <w:r w:rsidR="00B67F8F" w:rsidRPr="00B67F8F">
              <w:t xml:space="preserve"> noteiktas papildus prudenciālās prasības </w:t>
            </w:r>
            <w:r w:rsidR="00DD2C1A">
              <w:t>patērētāju kreditēšanas</w:t>
            </w:r>
            <w:r w:rsidR="0092690B">
              <w:t xml:space="preserve"> pakalpojumu sniedzējiem</w:t>
            </w:r>
            <w:r w:rsidR="00B67F8F" w:rsidRPr="00B67F8F">
              <w:t xml:space="preserve">. </w:t>
            </w:r>
          </w:p>
          <w:p w14:paraId="5BD3EFDD" w14:textId="77777777" w:rsidR="00D82C5C" w:rsidRDefault="00B67F8F">
            <w:r w:rsidRPr="00B67F8F">
              <w:t xml:space="preserve">Līdz var to, strādājot pie normatīvā regulējuma izmaiņām, kas paredz </w:t>
            </w:r>
            <w:r w:rsidR="00216AC1" w:rsidRPr="00216AC1">
              <w:t>patērētāju kreditēšanas pakalpojumu sniedzēju uzraudzības institūcijas maiņ</w:t>
            </w:r>
            <w:r w:rsidR="00216AC1">
              <w:t xml:space="preserve">u, </w:t>
            </w:r>
            <w:r w:rsidR="00216AC1" w:rsidRPr="00216AC1">
              <w:t xml:space="preserve"> </w:t>
            </w:r>
            <w:r w:rsidR="00D50D9B">
              <w:t>vienlaikus Latvijas Banka</w:t>
            </w:r>
            <w:r w:rsidRPr="00B67F8F">
              <w:t xml:space="preserve"> ir aicinājusi </w:t>
            </w:r>
            <w:r w:rsidRPr="00B67F8F">
              <w:lastRenderedPageBreak/>
              <w:t xml:space="preserve">nozari detalizēti diskutēt par plānotajām izmaiņām, lai tikti ievēroti </w:t>
            </w:r>
            <w:r w:rsidR="00942AAE">
              <w:t xml:space="preserve">vienotas </w:t>
            </w:r>
            <w:r w:rsidRPr="00B67F8F">
              <w:t xml:space="preserve">uzraudzības iestādes maiņas galvenie principi. Tas iet kopsolī ar </w:t>
            </w:r>
            <w:r w:rsidR="001D1A07">
              <w:t>Eiropas Savienības</w:t>
            </w:r>
            <w:r w:rsidRPr="00B67F8F">
              <w:t xml:space="preserve"> līmenī izvirzītajiem finanšu sektora vienkāršošanas un proporcionalitātes pīlāriem.</w:t>
            </w:r>
          </w:p>
          <w:p w14:paraId="29A4AB3E" w14:textId="77777777" w:rsidR="001C61A4" w:rsidRDefault="001C61A4" w:rsidP="001C61A4">
            <w:r>
              <w:t xml:space="preserve">Līdz ar to, lai nodrošinātu, ka potenciālajiem Latvijas Bankas uzraugāmajiem kreditēšanas pakalpojumu sniedzējiem ir saprotams potenciālais uzraudzības ietvars, Latvijas Banka sadarbībā ar biedrības "Asociācija </w:t>
            </w:r>
            <w:proofErr w:type="spellStart"/>
            <w:r>
              <w:t>Fintech</w:t>
            </w:r>
            <w:proofErr w:type="spellEnd"/>
            <w:r>
              <w:t xml:space="preserve"> Latvija" biedriem ir uzsākusi vairāku tematisko virzienu sarunu ciklu, kura ietvaros tiek izskatīti galvenie uzraudzības aspekti un izrunāti neskaidrie jautājumi, izveidojot piecas tematiskās sarunu grupas:</w:t>
            </w:r>
          </w:p>
          <w:p w14:paraId="2D4A3C2C" w14:textId="77777777" w:rsidR="001C61A4" w:rsidRDefault="001C61A4" w:rsidP="001C61A4">
            <w:r>
              <w:t>1)  NILLTPFN jautājumi;</w:t>
            </w:r>
          </w:p>
          <w:p w14:paraId="13F324E0" w14:textId="77777777" w:rsidR="001C61A4" w:rsidRDefault="001C61A4" w:rsidP="001C61A4">
            <w:r>
              <w:t>2) kredītrisku/kredītspējas vērtēšana;</w:t>
            </w:r>
          </w:p>
          <w:p w14:paraId="71DA6463" w14:textId="77777777" w:rsidR="001C61A4" w:rsidRDefault="001C61A4" w:rsidP="001C61A4">
            <w:r>
              <w:t xml:space="preserve">3) </w:t>
            </w:r>
            <w:proofErr w:type="spellStart"/>
            <w:r>
              <w:t>pirmslīguma</w:t>
            </w:r>
            <w:proofErr w:type="spellEnd"/>
            <w:r>
              <w:t xml:space="preserve"> informācija un līguma saturs;</w:t>
            </w:r>
          </w:p>
          <w:p w14:paraId="624A20F3" w14:textId="77777777" w:rsidR="001C61A4" w:rsidRDefault="001C61A4" w:rsidP="001C61A4">
            <w:r>
              <w:t xml:space="preserve">4) reklāmas ierobežojumi, aizdevumu administrēšana un kvalitātes pārraudzība; </w:t>
            </w:r>
          </w:p>
          <w:p w14:paraId="50DEF533" w14:textId="77777777" w:rsidR="001C61A4" w:rsidRDefault="001C61A4" w:rsidP="001C61A4">
            <w:r>
              <w:t xml:space="preserve">5) pārvaldības jautājumi. </w:t>
            </w:r>
          </w:p>
          <w:p w14:paraId="14718716" w14:textId="77777777" w:rsidR="001C61A4" w:rsidRDefault="001C61A4" w:rsidP="001C61A4">
            <w:r>
              <w:t xml:space="preserve">Latvijas Banka nodrošina atvērtu komunikāciju ar potenciālajiem tirgus dalībniekiem, lai jau šobrīd veidotu savstarpēju dialogu, kas nākotnē rezultētos efektīvā uzraudzības sistēmā, kas nodrošina, ka godprātīgiem tirgus dalībniekiem netiek radīts lieks administratīvais slogs un uzraudzība darbotos visu iesaistīto pušu interesēs. </w:t>
            </w:r>
          </w:p>
          <w:p w14:paraId="3B839A2D" w14:textId="62581D7F" w:rsidR="001C61A4" w:rsidRDefault="001C61A4" w:rsidP="001C61A4">
            <w:r>
              <w:t xml:space="preserve">Detalizētās sarunas par uzraudzības procesa praktiskajiem aspektiem notiek, ņemot vērā </w:t>
            </w:r>
            <w:r>
              <w:lastRenderedPageBreak/>
              <w:t xml:space="preserve">principus par ko ir panākta vienošanās, uzsākot šo procesu – funkciju pārdale un uzraudzības ietvara maiņa nerada papildus administratīvo slogu </w:t>
            </w:r>
            <w:proofErr w:type="spellStart"/>
            <w:r>
              <w:t>nebanku</w:t>
            </w:r>
            <w:proofErr w:type="spellEnd"/>
            <w:r>
              <w:t xml:space="preserve"> kreditēšanas nozarei, un tā nerada negatīvu ietekmi uz kreditēšanas aktivitāti kopumā, kā arī nav paredzēts, ka funkciju pārņemšanas rezultātā tiks veikta atkārtota licencēšana esošajiem tirgus dalībniekiem. Patērētāju kreditēšanas pakalpojumu sniedzējiem nav plānots ieviest </w:t>
            </w:r>
            <w:proofErr w:type="spellStart"/>
            <w:r>
              <w:t>prudenciālās</w:t>
            </w:r>
            <w:proofErr w:type="spellEnd"/>
            <w:r>
              <w:t xml:space="preserve"> uzraudzības prasības, jo sektors nepiesaista noguldījumus un nepastāv riski un apsvērumi </w:t>
            </w:r>
            <w:proofErr w:type="spellStart"/>
            <w:r>
              <w:t>prudenciālo</w:t>
            </w:r>
            <w:proofErr w:type="spellEnd"/>
            <w:r>
              <w:t xml:space="preserve"> prasību ieviešanai.</w:t>
            </w:r>
          </w:p>
          <w:p w14:paraId="31E3DFFA" w14:textId="77777777" w:rsidR="001D1A07" w:rsidRDefault="001D1A07"/>
          <w:p w14:paraId="0381499A" w14:textId="77777777" w:rsidR="001D1A07" w:rsidRDefault="00CB1E54">
            <w:r>
              <w:t xml:space="preserve">Attiecībā uz </w:t>
            </w:r>
            <w:r w:rsidR="00825F75">
              <w:t xml:space="preserve">1. punktā minēto norādāms, ka </w:t>
            </w:r>
            <w:r w:rsidR="006A1CD7">
              <w:t>iebildums ir ņemts vērā</w:t>
            </w:r>
            <w:r w:rsidR="005A0E15">
              <w:t>,</w:t>
            </w:r>
            <w:r w:rsidR="006A1CD7">
              <w:t xml:space="preserve"> un </w:t>
            </w:r>
            <w:r w:rsidR="005A0E15">
              <w:t>atbilstoši ir precizēta informatīvā ziņojuma ievaddaļa.</w:t>
            </w:r>
          </w:p>
          <w:p w14:paraId="72696D41" w14:textId="77777777" w:rsidR="005A0E15" w:rsidRDefault="005A0E15"/>
          <w:p w14:paraId="3D9A8955" w14:textId="06B104C2" w:rsidR="0095755E" w:rsidRDefault="005A0E15" w:rsidP="0095755E">
            <w:r>
              <w:t xml:space="preserve">Attiecībā uz </w:t>
            </w:r>
            <w:r w:rsidR="005C187B">
              <w:t>2.</w:t>
            </w:r>
            <w:r w:rsidR="003F06FD">
              <w:t> </w:t>
            </w:r>
            <w:r w:rsidR="005C187B">
              <w:t xml:space="preserve">punktā </w:t>
            </w:r>
            <w:r w:rsidR="003F06FD">
              <w:t xml:space="preserve">minēto </w:t>
            </w:r>
            <w:r w:rsidR="0095755E" w:rsidRPr="0095755E">
              <w:t xml:space="preserve">par atlikta maksājuma pakalpojumu sniedzējiem, </w:t>
            </w:r>
            <w:r w:rsidR="00C4071C">
              <w:t>vēršam uzmanību</w:t>
            </w:r>
            <w:r w:rsidR="0095755E" w:rsidRPr="0095755E">
              <w:t xml:space="preserve">, </w:t>
            </w:r>
            <w:r w:rsidR="006F3561">
              <w:t>uz to</w:t>
            </w:r>
            <w:r w:rsidR="0095755E" w:rsidRPr="0095755E">
              <w:t>, ka pēc uzraudzības modeļa maiņas, kapitālsabiedrību, kuras piešķir kredītu atlikta maksājuma veidā savu preču vai pakalpojumu iegādei, reģistrēšanas un uzraudzības funkcij</w:t>
            </w:r>
            <w:r w:rsidR="00522678">
              <w:t>u</w:t>
            </w:r>
            <w:r w:rsidR="00756607">
              <w:t xml:space="preserve"> būtu</w:t>
            </w:r>
            <w:r w:rsidR="0095755E" w:rsidRPr="0095755E">
              <w:t xml:space="preserve"> </w:t>
            </w:r>
            <w:r w:rsidR="00756607">
              <w:t>nododama</w:t>
            </w:r>
            <w:r w:rsidR="0095755E" w:rsidRPr="0095755E">
              <w:t xml:space="preserve"> Latvijas Banka</w:t>
            </w:r>
            <w:r w:rsidR="00756607">
              <w:t>i</w:t>
            </w:r>
            <w:r w:rsidR="0095755E" w:rsidRPr="0095755E">
              <w:t>.</w:t>
            </w:r>
            <w:r w:rsidR="00756607">
              <w:t xml:space="preserve"> </w:t>
            </w:r>
            <w:r w:rsidR="0095755E" w:rsidRPr="0095755E">
              <w:t xml:space="preserve">Līdz ar to ir papildināts informatīvais ziņojums un </w:t>
            </w:r>
            <w:proofErr w:type="spellStart"/>
            <w:r w:rsidR="0095755E" w:rsidRPr="0095755E">
              <w:t>protokollēmums</w:t>
            </w:r>
            <w:proofErr w:type="spellEnd"/>
            <w:r w:rsidR="0095755E" w:rsidRPr="0095755E">
              <w:t xml:space="preserve"> ar jaunu punktu: “3. Atbalstīt, ka kapitālsabiedrību, kuras piešķir kredītu atlikta maksājuma veidā savu preču vai pakalpojumu iegādei, reģistrēšanas un uzraudzības funkcijas īstenos Latvijas Banka.”</w:t>
            </w:r>
          </w:p>
          <w:p w14:paraId="19249BF9" w14:textId="7DE3550A" w:rsidR="00756607" w:rsidRDefault="00756607" w:rsidP="0095755E">
            <w:r>
              <w:lastRenderedPageBreak/>
              <w:t xml:space="preserve">Vienlaikus </w:t>
            </w:r>
            <w:r w:rsidR="00C53070">
              <w:t>nepieciešams</w:t>
            </w:r>
            <w:r>
              <w:t xml:space="preserve"> jautājum</w:t>
            </w:r>
            <w:r w:rsidR="00C53070">
              <w:t>u</w:t>
            </w:r>
            <w:r>
              <w:t xml:space="preserve"> </w:t>
            </w:r>
            <w:r w:rsidRPr="00756607">
              <w:t>par atlikta maksājuma pakalpojumu sniedzējiem</w:t>
            </w:r>
            <w:r w:rsidR="007D264F">
              <w:t xml:space="preserve"> un ar tiem saistīto normatīvo regulējumu </w:t>
            </w:r>
            <w:r w:rsidR="00626A39">
              <w:t>nozarei</w:t>
            </w:r>
            <w:r w:rsidR="00E84D27">
              <w:t xml:space="preserve"> </w:t>
            </w:r>
            <w:r w:rsidR="00B32488">
              <w:t xml:space="preserve">izdiskutēt </w:t>
            </w:r>
            <w:r w:rsidR="00E84D27">
              <w:t>kopā ar Latvijas Banku</w:t>
            </w:r>
            <w:r w:rsidR="001B2E1F">
              <w:t xml:space="preserve">, kas izdarāms paralēli </w:t>
            </w:r>
            <w:r w:rsidR="00B230A4">
              <w:t>plānotās reformas virzībai.</w:t>
            </w:r>
          </w:p>
          <w:p w14:paraId="7B110DBB" w14:textId="77777777" w:rsidR="00DE255F" w:rsidRPr="00DE255F" w:rsidRDefault="00DE255F" w:rsidP="0095755E">
            <w:pPr>
              <w:rPr>
                <w:color w:val="EE0000"/>
              </w:rPr>
            </w:pPr>
          </w:p>
          <w:p w14:paraId="1D8E692F" w14:textId="77777777" w:rsidR="00F32F5B" w:rsidRDefault="00B92B8B">
            <w:r w:rsidRPr="00B92B8B">
              <w:t xml:space="preserve">Attiecībā uz </w:t>
            </w:r>
            <w:r>
              <w:t>3</w:t>
            </w:r>
            <w:r w:rsidRPr="00B92B8B">
              <w:t>. punktā minēto</w:t>
            </w:r>
            <w:r w:rsidR="009E52CA">
              <w:t xml:space="preserve"> par kredītiestādes un tās meitas sabiedrību uzraudzību norādāms, ka </w:t>
            </w:r>
            <w:r w:rsidR="0074214E">
              <w:t xml:space="preserve">aprakstītais </w:t>
            </w:r>
            <w:r w:rsidR="00D219E9">
              <w:t>biznesa prakses modelis</w:t>
            </w:r>
            <w:r w:rsidR="00D4426C">
              <w:t>, ka</w:t>
            </w:r>
            <w:r w:rsidR="00796660">
              <w:t xml:space="preserve"> uzņēmuma “</w:t>
            </w:r>
            <w:r w:rsidR="00D4426C" w:rsidRPr="00D4426C">
              <w:t>grupas ietvaros ir juridiskas personas ar dažādām atļaujām jeb speciālajām licencēm un katrai no tām ir cits uzraugs, ievērojot arī juridisko personu atbildības nošķiršanas principu</w:t>
            </w:r>
            <w:r w:rsidR="00796660">
              <w:t>”</w:t>
            </w:r>
            <w:r w:rsidR="007C7A08">
              <w:t>, būtu atzīstams par pieņemamu</w:t>
            </w:r>
            <w:r w:rsidR="00D1441C">
              <w:t xml:space="preserve"> praksi</w:t>
            </w:r>
            <w:r w:rsidR="00367B53">
              <w:t>, kad uzņēmumam</w:t>
            </w:r>
            <w:r w:rsidR="00E448A3">
              <w:t xml:space="preserve"> ir</w:t>
            </w:r>
            <w:r w:rsidR="00367B53">
              <w:t xml:space="preserve"> vairāki uzraugi.</w:t>
            </w:r>
            <w:r w:rsidR="00B9384D">
              <w:t xml:space="preserve"> </w:t>
            </w:r>
          </w:p>
          <w:p w14:paraId="0F414319" w14:textId="77777777" w:rsidR="00EE73AA" w:rsidRDefault="00F32F5B">
            <w:r>
              <w:t xml:space="preserve">Pie tam, </w:t>
            </w:r>
            <w:r w:rsidRPr="001D7489">
              <w:t>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w:t>
            </w:r>
            <w:r>
              <w:t xml:space="preserve">. </w:t>
            </w:r>
          </w:p>
          <w:p w14:paraId="53088BB6" w14:textId="77777777" w:rsidR="00B9384D" w:rsidRPr="007677A7" w:rsidRDefault="00EE73AA">
            <w:pPr>
              <w:rPr>
                <w:color w:val="auto"/>
              </w:rPr>
            </w:pPr>
            <w:r>
              <w:t>Tāpat arī</w:t>
            </w:r>
            <w:r w:rsidR="004168FC">
              <w:t xml:space="preserve"> </w:t>
            </w:r>
            <w:r w:rsidR="004168FC" w:rsidRPr="007677A7">
              <w:rPr>
                <w:color w:val="auto"/>
              </w:rPr>
              <w:t xml:space="preserve">valstij nav obligāti jāseko </w:t>
            </w:r>
            <w:r w:rsidRPr="007677A7">
              <w:rPr>
                <w:color w:val="auto"/>
              </w:rPr>
              <w:t xml:space="preserve">biznesa </w:t>
            </w:r>
            <w:r w:rsidR="004168FC" w:rsidRPr="007677A7">
              <w:rPr>
                <w:color w:val="auto"/>
              </w:rPr>
              <w:t xml:space="preserve">praksē pieņemtiem </w:t>
            </w:r>
            <w:r w:rsidR="00757C23" w:rsidRPr="007677A7">
              <w:rPr>
                <w:color w:val="auto"/>
              </w:rPr>
              <w:t>modeļiem un risinājumiem.</w:t>
            </w:r>
            <w:r w:rsidR="00E57903" w:rsidRPr="007677A7">
              <w:rPr>
                <w:color w:val="auto"/>
              </w:rPr>
              <w:t xml:space="preserve"> Tā ir valsts </w:t>
            </w:r>
            <w:r w:rsidR="001D7489" w:rsidRPr="007677A7">
              <w:rPr>
                <w:color w:val="auto"/>
              </w:rPr>
              <w:t>brīva</w:t>
            </w:r>
            <w:r w:rsidR="007C774B" w:rsidRPr="007677A7">
              <w:rPr>
                <w:color w:val="auto"/>
              </w:rPr>
              <w:t xml:space="preserve"> un apzināta</w:t>
            </w:r>
            <w:r w:rsidR="001D7489" w:rsidRPr="007677A7">
              <w:rPr>
                <w:color w:val="auto"/>
              </w:rPr>
              <w:t xml:space="preserve"> </w:t>
            </w:r>
            <w:r w:rsidR="00B6718C" w:rsidRPr="007677A7">
              <w:rPr>
                <w:color w:val="auto"/>
              </w:rPr>
              <w:t>izvēle</w:t>
            </w:r>
            <w:r w:rsidR="007C774B" w:rsidRPr="007677A7">
              <w:rPr>
                <w:color w:val="auto"/>
              </w:rPr>
              <w:t>, -</w:t>
            </w:r>
            <w:r w:rsidR="001D7489" w:rsidRPr="007677A7">
              <w:rPr>
                <w:color w:val="auto"/>
              </w:rPr>
              <w:t xml:space="preserve"> kādu uzraudzības modeli izvēlēties</w:t>
            </w:r>
            <w:r w:rsidR="007C774B" w:rsidRPr="007677A7">
              <w:rPr>
                <w:color w:val="auto"/>
              </w:rPr>
              <w:t xml:space="preserve">, </w:t>
            </w:r>
            <w:r w:rsidR="00D84CFD" w:rsidRPr="007677A7">
              <w:rPr>
                <w:color w:val="auto"/>
              </w:rPr>
              <w:t xml:space="preserve">tajā </w:t>
            </w:r>
            <w:r w:rsidR="005335A8" w:rsidRPr="007677A7">
              <w:rPr>
                <w:color w:val="auto"/>
              </w:rPr>
              <w:t>skaitā vienas uzraudzības institūcijas izvēle</w:t>
            </w:r>
            <w:r w:rsidR="001D7489" w:rsidRPr="007677A7">
              <w:rPr>
                <w:color w:val="auto"/>
              </w:rPr>
              <w:t xml:space="preserve">. </w:t>
            </w:r>
          </w:p>
          <w:p w14:paraId="3B354BA9" w14:textId="77777777" w:rsidR="007677A7" w:rsidRPr="007677A7" w:rsidRDefault="007677A7">
            <w:pPr>
              <w:rPr>
                <w:color w:val="auto"/>
              </w:rPr>
            </w:pPr>
          </w:p>
          <w:p w14:paraId="5CFC3792" w14:textId="079605E7" w:rsidR="007677A7" w:rsidRPr="007677A7" w:rsidRDefault="007677A7" w:rsidP="007677A7">
            <w:pPr>
              <w:rPr>
                <w:color w:val="auto"/>
              </w:rPr>
            </w:pPr>
            <w:r w:rsidRPr="007677A7">
              <w:rPr>
                <w:color w:val="auto"/>
              </w:rPr>
              <w:t xml:space="preserve">Attiecībā uz 4. punktā minēto norādāms, ka vienota uzrauga izveides mērķis ir novērst sistēmisku neskaidrību, nevis reaģēt tikai uz jau </w:t>
            </w:r>
            <w:r w:rsidRPr="007677A7">
              <w:rPr>
                <w:color w:val="auto"/>
              </w:rPr>
              <w:lastRenderedPageBreak/>
              <w:t>kvantitatīvi izmērītām sekām. Pretēji uzņēmuma apgalvojumam, vienots uzraugs tieši samazina risku, ka līdzīgi finanšu tirgus dalībnieki tiek uzraudzīti pēc atšķirīgiem principiem atkarībā no sniedzēja juridiskā statusa.</w:t>
            </w:r>
          </w:p>
          <w:p w14:paraId="52ECB14E" w14:textId="77777777" w:rsidR="007677A7" w:rsidRPr="007677A7" w:rsidRDefault="007677A7" w:rsidP="007677A7">
            <w:pPr>
              <w:rPr>
                <w:color w:val="auto"/>
              </w:rPr>
            </w:pPr>
            <w:r w:rsidRPr="007677A7">
              <w:rPr>
                <w:color w:val="auto"/>
              </w:rPr>
              <w:t>“</w:t>
            </w:r>
            <w:proofErr w:type="spellStart"/>
            <w:r w:rsidRPr="007677A7">
              <w:rPr>
                <w:i/>
                <w:iCs/>
                <w:color w:val="auto"/>
              </w:rPr>
              <w:t>Buy</w:t>
            </w:r>
            <w:proofErr w:type="spellEnd"/>
            <w:r w:rsidRPr="007677A7">
              <w:rPr>
                <w:i/>
                <w:iCs/>
                <w:color w:val="auto"/>
              </w:rPr>
              <w:t xml:space="preserve"> </w:t>
            </w:r>
            <w:proofErr w:type="spellStart"/>
            <w:r w:rsidRPr="007677A7">
              <w:rPr>
                <w:i/>
                <w:iCs/>
                <w:color w:val="auto"/>
              </w:rPr>
              <w:t>now</w:t>
            </w:r>
            <w:proofErr w:type="spellEnd"/>
            <w:r w:rsidRPr="007677A7">
              <w:rPr>
                <w:i/>
                <w:iCs/>
                <w:color w:val="auto"/>
              </w:rPr>
              <w:t xml:space="preserve"> </w:t>
            </w:r>
            <w:proofErr w:type="spellStart"/>
            <w:r w:rsidRPr="007677A7">
              <w:rPr>
                <w:i/>
                <w:iCs/>
                <w:color w:val="auto"/>
              </w:rPr>
              <w:t>pay</w:t>
            </w:r>
            <w:proofErr w:type="spellEnd"/>
            <w:r w:rsidRPr="007677A7">
              <w:rPr>
                <w:i/>
                <w:iCs/>
                <w:color w:val="auto"/>
              </w:rPr>
              <w:t xml:space="preserve"> </w:t>
            </w:r>
            <w:proofErr w:type="spellStart"/>
            <w:r w:rsidRPr="007677A7">
              <w:rPr>
                <w:i/>
                <w:iCs/>
                <w:color w:val="auto"/>
              </w:rPr>
              <w:t>later</w:t>
            </w:r>
            <w:proofErr w:type="spellEnd"/>
            <w:r w:rsidRPr="007677A7">
              <w:rPr>
                <w:color w:val="auto"/>
              </w:rPr>
              <w:t xml:space="preserve">” un lombarda aizdevumi pēc būtības ir finanšu pakalpojumi ar kredītrisku un ietekmi uz mājsaimniecību parādsaistībām, tādējādi to uzraudzība ir loģiski integrējama finanšu tirgus uzraudzības sistēmā. Latvijas Bankas pieredze </w:t>
            </w:r>
            <w:proofErr w:type="spellStart"/>
            <w:r w:rsidRPr="007677A7">
              <w:rPr>
                <w:color w:val="auto"/>
              </w:rPr>
              <w:t>makroprudenciālajā</w:t>
            </w:r>
            <w:proofErr w:type="spellEnd"/>
            <w:r w:rsidRPr="007677A7">
              <w:rPr>
                <w:color w:val="auto"/>
              </w:rPr>
              <w:t xml:space="preserve"> uzraudzībā ļauj izvērtēt šo produktu ietekmi ne tikai individuālā patērētāja, bet arī finanšu stabilitātes līmenī, kas neietilpst PTAC </w:t>
            </w:r>
            <w:proofErr w:type="spellStart"/>
            <w:r w:rsidRPr="007677A7">
              <w:rPr>
                <w:color w:val="auto"/>
              </w:rPr>
              <w:t>pamatkompetencē</w:t>
            </w:r>
            <w:proofErr w:type="spellEnd"/>
            <w:r w:rsidRPr="007677A7">
              <w:rPr>
                <w:color w:val="auto"/>
              </w:rPr>
              <w:t>.</w:t>
            </w:r>
          </w:p>
          <w:p w14:paraId="5D5AF24C" w14:textId="77777777" w:rsidR="007677A7" w:rsidRPr="007677A7" w:rsidRDefault="007677A7" w:rsidP="007677A7">
            <w:pPr>
              <w:rPr>
                <w:color w:val="auto"/>
              </w:rPr>
            </w:pPr>
            <w:r w:rsidRPr="007677A7">
              <w:rPr>
                <w:color w:val="auto"/>
              </w:rPr>
              <w:t>Fakts, ka uzņēmums paralēli sniedz finanšu pakalpojumus un nodarbojas ar mazumtirdzniecību, pats par sevi nenozīmē sistēmisku sadrumstalotību, tie ir būtiski atšķirīgi uzņēmuma darbības veidi un nav racionāli uzskatīt, ka pilnīgi visa uzņēmēju uzraudzība būtu nodrošināma vienā iestādē. Reforma paredz uzraudzības sadalījumu pēc darbības veida, nevis pēc komersanta, kas atbilst labas pārvaldības un samērīguma principiem.</w:t>
            </w:r>
          </w:p>
          <w:p w14:paraId="050E3C35" w14:textId="77777777" w:rsidR="007677A7" w:rsidRPr="007677A7" w:rsidRDefault="007677A7" w:rsidP="007677A7">
            <w:pPr>
              <w:rPr>
                <w:color w:val="auto"/>
              </w:rPr>
            </w:pPr>
            <w:r w:rsidRPr="007677A7">
              <w:rPr>
                <w:color w:val="auto"/>
              </w:rPr>
              <w:t xml:space="preserve">Latvijas Banka neapšauba PTAC pieredzi patērētāju tiesību aizsardzībā, tomēr finanšu pakalpojumu joma prasa padziļinātu ekonomisko, finanšu un sistēmisko risku analīzi, kas ir centrālās bankas </w:t>
            </w:r>
            <w:proofErr w:type="spellStart"/>
            <w:r w:rsidRPr="007677A7">
              <w:rPr>
                <w:color w:val="auto"/>
              </w:rPr>
              <w:t>pamatkompetence</w:t>
            </w:r>
            <w:proofErr w:type="spellEnd"/>
            <w:r w:rsidRPr="007677A7">
              <w:rPr>
                <w:color w:val="auto"/>
              </w:rPr>
              <w:t>.</w:t>
            </w:r>
          </w:p>
          <w:p w14:paraId="27056E43" w14:textId="77777777" w:rsidR="007677A7" w:rsidRPr="007677A7" w:rsidRDefault="007677A7" w:rsidP="007677A7">
            <w:pPr>
              <w:rPr>
                <w:color w:val="auto"/>
              </w:rPr>
            </w:pPr>
          </w:p>
          <w:p w14:paraId="0E2874A1" w14:textId="2D91FEAA" w:rsidR="007677A7" w:rsidRPr="007677A7" w:rsidRDefault="007677A7" w:rsidP="007677A7">
            <w:pPr>
              <w:rPr>
                <w:color w:val="auto"/>
              </w:rPr>
            </w:pPr>
            <w:r w:rsidRPr="007677A7">
              <w:rPr>
                <w:color w:val="auto"/>
              </w:rPr>
              <w:t xml:space="preserve">Par 5. punktā minēto – Latvijas Bankas uzraudzība ļauj vērtēt līgumu nosacījumus </w:t>
            </w:r>
            <w:r w:rsidRPr="007677A7">
              <w:rPr>
                <w:color w:val="auto"/>
              </w:rPr>
              <w:lastRenderedPageBreak/>
              <w:t>vienotā finanšu tirgus praksē, novēršot situācijas, kur formāli atbilstoši, bet pēc būtības nelīdzsvaroti nosacījumi kļūst par tirgus standartu. Tāpat attiecībā uz norādīto par stingru regulējumu patērētāju kreditēšanā, vēršam uzmanību, ka stingrs regulējums pats par sevi neizslēdz nepieciešamību pēc efektīvas un datos balstītas uzraudzības.</w:t>
            </w:r>
          </w:p>
          <w:p w14:paraId="410F00E1" w14:textId="77777777" w:rsidR="007677A7" w:rsidRPr="007677A7" w:rsidRDefault="007677A7" w:rsidP="007677A7">
            <w:pPr>
              <w:rPr>
                <w:color w:val="auto"/>
              </w:rPr>
            </w:pPr>
            <w:r w:rsidRPr="007677A7">
              <w:rPr>
                <w:color w:val="auto"/>
              </w:rPr>
              <w:t>Par finanšu pakalpojumu pieejamību reģionos – finanšu pakalpojumu pieejamība nav reducējama tikai uz fizisku klātbūtni vai tiešsaistes pakalpojumiem, bet ietver arī kredītu nosacījumus, risku apetīti un institucionālo uzvedību. Vienots uzraugs ļauj vērtēt banku un nebanku sektoru savstarpējā mijiedarbībā, identificējot strukturālus šķēršļus kreditēšanai reģionos.</w:t>
            </w:r>
          </w:p>
          <w:p w14:paraId="77A1A102" w14:textId="77777777" w:rsidR="007677A7" w:rsidRPr="007677A7" w:rsidRDefault="007677A7" w:rsidP="007677A7">
            <w:pPr>
              <w:rPr>
                <w:color w:val="auto"/>
              </w:rPr>
            </w:pPr>
          </w:p>
          <w:p w14:paraId="0EAAD1CD" w14:textId="55864B47" w:rsidR="007677A7" w:rsidRPr="007677A7" w:rsidRDefault="007677A7" w:rsidP="007677A7">
            <w:pPr>
              <w:rPr>
                <w:color w:val="auto"/>
              </w:rPr>
            </w:pPr>
            <w:r w:rsidRPr="007677A7">
              <w:rPr>
                <w:color w:val="auto"/>
              </w:rPr>
              <w:t>Attiecībā uz 6. punktā minēto norādāms, ka formāla datu apmaiņa starp iestādēm nav līdzvērtīga vienotai datu infrastruktūrai. Centralizēta datu vākšana vienā iestādē samazina dublēšanos, interpretācijas atšķirības un reakcijas laiku uz riskiem. Vienots uzraugs ļauj ātrāk identificēt pārkreditēšanās tendences, pirms tās kļūst sistēmiskas.</w:t>
            </w:r>
          </w:p>
          <w:p w14:paraId="4A3F538E" w14:textId="77777777" w:rsidR="007677A7" w:rsidRPr="007677A7" w:rsidRDefault="007677A7" w:rsidP="007677A7">
            <w:pPr>
              <w:rPr>
                <w:color w:val="auto"/>
              </w:rPr>
            </w:pPr>
          </w:p>
          <w:p w14:paraId="7A753D42" w14:textId="7193C552" w:rsidR="007677A7" w:rsidRPr="007677A7" w:rsidRDefault="007677A7" w:rsidP="007677A7">
            <w:pPr>
              <w:rPr>
                <w:color w:val="auto"/>
              </w:rPr>
            </w:pPr>
            <w:r w:rsidRPr="007677A7">
              <w:rPr>
                <w:color w:val="auto"/>
              </w:rPr>
              <w:t>Par 7. punktā minēto – attiecībā uz centrālās bankas funkcijām norādāms, ka, pētot ārvalstu praksi, var secināt, ka centrālajām bankām un finanšu uzraugiem arvien biežāk tiek uzticēta arī patērētāju tiesību aizsardzība.</w:t>
            </w:r>
          </w:p>
          <w:p w14:paraId="7EBC0289" w14:textId="77777777" w:rsidR="007677A7" w:rsidRPr="007677A7" w:rsidRDefault="007677A7" w:rsidP="007677A7">
            <w:pPr>
              <w:rPr>
                <w:color w:val="auto"/>
              </w:rPr>
            </w:pPr>
            <w:r w:rsidRPr="007677A7">
              <w:rPr>
                <w:color w:val="auto"/>
              </w:rPr>
              <w:lastRenderedPageBreak/>
              <w:t>Prudenciālās uzraudzības neesamība nenozīmē, ka tirgus uzvedības (</w:t>
            </w:r>
            <w:proofErr w:type="spellStart"/>
            <w:r w:rsidRPr="007677A7">
              <w:rPr>
                <w:i/>
                <w:iCs/>
                <w:color w:val="auto"/>
              </w:rPr>
              <w:t>conduct</w:t>
            </w:r>
            <w:proofErr w:type="spellEnd"/>
            <w:r w:rsidRPr="007677A7">
              <w:rPr>
                <w:color w:val="auto"/>
              </w:rPr>
              <w:t>) uzraudzība nav centrālās bankas kompetencē. Tieši tas, ka sektors nerada sistēmisku risku šodien, ir arguments savlaicīgai uzraudzības modernizācijai, nevis tās atlikšanai līdz krīzei.</w:t>
            </w:r>
          </w:p>
          <w:p w14:paraId="0DBA41D3" w14:textId="77777777" w:rsidR="007677A7" w:rsidRPr="007677A7" w:rsidRDefault="007677A7" w:rsidP="007677A7">
            <w:pPr>
              <w:rPr>
                <w:color w:val="auto"/>
              </w:rPr>
            </w:pPr>
            <w:r w:rsidRPr="007677A7">
              <w:rPr>
                <w:color w:val="auto"/>
              </w:rPr>
              <w:t>Līdz ar to vienota patērētāju kreditēšanas uzrauga noteikšana Latvijas Bankas personā ir samērīgs, starptautiskai praksei atbilstošs un ilgtermiņā patērētājiem un finanšu sistēmai izdevīgs risinājums.</w:t>
            </w:r>
          </w:p>
          <w:p w14:paraId="353D523F" w14:textId="0E66B403" w:rsidR="00D86F9F" w:rsidRPr="00D86F9F" w:rsidRDefault="007677A7">
            <w:pPr>
              <w:rPr>
                <w:color w:val="auto"/>
              </w:rPr>
            </w:pPr>
            <w:r w:rsidRPr="007677A7">
              <w:rPr>
                <w:color w:val="auto"/>
              </w:rPr>
              <w:t>Parādu atgūšanas pakalpojumu sniedzēji nesniedz finanšu pakalpojumus, bet gan atgūst parādus, kas radušies saistību neizpildes gadījumā, kas pēc savas būtības ir komercpakalpojums, nevis finanšu pakalpojums.</w:t>
            </w:r>
          </w:p>
        </w:tc>
        <w:tc>
          <w:tcPr>
            <w:tcW w:w="1592" w:type="dxa"/>
            <w:shd w:val="clear" w:color="auto" w:fill="FFFFFF"/>
            <w:noWrap/>
            <w:tcMar>
              <w:top w:w="75" w:type="dxa"/>
              <w:left w:w="75" w:type="dxa"/>
              <w:bottom w:w="75" w:type="dxa"/>
              <w:right w:w="75" w:type="dxa"/>
            </w:tcMar>
          </w:tcPr>
          <w:p w14:paraId="0C890E5C" w14:textId="77777777" w:rsidR="006717AA" w:rsidRDefault="0008488D">
            <w:pPr>
              <w:spacing w:after="240"/>
              <w:rPr>
                <w:b/>
              </w:rPr>
            </w:pPr>
            <w:r>
              <w:rPr>
                <w:b/>
              </w:rPr>
              <w:lastRenderedPageBreak/>
              <w:t>Informatīvais ziņojums</w:t>
            </w:r>
          </w:p>
          <w:p w14:paraId="00F8A03D" w14:textId="77777777" w:rsidR="006717AA" w:rsidRDefault="0008488D">
            <w:r>
              <w:t>-</w:t>
            </w:r>
          </w:p>
        </w:tc>
      </w:tr>
    </w:tbl>
    <w:p w14:paraId="3676D7DD" w14:textId="77777777" w:rsidR="0008488D" w:rsidRDefault="0008488D"/>
    <w:sectPr w:rsidR="0008488D" w:rsidSect="002B43AA">
      <w:headerReference w:type="default" r:id="rId7"/>
      <w:footerReference w:type="default" r:id="rId8"/>
      <w:headerReference w:type="first" r:id="rId9"/>
      <w:footerReference w:type="first" r:id="rId10"/>
      <w:pgSz w:w="16833" w:h="11908" w:orient="landscape"/>
      <w:pgMar w:top="1133" w:right="673" w:bottom="1133"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C5EA4" w14:textId="77777777" w:rsidR="00F16824" w:rsidRDefault="00F16824">
      <w:r>
        <w:separator/>
      </w:r>
    </w:p>
  </w:endnote>
  <w:endnote w:type="continuationSeparator" w:id="0">
    <w:p w14:paraId="4C024CEC" w14:textId="77777777" w:rsidR="00F16824" w:rsidRDefault="00F16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C023" w14:textId="77777777" w:rsidR="006717AA" w:rsidRDefault="0008488D">
    <w:pPr>
      <w:jc w:val="right"/>
    </w:pPr>
    <w:r>
      <w:rPr>
        <w:szCs w:val="24"/>
      </w:rPr>
      <w:fldChar w:fldCharType="begin"/>
    </w:r>
    <w:r>
      <w:rPr>
        <w:szCs w:val="24"/>
      </w:rPr>
      <w:instrText>PAGE</w:instrText>
    </w:r>
    <w:r>
      <w:rPr>
        <w:szCs w:val="24"/>
      </w:rPr>
      <w:fldChar w:fldCharType="separate"/>
    </w:r>
    <w:r w:rsidR="002B43AA">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B743" w14:textId="77777777" w:rsidR="0008488D" w:rsidRDefault="0008488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8DBCA" w14:textId="77777777" w:rsidR="00F16824" w:rsidRDefault="00F16824">
      <w:r>
        <w:separator/>
      </w:r>
    </w:p>
  </w:footnote>
  <w:footnote w:type="continuationSeparator" w:id="0">
    <w:p w14:paraId="038714DC" w14:textId="77777777" w:rsidR="00F16824" w:rsidRDefault="00F16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46B1" w14:textId="77777777" w:rsidR="006717AA" w:rsidRDefault="0008488D">
    <w:pPr>
      <w:pStyle w:val="Header"/>
      <w:contextualSpacing w:val="0"/>
    </w:pPr>
    <w:r>
      <w:t>Izziņa 25-TA-3014</w:t>
    </w:r>
    <w:r>
      <w:br/>
      <w:t>Izdrukāts 28.01.2026. 14.18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5822" w14:textId="77777777" w:rsidR="006717AA" w:rsidRDefault="0008488D">
    <w:pPr>
      <w:pStyle w:val="Header"/>
      <w:contextualSpacing w:val="0"/>
    </w:pPr>
    <w:r>
      <w:t>Izziņa 25-TA-3014</w:t>
    </w:r>
    <w:r>
      <w:br/>
      <w:t>Izdrukāts 28.01.2026. 14.18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AA"/>
    <w:rsid w:val="00040EB4"/>
    <w:rsid w:val="00042727"/>
    <w:rsid w:val="0008488D"/>
    <w:rsid w:val="000956EC"/>
    <w:rsid w:val="00183759"/>
    <w:rsid w:val="001B2E1F"/>
    <w:rsid w:val="001C61A4"/>
    <w:rsid w:val="001D1A07"/>
    <w:rsid w:val="001D7489"/>
    <w:rsid w:val="00216AC1"/>
    <w:rsid w:val="002A3E6A"/>
    <w:rsid w:val="002B43AA"/>
    <w:rsid w:val="002E6052"/>
    <w:rsid w:val="00313075"/>
    <w:rsid w:val="00367B53"/>
    <w:rsid w:val="003F06FD"/>
    <w:rsid w:val="00401917"/>
    <w:rsid w:val="0041283B"/>
    <w:rsid w:val="004168FC"/>
    <w:rsid w:val="00427E90"/>
    <w:rsid w:val="0046607B"/>
    <w:rsid w:val="00502AF2"/>
    <w:rsid w:val="00522678"/>
    <w:rsid w:val="005335A8"/>
    <w:rsid w:val="00574A0D"/>
    <w:rsid w:val="005A0E15"/>
    <w:rsid w:val="005B3870"/>
    <w:rsid w:val="005C187B"/>
    <w:rsid w:val="00626A39"/>
    <w:rsid w:val="006717AA"/>
    <w:rsid w:val="006A1CD7"/>
    <w:rsid w:val="006F3561"/>
    <w:rsid w:val="0072725D"/>
    <w:rsid w:val="0074214E"/>
    <w:rsid w:val="00756607"/>
    <w:rsid w:val="00757C23"/>
    <w:rsid w:val="007677A7"/>
    <w:rsid w:val="00796660"/>
    <w:rsid w:val="007C774B"/>
    <w:rsid w:val="007C7A08"/>
    <w:rsid w:val="007D264F"/>
    <w:rsid w:val="007D686D"/>
    <w:rsid w:val="007E4353"/>
    <w:rsid w:val="00825F75"/>
    <w:rsid w:val="00830B8E"/>
    <w:rsid w:val="00857966"/>
    <w:rsid w:val="00860324"/>
    <w:rsid w:val="008E18F8"/>
    <w:rsid w:val="0092690B"/>
    <w:rsid w:val="00942AAE"/>
    <w:rsid w:val="0095523A"/>
    <w:rsid w:val="0095755E"/>
    <w:rsid w:val="0099422A"/>
    <w:rsid w:val="009B2080"/>
    <w:rsid w:val="009E52CA"/>
    <w:rsid w:val="009F24CC"/>
    <w:rsid w:val="009F4FA9"/>
    <w:rsid w:val="00A80B3A"/>
    <w:rsid w:val="00AA26D9"/>
    <w:rsid w:val="00B07BA3"/>
    <w:rsid w:val="00B230A4"/>
    <w:rsid w:val="00B32488"/>
    <w:rsid w:val="00B6718C"/>
    <w:rsid w:val="00B67F8F"/>
    <w:rsid w:val="00B92B8B"/>
    <w:rsid w:val="00B9384D"/>
    <w:rsid w:val="00C4071C"/>
    <w:rsid w:val="00C53070"/>
    <w:rsid w:val="00C92FE8"/>
    <w:rsid w:val="00CA5290"/>
    <w:rsid w:val="00CB1E54"/>
    <w:rsid w:val="00D1441C"/>
    <w:rsid w:val="00D219E9"/>
    <w:rsid w:val="00D4426C"/>
    <w:rsid w:val="00D50D9B"/>
    <w:rsid w:val="00D82C5C"/>
    <w:rsid w:val="00D84CFD"/>
    <w:rsid w:val="00D86F9F"/>
    <w:rsid w:val="00DC78A3"/>
    <w:rsid w:val="00DD2C1A"/>
    <w:rsid w:val="00DE255F"/>
    <w:rsid w:val="00E173EF"/>
    <w:rsid w:val="00E448A3"/>
    <w:rsid w:val="00E45CAA"/>
    <w:rsid w:val="00E57903"/>
    <w:rsid w:val="00E84D27"/>
    <w:rsid w:val="00E956C6"/>
    <w:rsid w:val="00EE73AA"/>
    <w:rsid w:val="00F16824"/>
    <w:rsid w:val="00F32F5B"/>
    <w:rsid w:val="00F351A0"/>
    <w:rsid w:val="00F61F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83978"/>
  <w15:docId w15:val="{D4B8FA6B-50F9-4E69-9EAE-8D574F6E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10C69-40AF-4DF0-8A42-76D0B0E8687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Template>
  <TotalTime>8</TotalTime>
  <Pages>14</Pages>
  <Words>17490</Words>
  <Characters>9970</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Izziņa_25-TA-3014.docx</vt:lpstr>
    </vt:vector>
  </TitlesOfParts>
  <Company/>
  <LinksUpToDate>false</LinksUpToDate>
  <CharactersWithSpaces>27406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Izziņa_25-TA-3014.docx</dc:title>
  <dc:creator>Liene Jenerte</dc:creator>
  <cp:lastModifiedBy>Santa Kokina</cp:lastModifiedBy>
  <cp:revision>9</cp:revision>
  <dcterms:created xsi:type="dcterms:W3CDTF">2026-01-29T15:10:00Z</dcterms:created>
  <dcterms:modified xsi:type="dcterms:W3CDTF">2026-02-10T17:33:00Z</dcterms:modified>
</cp:coreProperties>
</file>