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17:56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satur šādu sadaļu ar aprakstu par militāru projektu atbilstību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projekta atbilstību būtiskām valsts drošības interesēm, kas saistītas ar ieroču, munīcijas un militārā aprīkojuma ražošanu, izvērtē Aizsardzības ministrija atbilstoši tās kompetencei. Izvērtējumā tiek ņemti vērā tādi aspekti kā projekta būtība un tā nozīme drošības un aizsardzības jomā, komersanta līdzšinējā pieredze līdzīgu projektu īstenošanā, sadarbība ar Latvijas, Ziemeļatlantijas līguma organizācijas vai Eiropas Savienības dalībvalstu bruņotajiem spēkiem, kā arī projekta partneri, finansētāji un investori. Lai nodrošinātu vienotu pieeju militāro projektu izvērtēšanā Aizsardzības ministrija izstrādā metodiku. Ņemot vērā, ka kritēriji saistīti ar valsts aizsardzības un drošības jautājumiem, attiecīgā vērtēšanas informācija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šo sadaļu atbilstoši piedāvātajai redakcijai un neformālajās sarunās pārrunātajam, kā arī e-pastā nosūtītajam.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realizāciju saistītā militārā produkta atbilstību būtiskām valsts drošības interesēm izvērtē Aizsardzības ministrija atbilstoši tās kompetencei. Izvērtējumā tiek ņemti vērā tādi aspekti kā produkta nozīme drošības un aizsardzības jomā, komersanta līdzšinējā pieredze līdzīgu projektu īstenošanā, sadarbība ar Latvijas, Ziemeļatlantijas līguma organizācijas vai Eiropas Savienības dalībvalstu bruņotajiem spēkiem, kā arī projekta partneri, finansētāji un investori. Ņemot vērā, ka militāro produktu vērtēšana saistīta ar valsts aizsardzības un drošības jautājumiem, attiecīgā vērtēšanas informācija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veikti attiecīgi precizējumi un ietverta priekšlikumā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sadaļā sniegto ietekmes uz saimnieciskās darbības veicējiem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tiek precizēti atbalsta saņēmējiem noteiktie pienākumi, tostarp attiecībā uz militārā projekta izmantošanu noteiktajam mērķim, kā arī militārā projekta izmaksu un darbību nošķiršanu no citas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precizējumi pēc būtības nemaina atbalsta saņēmējiem jau šobrīd veicamo darbību apjomu un līdz ar to nerada administratīvā sloga vai atbilstības izmaksu izmaiņas, lūdzam šo secinājumu un tā pamatojumu ietvert anotācijas 2. sadaļas ietekmes uz attiecīgo mērķa grupu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papildināts ietekmes uz saimnieciskās darbības veicējiem apraksts, ietverot pamatojumu, ka precizētie pienākumi nerada papildu administratīvo slogu vai atbilstības izmaksu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7. sadaļas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valsts atbalsta programmas īstenošanas nosacījumos, kuru administrēšanā ir iesaistītas atbildīgās institūcijas. Līdz ar to lūdzam anotācijas 7. sadaļā norādīt projekta izpildē iesaistītās institūcijas un sniegt skaidrojumu par projekta ietekmi uz to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ir papildināta, norādot MK noteikumu projekta izpildē iesaistītās institūcijas un skaidrojumu par MK noteikumu projekta ietekmi uz 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ko saņemts Aizsardzības ministrijas atzinums par militārā projekta atbilstību būtiskām valsts drošības interesēm, kas saistītas ar ieroču, munīcijas un militārā aprīkojuma ražošanu,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pasākumiem, kas saistīti vienīgi ar drošības un aizsardzības mērķi, komercdarbības atbalsta regulējuma nosacījumus nav jāpiemēro, ja publiskā finansējuma piešķiršana (jebkādā formā) saimnieciskās darbības veicējiem ir paredzēta to īstenotajām darbībām vienīgi militārajā jomā (atbilstoši Līguma par Eiropas Savienības darbību 346.panta 1.daļas (b) apakšpunktā noteiktajam). Turklāt saskaņā ar Eiropas Komisijas lēmumu praksē nostiprināto (piemēram, Eiropas Komisijas 2017.gada 20.novembra lēmumā lietā par valsts atbalstu SA.34308, ko īstenojusi Grieķijas Republika par labu Hellenic Defence Systems S.A. (pieejams: https://eur-lex.europa.eu/legalcontent/LV/TXT/HTML/?uri=CELEX:32018D0563)), lai konstatētu, vai projektam militārā jomā nav jāpiemēro komercdarbības atbalsta regulējums, ir jāizpildās šādiem diviem priekšnoteikumiem: 1) pasākums skar būtiskas valsts drošības intereses un 2) </w:t>
            </w:r>
            <w:r w:rsidR="00000000" w:rsidRPr="00000000" w:rsidDel="00000000">
              <w:rPr>
                <w:u w:val="single"/>
                <w:rtl w:val="0"/>
              </w:rPr>
              <w:t xml:space="preserve">pasākums ir saistīts ar tādu ieroču, munīcijas un militārā aprīkojuma ražošanu vai tirdzniecību, kas ir iekļauts Eiropas Savienības Kopējam militāro preču sarakstā</w:t>
            </w:r>
            <w:r w:rsidR="00000000" w:rsidRPr="00000000" w:rsidDel="00000000">
              <w:rPr>
                <w:rtl w:val="0"/>
              </w:rPr>
              <w:t xml:space="preserve">. Ievērojot minēto, atkārtoti lūdzam precizēt MK noteikumu Nr.383 5.</w:t>
            </w:r>
            <w:r w:rsidR="00000000" w:rsidRPr="00000000" w:rsidDel="00000000">
              <w:rPr>
                <w:vertAlign w:val="superscript"/>
                <w:rtl w:val="0"/>
              </w:rPr>
              <w:t xml:space="preserve">1</w:t>
            </w:r>
            <w:r w:rsidR="00000000" w:rsidRPr="00000000" w:rsidDel="00000000">
              <w:rPr>
                <w:rtl w:val="0"/>
              </w:rPr>
              <w:t xml:space="preserve"> punktu, ietverot tajā trūkstošo kritēriju par projekta ietvaros radīto ieroču, munīcijas un militārā aprīkojuma atbilstību Eiropas Savienības Kopējam militāro preču sarakstam, piemēram, piedāvātajā redakcijā. Papildus lūdzam atbilstoši precizēt arī anotācijas 1.3.sadaļā ietverto skaidrojumu, jo arī tajā iztrūkst skaidrojums par to, ka tiks vērtēta projekta ietvaros radīto ieroču, munīcijas un militārā aprīkojuma atbilstības Eiropas Savienības Kopējam militāro preču sarakstam.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kas šo noteikumu ietvaros tiek piešķirtas militāriem projektiem drošības un aizsardzības jomā, par kuriem saņemts Aizsardzības ministrijas atzinums par militārā projekta atbilstību būtiskām valsts drošības interesēm un kas saistīti ar tādu ieroču, munīcijas un militārā aprīkojuma ražošanu, kas atbilst Eiropas Savienības Kopējam militāro preču sarakstam,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383 5.</w:t>
            </w:r>
            <w:r w:rsidR="00000000" w:rsidRPr="00000000" w:rsidDel="00000000">
              <w:rPr>
                <w:vertAlign w:val="superscript"/>
                <w:rtl w:val="0"/>
              </w:rPr>
              <w:t xml:space="preserve">1</w:t>
            </w:r>
            <w:r w:rsidR="00000000" w:rsidRPr="00000000" w:rsidDel="00000000">
              <w:rPr>
                <w:rtl w:val="0"/>
              </w:rPr>
              <w:t xml:space="preserve"> punktā ir precizēti nosacījumi, paredzot, ka militāra projekta garantija nav uzskatāma par komercdarbības atbalstu, ja ir saņemts Aizsardzības ministrijas atzinums par projekta atbilstību būtiskām valsts drošības interesēm un projekts ir saistīts ar tāda militārā produkta ražošanu, kas atbilst Eiropas Savienības Kopējam militāro preču sarakstam. Attiecīgs skaidrojums ir ietverts arī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kuriem saņemts Aizsardzības ministrijas atzinums par militārā projekta atbilstību būtiskām valsts drošības interesēm un kas saistīti ar tādu ieroču, munīcijas un militārā aprīkojuma ražošanu, kas atbilst Eiropas Savienības Kopējam militāro preču sarakstam, nav kvalificējamas kā komercdarbības atbalsts, un tām nav jāpiemēro šajos noteikumos ietvertie Komisijas regulas Nr. 2023/2831 vai Komisijas regulas  Nr. 651/2014 nosacījumi.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29.06.2026. 17:52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izstrādāto noteikumu projektu "Grozījumi Ministru kabineta 2020. gada 16. jūnija noteikumos Nr. 383 "Noteikumi par garantijām saimnieciskās darbības veicējiem konkurētspējas uzlabošanai"". LDDK ieskatā projekta anotācijas 2. sadaļa nav aizpildīta atbilstoši tās mērķim un projekta saturam. Anotācijā norādīts, ka projekts šo jomu neskar, lai gan noteikumu projekts paredz būtiskas izmaiņas saimnieciskās darbības veicējiem pieejamā valsts atbalsta apjomā un tā saņemšanas nosacījumos. Ņemot vērā minēto, lūdzam, precizēt un aizpildīt projekta anotācijas 2. sadaļu atbilstoši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ir aizpildīta, sniedzot informāciju 2.1., 2.2. (t.sk. 2.2.3, 2.2.4.)  un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sadaļu un izvērtēt tiesību akta projekta ietekmi uz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aprakstīti vairāki jauni vai precizēti pienākumi atbalsta saņēmējiem, tostarp pienākums nodrošināt militārā projekta izmantošanu tikai noteiktajam mērķim, nodalīt militārā projekta izmaksas un darbības no citas komercdarbības, kā arī nodrošināt šo prasību izpildi. Minētās prasības rada ietekmi uz saimnieciskās darbības veicējiem, tādēļ tās ir atspoguļojamas anotācijas 2.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darbības, kas attiecās uz administratīvo slogu un atbilstības prasībām ir atiecināmas valsts atbalsta programmas ietvaros vai ir sedzamas no programmas finansējuma, lūdzam anotācijā sniegt attiecīgu skaidrojumu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ir aizpildīta, sniedzot informāciju 2.1., 2.2. (t.sk. 2.2.3, 2.2.4.)  un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1.2.3.4. pasākuma ietvaros finansējums pieejams sīkajiem (mikro), mazajiem un vidējiem, mazajiem vidējās kapitalizācijas un vidējās kapitalizācijas saimnieciskās darbības veicējiem.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anotācijā ietvertais skaidrojums par nepieciešamību novērst nevienlīdzīgas iespējas finansēt mazos, vidējos un lielos uzņēmumus. Vēršam uzmanību, ka punktā nav minēti lielie uzņēmumi. Turklāt lūdzam precizēt, kādēļ attiecīgajā formulējumā termins “garantija” ir aizstāts ar terminu “finansējums”, ņemot vērā, ka 1.2.3.4. pasākuma "Garantijas, portfeļgarantijas pilna cikla uzņēmējdarbībai" ietvaros atbalsts tiek sniegts garantiju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svītrots skaidrojums par nevienlīdzīgu finansēšanas iespēju novēršanu starp mazajiem, vidējiem un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4.1 punkts precizē saimnieciskās darbības veicēju loku, kuriem garantijas pieejamas 1.2.3.4. pasākuma ietvaros, proti, sīkajiem (mikro), mazajiem un vidējiem uzņēmumiem, kā arī mazajām vidējās kapitalizācijas un vidējās kapitalizācijas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skaidrots, ka sīkie (mikro), mazie un vidējie uzņēmumi garantijas var saņemt arī no MK noteikumu projekta  7. punktā paredzētā atmaksātā publiskā finansējuma, savukārt lielajiem saimnieciskās darbības veicējiem, kas nav vidējās kapitalizācijas sabiedrības, garantijas pieejamas no atmaksātā publiskā finansējuma. Šāds finansējuma avotu sadalījums atbilst MK noteikumu Nr. 383 2025. gada 12. augusta grozījumu anotācijā skaidrotajai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"finansējums" aizstāts ar terminu “garantija”, jo 1.2.3.4. pasākuma ietvaros atbalsts tiek sniegts garantiju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1.2.3.4. pasākuma ietvaros garantija pieejama sīkajiem (mikro), mazajiem un vidējiem, mazajiem vidējās kapitalizācijas un vidējās kapitalizācijas saimnieciskās darbības veicējiem.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w:t>
            </w:r>
            <w:r w:rsidR="00000000" w:rsidRPr="00000000" w:rsidDel="00000000">
              <w:rPr>
                <w:vertAlign w:val="superscript"/>
                <w:rtl w:val="0"/>
              </w:rPr>
              <w:t xml:space="preserve">4</w:t>
            </w:r>
            <w:r w:rsidR="00000000" w:rsidRPr="00000000" w:rsidDel="00000000">
              <w:rPr>
                <w:rtl w:val="0"/>
              </w:rPr>
              <w:t xml:space="preserve"> punktā tiek precizēts militārā projekta atbilstības vērtēšanas kritērijs, paredzot tā atbilstību </w:t>
            </w:r>
            <w:r w:rsidR="00000000" w:rsidRPr="00000000" w:rsidDel="00000000">
              <w:rPr>
                <w:b w:val="1"/>
                <w:rtl w:val="0"/>
              </w:rPr>
              <w:t xml:space="preserve">būtiskām</w:t>
            </w:r>
            <w:r w:rsidR="00000000" w:rsidRPr="00000000" w:rsidDel="00000000">
              <w:rPr>
                <w:rtl w:val="0"/>
              </w:rPr>
              <w:t xml:space="preserve"> valsts drošības interesēm, tomēr anotācijā nav skaidrots, vai un kā minētās izmaiņas ietekmēs projektus, kuriem atbalsts jau ir piešķirts atbilstoši līdzšinējam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izvērtējumu par noteikumu projekta 5.</w:t>
            </w:r>
            <w:r w:rsidR="00000000" w:rsidRPr="00000000" w:rsidDel="00000000">
              <w:rPr>
                <w:vertAlign w:val="superscript"/>
                <w:rtl w:val="0"/>
              </w:rPr>
              <w:t xml:space="preserve">4</w:t>
            </w:r>
            <w:r w:rsidR="00000000" w:rsidRPr="00000000" w:rsidDel="00000000">
              <w:rPr>
                <w:rtl w:val="0"/>
              </w:rPr>
              <w:t xml:space="preserve"> punktā paredzēto izmaiņu ietekmi uz jau piešķirto atbalstu, tostarp skaidrojot, vai attiecībā uz šādiem projektiem būs nepieciešama atkārtota atbilstības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noteikumu projekta 5.</w:t>
            </w:r>
            <w:r w:rsidR="00000000" w:rsidRPr="00000000" w:rsidDel="00000000">
              <w:rPr>
                <w:vertAlign w:val="superscript"/>
                <w:rtl w:val="0"/>
              </w:rPr>
              <w:t xml:space="preserve">4</w:t>
            </w:r>
            <w:r w:rsidR="00000000" w:rsidRPr="00000000" w:rsidDel="00000000">
              <w:rPr>
                <w:rtl w:val="0"/>
              </w:rPr>
              <w:t xml:space="preserve"> punktā paredzētie precizējumi nemaina jau piešķirtā atbalsta nosacījumus. Militārajiem projektiem, kuriem atbalsts piešķirts pirms noteikumu projekta spēkā stāšanās, atkārtota atbilstības izvērtēšana un jauna Aizsardzības ministrijas atzinuma saņemšana nebūs nepieciešama. Līdz šim Aizsardzības ministrijas atzinums ir saņemts par vienu militāro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kas saistītas ar ieroču, munīcijas un militārā aprīkojuma ražošanu. Sabiedrība "Altum" garantijas pieteikumu vērtē kopā ar saņemto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w:t>
            </w:r>
            <w:r w:rsidR="00000000" w:rsidRPr="00000000" w:rsidDel="00000000">
              <w:rPr>
                <w:vertAlign w:val="superscript"/>
                <w:rtl w:val="0"/>
              </w:rPr>
              <w:t xml:space="preserve">4</w:t>
            </w:r>
            <w:r w:rsidR="00000000" w:rsidRPr="00000000" w:rsidDel="00000000">
              <w:rPr>
                <w:rtl w:val="0"/>
              </w:rPr>
              <w:t xml:space="preserve"> punktā paredzēta militārā projekta atbilstības vērtēšana būtiskām valsts drošības interesēm, tomēr noteikumu projektā nav noteikti kritēriji, pēc kuriem šāda atbilstība tiks vērtēta, savukārt anotācijā nav skaidrots minētā jēdziena saturs un piemērošanas kārtība. Ņemot vērā, ka jēdziens “būtiskas valsts drošības intereses” ir plaši interpretējams un no tā piemērošanas ir atkarīga projekta atbilstība atbalsta saņemšanai, šāda nenoteiktība var radīt nevienveidīgu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nosakot kritērijus militārā projekta atbilstības būtiskām valsts drošības interesēm izvērtēšanai, un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jēdziena “būtiskas valsts drošības intereses” saturu un militārā projekta atbilstības izvērtēšanas vispārējo kārtību. Anotācijā sniegts skaidrojums, ka militārā projekta atbilstību būtiskām valsts drošības interesēm izvērtē Aizsardzības ministrija atbilstoši tās kompetencei, ņemot vērā projekta būtību un tā nozīmi drošības un aizsardzības jomā, atbalsta saņēmēja līdzšinējo pieredzi līdzīgu projektu īstenošanā, sadarbību ar Latvijas, Ziemeļatlantijas līguma organizācijas vai Eiropas Savienības dalībvalstu bruņotajiem spēkiem, kā arī projekta partnerus, finansētājus un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militāro projektu izvērtēšanā, Aizsardzības ministrija izstrādā metodiku. Ņemot vērā, ka vērtēšanas kritēriji ir saistīti ar valsts aizsardzības un drošības jautājumiem, attiecīgā vērtēšanas informācija noteikumu projektā netiek detalizēti ietverta un nav publiskojama.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kas saistītas ar ieroču, munīcijas un militārā aprīkojuma ražošanu. Sabiedrība "Altum" garantijas pieteikumu vērtē kopā ar saņemto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programmas finansējuma palielinājums par 8 000 000 euro. Gadījumā, ja programmas budžeta palielinājums ir saistīts ar atbalsta piešķiršanu saskaņā ar Komisijas regulu Nr.651/2014 (ievērojot </w:t>
            </w:r>
            <w:r w:rsidR="00000000" w:rsidRPr="00000000" w:rsidDel="00000000">
              <w:rPr>
                <w:i w:val="1"/>
                <w:rtl w:val="0"/>
              </w:rPr>
              <w:t xml:space="preserve">Komisijas 2004.gada 21.aprīļa regulas (EK) Nr.794/2004, ar ko īsteno Padomes Regulu (EK) Nr. 659/1999, ar kuru nosaka sīki izstrādātus noteikumus EK Līguma 93. panta piemērošanai</w:t>
            </w:r>
            <w:r w:rsidR="00000000" w:rsidRPr="00000000" w:rsidDel="00000000">
              <w:rPr>
                <w:rtl w:val="0"/>
              </w:rPr>
              <w:t xml:space="preserve">, 4. panta 2. punktā noteikto, ja pieejamais kopējais attiecināmais finansējums tiek palielināts vairāk kā par 20 % ar šādām turpmāk minētām izmaiņām esošā atbalstā paziņo, izmantojot vienkāršoto paziņojuma veidlapu) un šis finansējums nav skaidri nodalāms no citiem atbalsta piešķiršanas mērķiem šīs programmas ietvaros, tad Ekonomikas ministrijai ir jāiesniedz kopsavilkuma informācija Eiropas Komisijai. Gadījumā, ja iepriekš minētais izpildās, lūdzam papildināt anotācijas 5.3.sadaļu ar informāciju, ka Ekonomikas ministrija 20 darba dienu laikā pēc noteikumu projekta spēkā stāšanās spēkā, nosūtīs kopsavilkuma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programmas finansējuma palielinājumu par 8 000 000 </w:t>
            </w:r>
            <w:r w:rsidR="00000000" w:rsidRPr="00000000" w:rsidDel="00000000">
              <w:rPr>
                <w:i w:val="1"/>
                <w:rtl w:val="0"/>
              </w:rPr>
              <w:t xml:space="preserve">euro</w:t>
            </w:r>
            <w:r w:rsidR="00000000" w:rsidRPr="00000000" w:rsidDel="00000000">
              <w:rPr>
                <w:rtl w:val="0"/>
              </w:rPr>
              <w:t xml:space="preserve"> Ekonomikas ministrija 20 darba dienu laikā pēc MK noteikumu projekta spēkā stāšanās nosūtīs Eiropas Komisijai kopsavilkuma informāciju,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7. sadaļas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valsts atbalsta programmas īstenošanas nosacījumos, kuru administrēšanā ir iesaistītas atbildīgās institūcijas. Līdz ar to lūdzam anotācijas 7. sadaļā norādīt projekta izpildē iesaistītās institūcijas un sniegt skaidrojumu par projekta ietekmi uz 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MK noteikumu projekta izpildē iesaistīto institūciju loma un ietekme uz to funkcijām. MK noteikumu projekts, galvenokārt, precizē jau esošo sadarbības un uzraudzības kārtību un nerada būtisku jaunu pienākumu vai papildu noslodzi. Līdz ar to anotācijas 7. sadaļas aizpildīšana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ko saņemts Aizsardzības ministrijas atzinums par militārā projekta atbilstību būtiskām valsts drošības interesēm,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viens no mērķiem ir precizēt regulējumu militāro projektu atbalstam drošības un aizsardzības jomā, lai nodrošinātu skaidrāku izpratni par militāru projektu uzraudzības procesu. Skaidrojam, ka, ja atbalsts tiek sniegts militārās jomas produktu, kas saistīts ar ieroču, munīcijas un militāro aprīkojumu, ražošanai un atbilst Eiropas Savienības Kopējā militāro preču sarakstam, kā arī vienlaikus atbilst būtiskām Latvijas valsts drošības interesēm, tikai tādā gadījumā atbalsts nav kvalificējams kā komercdarbības atbalsts. Ņemot vērā iepriekš minēto, lūdzam atbilstoši precizēt, piemēram, noteikumu 5</w:t>
            </w:r>
            <w:r w:rsidR="00000000" w:rsidRPr="00000000" w:rsidDel="00000000">
              <w:rPr>
                <w:vertAlign w:val="superscript"/>
                <w:rtl w:val="0"/>
              </w:rPr>
              <w:t xml:space="preserve">1</w:t>
            </w:r>
            <w:r w:rsidR="00000000" w:rsidRPr="00000000" w:rsidDel="00000000">
              <w:rPr>
                <w:rtl w:val="0"/>
              </w:rPr>
              <w:t xml:space="preserve">. punktu. Kā paraugu redakcijām lūdzam skatīt arī Ministru kabineta 2026. gada 3. februāra noteikumus Nr.48 "Noteikumi par atbalstu projektiem rūpniecisko spēju uzlabošanai", kurā tiek dota definīcija "militārās jomas produktam", sasaistot ar Eiropas Savienības Kopējo militāro preču sarakstu. Vienlaikus lūdzam ar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MK noteikumu projekta 5.</w:t>
            </w:r>
            <w:r w:rsidR="00000000" w:rsidRPr="00000000" w:rsidDel="00000000">
              <w:rPr>
                <w:vertAlign w:val="superscript"/>
                <w:rtl w:val="0"/>
              </w:rPr>
              <w:t xml:space="preserve">1</w:t>
            </w:r>
            <w:r w:rsidR="00000000" w:rsidRPr="00000000" w:rsidDel="00000000">
              <w:rPr>
                <w:rtl w:val="0"/>
              </w:rPr>
              <w:t xml:space="preserve"> punkts papildināts, precizējot, ka garantija nav kvalificējama kā komercdarbības atbalsts, ja militārais projekts atbilst būtiskām valsts drošības interesēm, kas saistītas ar ieroču, munīcijas un militārā aprīkojuma ražošanu un par to saņemts Aizsardzības ministrijas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kuriem saņemts Aizsardzības ministrijas atzinums par militārā projekta atbilstību būtiskām valsts drošības interesēm un kas saistīti ar tādu ieroču, munīcijas un militārā aprīkojuma ražošanu, kas atbilst Eiropas Savienības Kopējam militāro preču sarakstam, nav kvalificējamas kā komercdarbības atbalsts, un tām nav jāpiemēro šajos noteikumos ietvertie Komisijas regulas Nr. 2023/2831 vai Komisijas regulas  Nr. 651/2014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militāro projektu vērtēšanas metodikas saturu un galvenajiem principiem, pēc kuriem Aizsardzības ministrija sniegs atzinumu par projekta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militārā projekta atbilstību būtiskām valsts drošības interesēm Aizsardzības ministrija izvērtē atbilstoši savai kompetencei, ņemot vērā projekta būtību un nozīmi drošības un aizsardzības jomā, atbalsta saņēmēja līdzšinējo pieredzi līdzīgu projektu īstenošanā, sadarbību ar Latvijas, Ziemeļatlantijas līguma organizācijas vai Eiropas Savienības dalībvalstu bruņotajiem spēkiem, kā arī projekta partnerus, finansētājus un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militāro projektu izvērtēšanā Aizsardzības ministrija izstrādā metodiku. Ņemot vērā, ka kritēriji saistīti ar valsts aizsardzības un drošības jautājumiem, attiecīgā vērtēšanas informācija nav publiskojama.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kas saistītas ar ieroču, munīcijas un militārā aprīkojuma ražošanu. Sabiedrība "Altum" garantijas pieteikumu vērtē kopā ar saņemto atzinumu.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26-TA-1256</w:t>
    </w:r>
    <w:r>
      <w:br/>
    </w:r>
    <w:r w:rsidR="00000000" w:rsidRPr="00000000" w:rsidDel="00000000">
      <w:rPr>
        <w:rtl w:val="0"/>
      </w:rPr>
      <w:t xml:space="preserve">18.08.2026. 10.25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26-TA-1256</w:t>
    </w:r>
    <w:r>
      <w:br/>
    </w:r>
    <w:r w:rsidR="00000000" w:rsidRPr="00000000" w:rsidDel="00000000">
      <w:rPr>
        <w:rtl w:val="0"/>
      </w:rPr>
      <w:t xml:space="preserve">18.08.2026. 10.25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Izziņa_26-TA-1256.docx</dc:title>
</cp:coreProperties>
</file>

<file path=docProps/custom.xml><?xml version="1.0" encoding="utf-8"?>
<Properties xmlns="http://schemas.openxmlformats.org/officeDocument/2006/custom-properties" xmlns:vt="http://schemas.openxmlformats.org/officeDocument/2006/docPropsVTypes"/>
</file>