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22-TA-2689: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2010. gada 28. decembra noteikumos Nr. 1228 "Noteikumi par lielgabarīta un smagsvara pārvadājumu atļaujas izsniegšanas valsts nodevas apmēru, samaksas kārtību un atbrīvojumiem"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2010. gada 28. decembra noteikumos Nr. 1228 "Noteikumi par lielgabarīta un smagsvara pārvadājumu atļaujas izsniegšanas valsts nodevas apmēru, samaksas kārtību un atbrīvojumiem"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(LNMA - 21.03.2023.)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LNMA aicina pārskatīt plānotos grozījumus Ministru kabineta 2010. gada 28. decembra noteikumos Nr. 1228 "Noteikumi par lielgabarīta un smagsvara pārvadājumu atļaujas izsniegšanas valsts nodevas apmēru, samaksas kārtību un atbrīvojumiem".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Šobrīd spēkā esošie noteikumi paredz: 3.6. dalāmu kokmateriālu un lauksaimniecības produkcijas lielgabarīta un smagsvara kravu pārvadājumiem uz noteiktu termiņu līdz: 3.6.1. 12 mēnešiem – 142,29 euro; Jaunajos noteikumos nodevas likme kokvedējam mēnesī ir paredzēta 100 euro, kas attiecīgi ir vairāk kā 8 kārtējs pieaugums gada griezumā. Aicinām Satiksmes ministriju pārskatīt nodevas apmēru, nosakot to ne lielāku kā, piemēram Autoceļu lietošanas nodevu (711 EUR gadā kokvedējiem ar EURO IV dzinējiem).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pielīdzinot likmi 52,0t smagam transportlīdzekļu sastāvam, kas pārvadā nedalāmu kravu (1 nedēļa – 18 Eur; 1 mēnesis –72 Eur).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pielikumos atveidotā nodevas summas veidojošā shēma ir grūti uztverama, līdz ar to aicinām anotācijā aprakstīt šīs shēmas atšifrējumu ar dažiem piemēriem atainojot nodevas aprēķināšanas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 Noteikumu projekta 4. un 5.punkts skaidri un nepārprotami nosaka nodevas maksājumu noteikšanas metodiku visos gadījumos.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valsts nodevas par lielgabarīta un smagsvara pārvadājuma apmēru, maksāšanas kārtību, un atbrīvojumus no tās.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likuma "Par autoceļiem" 6. panta trešā daļa paredz pilnvarojumu Ministru kabinetam noteikt valsts nodevas </w:t>
            </w:r>
            <w:r w:rsidR="00000000" w:rsidRPr="00000000" w:rsidDel="00000000">
              <w:rPr>
                <w:u w:val="single"/>
                <w:rtl w:val="0"/>
              </w:rPr>
              <w:t xml:space="preserve">par lielgabarīta un smagsvara pārvadājumu atļaujas izsniegšanu</w:t>
            </w:r>
            <w:r w:rsidR="00000000" w:rsidRPr="00000000" w:rsidDel="00000000">
              <w:rPr>
                <w:rtl w:val="0"/>
              </w:rPr>
              <w:t xml:space="preserve"> (turpmāk – nodeva) apmēru, maksāšanas kārtību un atbrīvojumus. Ievērojot minēto, lūdzam atbilstoši precizēt projekta 1.1. apakšpunktā piedāvāto Ministru kabineta 2010. gada 28. decembra noteikumu Nr. 1228 "Noteikumi par lielgabarīta un smagsvara pārvadājumu atļaujas izsniegšanas valsts nodevas apmēru, samaksas kārtību un atbrīvojumiem" (turpmāk – Noteikumi Nr. 1228) 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valsts nodevas (turpmāk – nodeva) par lielgabarīta un smagsvara pārvadājumu atļaujas (turpmāk – atļauja) izsniegšanu apmēru, maksāšanas kārtību, un atbrīvojumus.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maksājama valsts nodeva par lielgabarīta un smagsvara pārvadājumu (turpmāk - pārvadājums) atļaujas izsniegšanu (turpmāk – nodeva), nodevas apmēru un atbrīvojumiem no nodevas.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likuma "Par autoceļiem" 6. panta trešā daļa paredz pilnvarojumu Ministru kabinetam noteikt valsts nodevas par lielgabarīta un smagsvara pārvadājumu atļaujas izsniegšanu apmēru, maksāšanas kārtību un atbrīvojumus. Informējam, ka atbilstoši Noteikumu Nr. 108 100. punktam Ministru kabineta noteikumu projekta pirmajā punktā secīgi raksta vārdus "noteikumi nosaka" un </w:t>
            </w:r>
            <w:r w:rsidR="00000000" w:rsidRPr="00000000" w:rsidDel="00000000">
              <w:rPr>
                <w:u w:val="single"/>
                <w:rtl w:val="0"/>
              </w:rPr>
              <w:t xml:space="preserve">likumā noteikto pilnvarojumu Ministru kabinetam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projekta 1.1. apakšpunktā piedāvāto Ministru kabineta 2010. gada 28. decembra noteikumu Nr. 1228 "Noteikumi par lielgabarīta un smagsvara pārvadājumu atļaujas izsniegšanas valsts nodevas apmēru, samaksas kārtību un atbrīvojumiem" (turpmāk – Noteikumi Nr. 1228) 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valsts nodevas (turpmāk – nodeva) par lielgabarīta un smagsvara pārvadājumu atļaujas (turpmāk – atļauja) izsniegšanu apmēru, maksāšanas kārtību, un atbrīvojumus.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Lielgabarīta un smagsvara pārvadājumu atļauja (turpmāk – atļauja) tiek izsniegta atbilstoši </w:t>
            </w:r>
            <w:r w:rsidR="00000000" w:rsidRPr="00000000" w:rsidDel="00000000">
              <w:rPr>
                <w:rtl w:val="0"/>
              </w:rPr>
              <w:t xml:space="preserve">Ministru kabineta 2010. gada 6. aprīļa noteikumiem Nr. 343 “Noteikumi par lielgabarīta un smagsvara pārvadājumiem“</w:t>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noteikumu projekta 2.punktā, kurš no projekta ir izsvītrots, tiktu iekļauta informācija, ka nodeva ir maksājama par atļaujas izsniegšanu noteiktiem laika periodiem, uzskaitot tos, proti, minot 4. un 6. punktā noteiktos periodus. Tāpat joprojām projekta anotācijā nav minēts, kādēļ konkrētā valsts nodeva tiek paredzēta par savādākiem periodiem, kā iepriekš.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noteikumu projekta 2.punktā uzskaitīt visus periodus par kuriem atļauja tiek izsniegta un attiecīgi papildināt projekta anotāciju ar detalizētāku aprakstu, kādēļ ir izvēlēti tieši šie periodi un kādēļ tie ir atzīti par labākiem, kā iepriekšējie vai kādi citi periodi.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Periodi ir uzskaitīti noteikumu projekta 6.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Lielgabarīta un smagsvara pārvadājumu atļauja (turpmāk – atļauja) tiek izsniegta atbilstoši </w:t>
            </w:r>
            <w:r w:rsidR="00000000" w:rsidRPr="00000000" w:rsidDel="00000000">
              <w:rPr>
                <w:rtl w:val="0"/>
              </w:rPr>
              <w:t xml:space="preserve">Ministru kabineta 2010. gada 6. aprīļa noteikumiem Nr. 343 “Noteikumi par lielgabarīta un smagsvara pārvadājumiem“</w:t>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Lielgabarīta un smagsvara pārvadājumu atļauja (turpmāk – atļauja) tiek izsniegta atbilstoši </w:t>
            </w:r>
            <w:r w:rsidR="00000000" w:rsidRPr="00000000" w:rsidDel="00000000">
              <w:rPr>
                <w:rtl w:val="0"/>
              </w:rPr>
              <w:t xml:space="preserve">Ministru kabineta 2010. gada 6. aprīļa noteikumiem Nr. 343 “Noteikumi par lielgabarīta un smagsvara pārvadājumiem“</w:t>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saprotama nepieciešamība noteikumu projektā iekļaut 2.punktā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ieskatā, būtu efektīvāk, ja, piemēram, šajā punktā iekļautu informāciju, ka nodeva ir maksājama par atļaujas izsniegšanu noteiktiem laika periodiem, uzskaitot tos. Noteikumu projektā tas nav vienkopus noteikts, taču tajā pašā laikā, piemēram, noteikumu projekta 6.punktā tiek skaidrots, ko nozīmē nodevas nedēļas likme, ko - mēneša likme, savukārt no 4.punkta izriet, ka nodeva ir nosakāma arī vienam pārvadājumam.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Lielgabarīta un smagsvara pārvadājumu atļauja (turpmāk – atļauja) tiek izsniegta atbilstoši </w:t>
            </w:r>
            <w:r w:rsidR="00000000" w:rsidRPr="00000000" w:rsidDel="00000000">
              <w:rPr>
                <w:rtl w:val="0"/>
              </w:rPr>
              <w:t xml:space="preserve">Ministru kabineta 2010. gada 6. aprīļa noteikumiem Nr. 343 “Noteikumi par lielgabarīta un smagsvara pārvadājumiem“</w:t>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Lielgabarīta un smagsvara pārvadājumu atļauja (turpmāk – atļauja) tiek izsniegta atbilstoši </w:t>
            </w:r>
            <w:r w:rsidR="00000000" w:rsidRPr="00000000" w:rsidDel="00000000">
              <w:rPr>
                <w:rtl w:val="0"/>
              </w:rPr>
              <w:t xml:space="preserve">Ministru kabineta 2010. gada 6. aprīļa noteikumiem Nr. 343 “Noteikumi par lielgabarīta un smagsvara pārvadājumiem“</w:t>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Noteikumu Nr. 108 3.1. apakšpunktam normatīvā akta projektā neietver normas, kas ir deklaratīvas. Paskaidrojam, ka par deklaratīviem un nevēlamiem, cita starpā, atzīstami tādi noteikumi, kuriem nav noteikts īstenošanas mehānisms vai kurus vispār nav paredzēts īstenot, jo tie satur tikai apgalvojumu, paziņojumu vai faktu konstatāciju. Šādas normas ir juridiski nevērtīgas, liekas un nepamatoti palielina normatīvā akta apjomu (</w:t>
            </w:r>
            <w:r w:rsidR="00000000" w:rsidRPr="00000000" w:rsidDel="00000000">
              <w:rPr>
                <w:i w:val="1"/>
                <w:rtl w:val="0"/>
              </w:rPr>
              <w:t xml:space="preserve">sk. Valsts kanceleja. Normatīvo aktu projektu izstrādes rokasgrāmata, 2016. 18.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projekta 1.2.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Lielgabarīta un smagsvara pārvadājumu atļauja (turpmāk – atļauja) tiek izsniegta atbilstoši </w:t>
            </w:r>
            <w:r w:rsidR="00000000" w:rsidRPr="00000000" w:rsidDel="00000000">
              <w:rPr>
                <w:rtl w:val="0"/>
              </w:rPr>
              <w:t xml:space="preserve">Ministru kabineta 2010. gada 6. aprīļa noteikumiem Nr. 343 “Noteikumi par lielgabarīta un smagsvara pārvadājumiem“</w:t>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Nodevu noteiktajā termiņā maksā saskaņā ar šo noteikumu </w:t>
            </w:r>
            <w:r w:rsidR="00000000" w:rsidRPr="00000000" w:rsidDel="00000000">
              <w:rPr>
                <w:rtl w:val="0"/>
              </w:rPr>
              <w:t xml:space="preserve">3. </w:t>
            </w:r>
            <w:r w:rsidR="00000000" w:rsidRPr="00000000" w:rsidDel="00000000">
              <w:rPr>
                <w:rtl w:val="0"/>
              </w:rPr>
              <w:t xml:space="preserve">pielikumā</w:t>
            </w:r>
            <w:r w:rsidR="00000000" w:rsidRPr="00000000" w:rsidDel="00000000">
              <w:rPr>
                <w:rtl w:val="0"/>
              </w:rPr>
              <w:t xml:space="preserve"> noteiktajām nodevas likmēm, summējot tās attiecīgajam pārvadājuma veidam un izvēlētajam termiņam.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5.punktā ir veikti redakcionāli precizējumi, kā rezultātā pēc pašreizējās redakcijas nav saprotams vai ar vārdiem “noteiktajā termiņā” tiek domāts periods par kuru tiek maksāta nodeva un saņemta atļauja, vai periods kādā jāveic maksājums pirms atļaujas saņemšanas. Lūdzam redakcionāli precizēt noteikumu projekta 5.punktu, lai no minētā teikuma tiktu saprasts, ka nodeva tiek maksāta par noteiktu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Nodevu maksā saskaņā ar šo noteikumu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noteiktajām nodevas likmēm, summējot tās attiecīgajam pārvadājuma veidam un izvēlētajam termiņam.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Nodevu par atļauju veikt pārvadājumus noteiktajā termiņā (bet ne ilgākā par 12 mēnešiem) maksā saskaņā ar šo noteikumu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noteiktajām nodevas likmēm, summējot tās attiecīgajam pārvadājuma veidam un izvēlētajam termiņam.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Nr. 343 9. punkts jau paredz, ka šajos noteikumos noteiktos gadījumos atļauju var izsniegt uz noteiktu termiņu, bet ne ilgāku par 12 mēnešiem. Informējam, ka atbilstoši Noteikumu Nr. 108 3.2. apakšpunktam normatīvā akta projektā neietver normas, kas dublē augstāka vai tāda paša spēka normatīvā akta tiesību normās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projekta 1.5. apakšpunktā piedāvāto Noteikumu Nr. 1228 5.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5.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Nodevu maksā saskaņā ar šo noteikumu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noteiktajām nodevas likmēm, summējot tās attiecīgajam pārvadājuma veidam un izvēlētajam termiņam.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Nodevu par atļauju veikt pārvadājumus noteiktajā termiņā (bet ne ilgākā par 12 mēnešiem) maksā saskaņā ar šo noteikumu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noteiktajām nodevas likmēm, summējot tās attiecīgajam pārvadājuma veidam un izvēlētajam termiņam.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projekta 1.1. apakšpunktā piedāvātajam Noteikumu Nr. 1228 1. punktam Noteikumu Nr. 1228 tekstā vārdkopas "valsts nodeva par lielgabarīta un smagsvara pārvadājumu atļaujas izsniegšanu" saīsināšanai tiek lietots vārds "nodeva". Ievērojot minēto, lūdzam atbilstoši precizēt projekta 1.5. apakšpunktā piedāvāto Noteikumu Nr. 1228 5.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Nodevu maksā saskaņā ar šo noteikumu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noteiktajām nodevas likmēm, summējot tās attiecīgajam pārvadājuma veidam un izvēlētajam termiņam.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Nodevas nedēļas likme paredz tiesības veikt pārvadājumus septiņas nepārtrauktas diennaktis, bet mēneša likme – trīsdesmit nepārtrauktas diennaktis.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konkrētā valsts nodeva tiek paredzēta par savādākiem periodiem, kā iepriekš, lūdzam anotācijā detalizētāk aprakstīt, kādēļ ir izvēlēti tieši šie periodi un kādēļ tie ir atzīti par labākiem, kā iepriekšējie vai kādi citi periodi.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Nodevas nedēļas likme paredz tiesības veikt pārvadājumus septiņas nepārtrauktas diennaktis, bet mēneša likme – trīsdesmit nepārtrauktas diennaktis.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Nodevas nedēļas likme paredz tiesības veikt pārvadājumus septiņas nepārtrauktas diennaktis, bet mēneša likme – trīsdesmit nepārtrauktas diennaktis.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tā kā projekta 1.6. apakšpunkts paredz izteikt Noteikumu Nr. 1228 6. punktu jaunā redakcijā, nav nepieciešams norādīt tās Noteikumu Nr. 1228 vienības, kas spēkā esošajā redakcijā ir svītrotas. Ievērojot minēto, lūdzam atbilstoši precizēt projekta 1.6. apakšpunktā piedāvāto Noteikumu Nr. 1228 6.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Nodevas nedēļas likme paredz tiesības veikt pārvadājumus septiņas nepārtrauktas diennaktis, bet mēneša likme – trīsdesmit nepārtrauktas diennaktis.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 nodevas samaksas ir atbrīvoti transportlīdzekļu īpašnieki (turētāji, valdītāji), kas lielgabarīta un smagsvara pārvadājumiem izmanto šajā punktā minētos transportlīdzekļus: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1.7. apakšpunktā piedāvātā Noteikumu Nr. 1228 7. punkta ievaddaļa noteic, ka no nodevas samaksas ir atbrīvoti transportlīdzekļu īpašnieki (turētāji, valdītāji), kas lielgabarīta un smagsvara pārvadājumiem izmanto šajā punktā minētos transportlīdzekļus. Vēršam uzmanību, ka minētajā punktā vienlaikus norādīti gan tiesību subjekti (Iekšlietu ministrijas un Aizsardzības ministrijas institūcijas), gan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projekta 1.7. apakšpunktā piedāvāto Noteikumu Nr. 1228 7. punktu, nodrošinot skaidru un nepārprotamu tiesisko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Formulēts teikums, lai noteikumu projekta 7.punktā noteiktais attiektos tikai uz transportlīdzekļiem.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 nodevas samaksas ir atbrīvoti transportlīdzekļu īpašnieki (turētāji, valdītāji), kas lielgabarīta un smagsvara pārvadājumiem izmanto šajā punktā minētos transportlīdzekļus: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 nodevas samaksas ir atbrīvoti transportlīdzekļu īpašnieki (turētāji, valdītāji), par: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Noteikumi Nr. 1228 noteic kārtību, kādā maksājama valsts nodeva </w:t>
            </w:r>
            <w:r w:rsidR="00000000" w:rsidRPr="00000000" w:rsidDel="00000000">
              <w:rPr>
                <w:u w:val="single"/>
                <w:rtl w:val="0"/>
              </w:rPr>
              <w:t xml:space="preserve">par lielgabarīta un smagsvara pārvadājumu atļaujas izsniegšanu</w:t>
            </w:r>
            <w:r w:rsidR="00000000" w:rsidRPr="00000000" w:rsidDel="00000000">
              <w:rPr>
                <w:rtl w:val="0"/>
              </w:rPr>
              <w:t xml:space="preserve"> (turpmāk – nodeva), nodevas apmēru un atbrīvojumiem no nodevas. Ievērojot minēto, lūdzam precizēt projekta 1.7. apakšpunktā piedāvātā Noteikumu Nr. 1228 7. punkta redakciju, nosakot, ka no nodevas ir atbrīvoti transportlīdzekļu īpašnieki, </w:t>
            </w:r>
            <w:r w:rsidR="00000000" w:rsidRPr="00000000" w:rsidDel="00000000">
              <w:rPr>
                <w:u w:val="single"/>
                <w:rtl w:val="0"/>
              </w:rPr>
              <w:t xml:space="preserve">kas lielgabarīta un smagsvara pārvadājumiem izmanto</w:t>
            </w:r>
            <w:r w:rsidR="00000000" w:rsidRPr="00000000" w:rsidDel="00000000">
              <w:rPr>
                <w:rtl w:val="0"/>
              </w:rPr>
              <w:t xml:space="preserve"> šajā punktā minētos transportlīdzekļus, vienlaikus precizējot minētajā punktā lietoto gramatisko izteiksmi.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 nodevas samaksas ir atbrīvoti transportlīdzekļu īpašnieki (turētāji, valdītāji), kas lielgabarīta un smagsvara pārvadājumiem izmanto šajā punktā minētos transportlīdzekļus: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Iekšlietu ministrijas un Aizsardzības ministrijas institūciju transportlīdzekļiem;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 projekta 1.7. apakšpunktā piedāvātā Noteikumu Nr. 1228 7.1. apakšpunkta izriet, ka no nodevas ir atbrīvoti transportlīdzekļu īpašnieki, kas lielgabarīta un smagsvara pārvadājumiem izmanto Iekšlietu ministrijas un Aizsardzības ministrijas institūciju transportlīdzekļus. Lai nodrošinātu skaidru un nepārprotamu tiesisko regulējumu, lūdzam precizēt projekta 1.7. apakšpunktā piedāvāto Noteikumu Nr. 1228 7.1. apakšpunktu, nosakot, ka no nodevas ir atbrīvotas Iekšlietu ministrijas un Aizsardzības ministrijas institūcijas.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Iekšlietu ministrijas institūciju piederošu, kā arī Aizsardzības ministrijas institūciju piederošu;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traktortehniku ar vai bez uzkabināmu vai velkamu tehnoloģisko iekārtu, kas nav paredzēta kravas pārvadājumu veikšanai un kravas celšanai, un tā parametri nepārsniedz: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lietojot Ceļu satiksmes likuma 1. panta 10.</w:t>
            </w:r>
            <w:r w:rsidR="00000000" w:rsidRPr="00000000" w:rsidDel="00000000">
              <w:rPr>
                <w:vertAlign w:val="superscript"/>
                <w:rtl w:val="0"/>
              </w:rPr>
              <w:t xml:space="preserve">2</w:t>
            </w:r>
            <w:r w:rsidR="00000000" w:rsidRPr="00000000" w:rsidDel="00000000">
              <w:rPr>
                <w:rtl w:val="0"/>
              </w:rPr>
              <w:t xml:space="preserve"> un 10.</w:t>
            </w:r>
            <w:r w:rsidR="00000000" w:rsidRPr="00000000" w:rsidDel="00000000">
              <w:rPr>
                <w:vertAlign w:val="superscript"/>
                <w:rtl w:val="0"/>
              </w:rPr>
              <w:t xml:space="preserve">3</w:t>
            </w:r>
            <w:r w:rsidR="00000000" w:rsidRPr="00000000" w:rsidDel="00000000">
              <w:rPr>
                <w:rtl w:val="0"/>
              </w:rPr>
              <w:t xml:space="preserve"> punktam atbilstošus terminus.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Atļauju izsniedz par traktortehniku ar maināmo tehnoloģisko agregātu vai maināmo velkamo iekārtu, kas nav paredzēta kravas vešanai, vai bez tiem, ja to kopējie parametri nepārsniedz: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traktortehniku (izņemot celšanas un citas speciālās pašgājējmašīnas) ar maināmo tehnoloģisko agregātu vai velkamo iekārtu vai bez tās, kas nav paredzēta kravas pārvadāšanai, ja kopējie parametri nepārsniedz:</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traktortehnikas sastāvu, ja piekabes platums nepārsniedz 3 metrus.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iepriekš (21.12.2022.) izteikto iebildumu attiecībā uz šo konsolidēto noteikumu 7.4. apakšpunktu ar tur minētajiem iebildumiem. Zemkopības ministrija var atsaukt šo iebildumu, ja tiek ņemts vērā  ZM priekšlikums attiecībā uz 7.3. apakšpunkta precizēšanu.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starpinstitūciju 23.03.2023. sanaksmē un papildināta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traktortehnikas sastāvu, ja piekabes platums nepārsniedz 3 metrus.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traktortehnikas sastāvu, ja piekabes platums nepārsniedz 3 metrus.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normatīvie akti par lauksaimniecības un mežsaimniecības transportlīdzekļu atbilstību paredz, ka piekabes un maināmās velkamās iekārtas, lai samazinātu slodzi uz augsni, var aprīkot ar platākām riepām līdz pat trim metriem no kopējā transportlīdzekļa platuma.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Maināma velkama iekārta ir jebkurš transportlīdzeklis, kurš konstruēts tā, lai to vilktu traktortehnika, kas maina vai papildina tā funkcionālās iespējas, kurš aprīkots ar darbarīku vai konstruēts materiālu pārstrādei, kuram var būt kravas platforma, kas konstruēta un izgatavota tā, lai noturētu visus minētajiem mērķiem vajadzīgos mehānismus un ierīces un uz laiku glabātu visus materiālus, kas ražoti vai vajadzīgi darba laikā, un kura tehniski pieļaujamās maksimālās pilnās masas attiecība pret pašmasu ir mazāka par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Maināmās velkamās iekārtās pēc to daudzveidības un to funkcionalitātes tiek iedalītas transportlīdzekļos: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ar kravas nodalījumu kravu vešanai, paredzētas kravu tehnoloģiskai izstrādei, piemēram, kravas nodalījumā iekrauto minerālmēslu, kūtsmēslu, digestāta, kaļķojumā materiālu izkliedēšanai, graudu vai sakņaugu pārkraušanai, augu/koku/krūmu aizsardzības līdzekļu izsmidzināšanai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bez kravas nodalījuma, paredzētas konkrētai tehnoloģiskai darbībai, piemēram, zemes aršanai/kultivēšanai, siena grābšanai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noteikumu projekta 7.3. apakšpunkts attiecas uz maināmām velkamām iekārtām, kas nav paredzētas kravu pārvadāšanai, tad, lai netiktu izslēgta vesela maināmo velkamo iekārtu grupa, ir būtiski noteikumu projekta 7.4. apakšpunktu papildināt, papildus piekabēm ietverot arī kravas vešanai paredzētas maināmas velkamās iekārtas.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traktortehnikas sastāvu, ja piekabes un kravas vešanai paredzētas maināmās velkamās iekārtas platums nepārsniedz trīs metrus.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starpinstitūciju 23.03.2023. sanaksmē un papildināta noteikumu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pamata atbalstīt ZM iniciatīvu, jo tā nepamatoti paplašina punkta interpretāciju. Velkamās tehnoloģiskās iekārtas gabarītu pārsniegums iekļauts noteikumu projekta 7.3.apakšpunktā, savukārt ZM piedāvātais paplašinājums nav izdalāms, kā atsevišķā, traktortehnikas sastāva funkcionālā kombinācija un to nepārprotami nosaka “traktortehnikas sastāva ar piekabi” definīcija. Uzsveram, ka lielgabarīta traktortehnikas sastāva atbrīvojums no valsts nodevas paredzēts, atbilstoši traktorbūves industrijas starptautisko standartu pieļaujamajam reizē nedodot nepamatotas preferences kravu pārvadājumu veikšanai pret autotransportam noteiktajiem ierobežojumiem.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traktortehnikas sastāvu, ja piekabes platums nepārsniedz 3 metrus.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nodevas apmērs par lielgabarīta un smagsvara pārvadājumu atļaujas izsniegšanu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Nr. 1228 spēkā esošajā redakcijā ir tikai viens pielikums. Ievērojot minēto, lūdzam atbilstoši precizēt projekta 1.8.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nodevas apmērs par lielgabarīta un smagsvara pārvadājumu atļaujas izsniegšanu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Nr. 1228 spēkā esošajā redakcijā ir tikai viens pielikums. Ievērojot minēto, lūdzam atbilstoši precizēt projekta 1.8.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Nodevas likmes pārvadājumam pa noteiktu maršrutu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projekta 1.9. un 1.10. apakšpunkts paredz papildināt Noteikumus Nr. 1228 ar 2. un 3. pielikumu, vienlaikus projektā piedāvātajā Noteikumu Nr. 1228 4. un 5. punktā ietverta atsauce uz Noteikumu Nr. 1228 1. un 2. pielikumu. Ievērojot minēto, lūdzam precizēt projektu, nodrošinot precīzu iekšējo atsauču lietošanu atbilstoši Noteikumu Nr. 108 132. punktā noteiktajai kārtībai.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Nodevas likmes pārvadājumiem par noteiktu termiņu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Nodevas likmes pārvadājumiem par noteiktu termiņu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2.pielikumā pirms katras tabulas ir aprakstīti transportlīdzekļu gabarītu un masas parametri, nav saprotams, kādēļ tabulā, nosakot valsts nodevas likmes, ir nepieciešams atsaukties uz Ceļu satiksmes noteikumos noteikto gabarītu pārkāpšanu, nevis uz to gabarītu pārkāpšanu, ka minēti pirms tabulas.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pie šādiem nosacījumiem nav saprotams, kādi valsts nodevu veidi veidosies, kā tos varēs atspoguļot valsts nodevu uzskaitījumā un kā valsts nodevas administrācija veiks šādu valsts nodevu veidu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arī uzmanību uz problēmu, kas rodas, veidojot sarežģītu un grūti pārskatāmu nodevu sistēmu, proti, jo sarežģītāki un nepārskatāmāki noteiktie nosacījumi, jo grūtāk valsts nodevas administrējošajai iestādei veikt nodevu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aprakstīt nodevu piemērošanas likmes vienkāršoti un viegli uztverami, lai neradītu grūtības nedz pašai nodevas administrējošajai iestādei, nedz citām iestādēm saprast šī noteikumu projekta pielikumos minētos valsts nodevu veidus.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starpinstitūciju 23.03.2023. sanaksmē un papildināta noteikumu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tabulas tika veidotas balstoties transportlīdzekļa pārvadājuma tehniskajiem parametriem, kas ir gan gabarīta lielumi, gan svars, gan abi kopā.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Nodevas likmes pārvadājumiem par noteiktu termiņu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projektu ar projekta 1.10. apakšpunktā piedāvātā Noteikumu Nr. 1228 3. pielikumā lietotā saīsinājuma "CSDD" atšifrējumu. Papildus vēršam uzmanību, ka tā kā saīsinājums "CSDD" projekta tekstā lietots tikai vienu reizi, nav saprotama nepieciešamība šādu saīsinājumu norādīt.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noteikumu projekta sākotnējās ietekmes (ex-ante) novērtējuma ziņojuma (anotācijas) 1.2.sadaļā "Spēkā stāšanās termiņš" datumu "01.07.2023." ar datumu ""01.01.2024." atbilstoši noteikumu projekta 2.punktam, kas noteic, ka noteikumi stājas spēkā 2024.gada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 sadaļu "Tiesību akta projekta ietekmējamās sabiedrības grupas, ietekme uz tautsaimniecības attīstību un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2.1. punktā īsi aprakstīt ietekmi uz norādītajām sabiedrības grupām, kuras tiesiskais regulējums ietekmē, vai varētu ietekmēt. Šobrīd šāds apraksts 2.1. punktā nav veikts, bet norādīta vispārēja informācija, ka noteikumu projekts paredz grozīt valsts nodevas likmi par lielgabarīta un smagsvara pārvadājumu atļaujas izsniegšanu.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2.2. punktā īsi izvērtēt un atspoguļot projekta ietekmi uz tautsaimniecības attīstību, norādot cik lielā mērā nodevas maksas paaugstināšana ietekmēs anotācijas 2.1. punktā norādītās sabiedrības grupas.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papildus norādīt plānoto papildus budžeta ieņēmumu apjomu un izlietošanas mērķus jeb prioritātes.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projekts paredz grozīt valsts nodevas likmi par lielgabarīta un smagsvara </w:t>
            </w:r>
            <w:r w:rsidR="00000000" w:rsidRPr="00000000" w:rsidDel="00000000">
              <w:rPr>
                <w:u w:val="single"/>
                <w:rtl w:val="0"/>
              </w:rPr>
              <w:t xml:space="preserve">pārvadājumu atļaujas izsniegšanu</w:t>
            </w:r>
            <w:r w:rsidR="00000000" w:rsidRPr="00000000" w:rsidDel="00000000">
              <w:rPr>
                <w:rtl w:val="0"/>
              </w:rPr>
              <w:t xml:space="preserve">. Ievērojot minēto, lūdzam atbilstoši precizēt projekta anotācijas 2.1.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Saņemtajā skaidrojumā par iepriekš sniegto priekšlikumu sniegt prognozējamo fiskālo ietekmi uz valsts budžetu vai pamatojumu, kāpēc tās novērtēšana nav iespējama, ir minēts, ka veiktie ieņēmumu testa aprēķini (aptuvenie) liecina par nodevas ikgadējo ieņēmumu pieaugumu 4-5 reizes (1,4-1,8 milj. </w:t>
            </w:r>
            <w:r w:rsidR="00000000" w:rsidRPr="00000000" w:rsidDel="00000000">
              <w:rPr>
                <w:i w:val="1"/>
                <w:rtl w:val="0"/>
              </w:rPr>
              <w:t xml:space="preserve">euro</w:t>
            </w:r>
            <w:r w:rsidR="00000000" w:rsidRPr="00000000" w:rsidDel="00000000">
              <w:rPr>
                <w:rtl w:val="0"/>
              </w:rPr>
              <w:t xml:space="preserve">) no 2022.gada izpildes. Ņemot vērā, ka grozījumiem ir pozitīva fiskālā ietekme, atkārtoti lūdzam rast iespēju aizpildīt anotācijas 3.sadaļu (Tiesību akta projekta ietekme uz valsts budžetu un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grozījumu mērķis ir līdzsvarot nodevas tarifus un kopējo ieņēmumu apjomu ar reģionālo praksi un noteikumu projekts paredz pārskatīt lielgabarīta un smagsvara atļaujas valsts nodevas piemērošanas principus un tarifus, kā arī aktualizēt informāciju par izņēmumiem, lūdzam apsvērt iespēju sniegt prognozējamo fiskālo ietekmi uz valsts budžetu vai pamatojumu, kāpēc tās novērtēšana nav iespējama.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izstrādājot nodevas likmju aktuālos lielumus, tika ņemti vērā šādi aspekti: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reģionālā (LT, EE) prakse, lai pārtrauktu pārrobežu LSP ar mērķi izmaksu optimizācijai;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LSP faktiskā ietekme uz ceļu infrastruktūru un satiksmi (paredzot likmju progresiju līdz CSN pārsniedzošo parametru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LSP tvēruma paplašinājums, līdz ar procesa liberalizāciju (jaunie pārvadājumu 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Principā regulāri pārsniedz –-&gt; vairāk maksa ilgtermiņa LSP atļaujām, fiskāli nostiprinot pārvadājuma izvēles iespēju, nevis ieviešot grūti kontrolējamos aizliegumus.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Veiktie ieņēmumu testa aprēķini (aptuvenie) liecina par nodevas ikgadējo ieņēmumu pieaugumu 4-5 reizēs (1,4-1,8milj. Eur) no 2022.g. izpildes, saglabājot reģionālās harmonizācijas principu, ka nevienā no pārvadājumu kategorijām LV nodevas un faktiskie maksājumi par LSP atļaujām nepārsniedz EE un LT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maksājama valsts nodeva par lielgabarīta un smagsvara pārvadājumu (turpmāk - pārvadājums) atļaujas izsniegšanu (turpmāk – nodeva), nodevas apmēru un atbrīvojumiem no nodevas.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projekta 1.punktā minētie vārdi  "atbrīvojumiem no nodevas" lietoti pareizā locījumā.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autoceļiem" 6. pantam.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valsts nodevas (turpmāk – nodeva) par lielgabarīta un smagsvara pārvadājumu atļaujas (turpmāk – atļauja) izsniegšanu apmēru, maksāšanas kārtību, un atbrīvojumus.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Nodevu vienam pārvadājumam pa noteiktu maršrutu maksā saskaņā ar šo noteikumu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 noteiktajām likmēm, summējot šo noteikumu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noteiktās nodevas likmes par katra </w:t>
            </w:r>
            <w:r w:rsidR="00000000" w:rsidRPr="00000000" w:rsidDel="00000000">
              <w:rPr>
                <w:rtl w:val="0"/>
              </w:rPr>
              <w:t xml:space="preserve">Ministru kabineta 2015. gada 2. jūnija noteikumu Nr. 279 “Ceļu satiksmes noteikumu”</w:t>
            </w:r>
            <w:r w:rsidR="00000000" w:rsidRPr="00000000" w:rsidDel="00000000">
              <w:rPr>
                <w:rtl w:val="0"/>
              </w:rPr>
              <w:t xml:space="preserve"> (turpmāk – Ceļu satiksmes noteikumi)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noteiktā transportlīdzekļa vai transportlīdzekļu sastāva parametra pārsniegšanu.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2010. gada 6. aprīļa noteikumu Nr. 343 "Noteikumi par lielgabarīta un smagsvara pārvadājumiem" 8. punkta pirmais teikums noteic, ka lielgabarīta un smagsvara pārvadājumu atļauju izsniedz lielgabarīta vai smagsvara transportlīdzeklim vienai nedalāmas kravas pārvadāšanas reizei pa noteiktu maršrutu. Ievērojot, ka atbilstoši Ministru kabineta 2009. gada 3. februāra noteikumu Nr. 108 "Normatīvo aktu projektu sagatavošanas noteikumi" 3.2. apakšpunktam normatīvā akta projektā neietver normas, kas dublē augstāka vai tāda paša spēka normatīvā akta tiesību normās ietverto normatīvo regulējumu, lūdzam svītrot projekta 1.4. apakšpunktā piedāvātajā Noteikumu Nr. 1228 4. punktā vārdus "vienam pārvadājumam pa noteiktu maršrutu".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Nodevu maksā saskaņā ar šo noteikumu </w:t>
            </w:r>
            <w:r w:rsidR="00000000" w:rsidRPr="00000000" w:rsidDel="00000000">
              <w:rPr>
                <w:rtl w:val="0"/>
              </w:rPr>
              <w:t xml:space="preserve">​</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noteiktajām likmēm, summējot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 noteiktās nodevas likmes par katra </w:t>
            </w:r>
            <w:r w:rsidR="00000000" w:rsidRPr="00000000" w:rsidDel="00000000">
              <w:rPr>
                <w:rtl w:val="0"/>
              </w:rPr>
              <w:t xml:space="preserve">Ministru kabineta 2015. gada 2. jūnija noteikumu Nr. 279 “Ceļu satiksmes noteikumu”</w:t>
            </w:r>
            <w:r w:rsidR="00000000" w:rsidRPr="00000000" w:rsidDel="00000000">
              <w:rPr>
                <w:rtl w:val="0"/>
              </w:rPr>
              <w:t xml:space="preserve"> (turpmāk – Ceļu satiksmes noteikumi)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noteiktā transportlīdzekļa vai transportlīdzekļu sastāva parametra pārsniegšanu.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Iekšlietu ministrijas un Aizsardzības ministrijas institūciju piederošu;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saikļa "un" nozīmi un lai katrā atsevišķā gadījumā īstenotos tikai viens no uzskaitījumiem, ierosinām skaidrības labad izteikt 7.1.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Iekšlietu ministrijas institūciju piederošu, kā arī Aizsardzības ministrijas institūciju piederošu;".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Iekšlietu ministrijas institūciju piederošu, kā arī Aizsardzības ministrijas institūciju piederošu;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Iekšlietu ministrijas institūciju piederošu, kā arī Aizsardzības ministrijas institūciju piederošu;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traktortehnika ar maināmo tehnoloģisko agregātu vai maināmo velkamo iekārtu, kas nav paredzēta kravas vešanai, vai bez tiem, ja to kopējie parametri nepārsniedz: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Ceļu satiksmes likuma 1.panta 10</w:t>
            </w:r>
            <w:r w:rsidR="00000000" w:rsidRPr="00000000" w:rsidDel="00000000">
              <w:rPr>
                <w:vertAlign w:val="superscript"/>
                <w:rtl w:val="0"/>
              </w:rPr>
              <w:t xml:space="preserve">2</w:t>
            </w:r>
            <w:r w:rsidR="00000000" w:rsidRPr="00000000" w:rsidDel="00000000">
              <w:rPr>
                <w:rtl w:val="0"/>
              </w:rPr>
              <w:t xml:space="preserve">) daļu, maināma velkama iekārta var būt ar kravas platformu, lai uz laiku glabātu visus materiālus, kas ražoti vai vajadzīgi darba laikā. Līdz ar to, maināmo velkamo iekārtu tehnoloģiskie risinājumi paredz to ka, ar maināmo velkamo iekārtu ir iespējama kravu vešana, lai tā spētu izpildīt tai paredzēto tehnoloģisko darbību, piemēram, augu/koku/krūmu aizsardzības līdzekļu izsmidzināšanai, minerālmēslu, kaļķojumā materiālu, kūtsmēslu, digestāta, izkliedēšanai, graudu vai sakņaugu pārkraušanai, u.c. Maināmā velkamā iekārta ir paredzēta kravu vešanai, bet tās nav paredzēta kravu pārvadājuma veikšanai. Karvu pārvadājumi tiek veikti ar piekabēm.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Konsolidētā noteikumu projekta 7.3 apakšpunktā ir teikts, ka atļauju izsniedz par traktortehniku ar maināmo velkamo iekārtu, kas nav paredzēta kravas vešanai. No konsolidēto noteikumu projekta 7.3. apakšpunktā redakcijas ir skaidri saprotams, ka 12 mēneša atļauja nav attiecināma uz traktortehniku ar maināmo velkamo iekārtu, kas paredzēta kravas vešanai. Lai no traktortehnikai paredzētā atļaujas loka, nepamatoti tiktu izslēgtas maināmās velkamās iekārtas piedāvājam izvērtēšanai sekojošas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konsolidēto noteikumu  projekta 7.3. apakšpunktā redakcijas svītrot vārdus “kas nav paredzēta kravas vešanai”, jo no apakšpunkta redakcijas ir skaidri saprotams, ka prasības attiecās tikai uz traktortehniku vai traktortehniku savienojumā (sastāvā) ar maināmo tehnoloģisko agregātu vai maināmo velkamo iekārtu. Nav nepieciešams akcentēt kravas pārvadāšanas jomu, jo konkrētais apakšpunkts neattiecas uz traktortehnikas sastāvu ar piekabēm kravu pārvadājumu veikšanai,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Nr. 343 1.punktā ir teikts, ka noteikumi nosaka kārtību, kādā izsniedz lielgabarīta un smagsvara pārvadājumu atļaujas, kā arī kārtību, kādā tiek veikti šie pārvadājumi, un gadījumus, kad atļauja nav nepieciešama. Tādējādi aicinām lietot vienotu terminoloģiju un konsolidēto noteikumu projekta 7.3. apakšpunktā redakcijā aizstāt vārdus “kravas vešanai” ar vārdiem “ kravu pārvadājumu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“7.3. Atļauju izsniedz par traktortehniku ar maināmo tehnoloģisko agregātu vai maināmo velkamo iekārtu, vai bez tiem, ja to kopējie parametri nepārsniedz:”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“7.3. Atļauju izsniedz par traktortehniku ar maināmo tehnoloģisko agregātu vai maināmo velkamo iekārtu, kas nav paredzēta kravas pārvadājumu veikšanai, vai bez tiem, ja to kopējie parametri nepārsniedz:”.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traktortehniku (izņemot celšanas un citas speciālās pašgājējmašīnas) ar maināmo tehnoloģisko agregātu vai velkamo iekārtu vai bez tās, kas nav paredzēta kravas pārvadāšanai, ja kopējie parametri nepārsniedz:</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Nodevas likmes pārvadājumam pa noteiktu maršrutu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pielikumā ir izveidojusies gramatiska kļūda, proti, pirmā grafika 9. un 10. punktā pie kilogramu uzskaitījuma ir pievienota tonnu saīsinājumzīme.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Uzskaitījumā minēto skaitļu vienība ir tonnās.- 2 tonnas, vai no 2,001 tonnas, kā arī sekojošas augošās vērtības.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Nodevas likmes pārvadājumiem par noteiktu termiņu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Nodevas likmes pārvadājumam pa noteiktu maršrutu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šiem grozījumiem noteikumos mainās valsts nodevu veidi, atgādinām, ka saskaņā ar Ministru kabineta 2018.gada 7.augusta protokollēmuma Nr.37 58.§ 2.punktā doto uzdevumu, nozaru ministrijām piecu darba dienu laikā pēc normatīvā akta pieņemšanas jāiesniedz Finanšu ministrijai informāciju par normatīvajā aktā iekļauto jauno valsts nodevu vai tās izslēgšanu no normatīvā akta, papildus norādot valsts nodevas administrējošo institūciju un normatīvo aktu, kurā minētā valsts nodeva ir noteikta.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Nodevas likmes pārvadājumiem par noteiktu termiņu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Nodevas likmes pārvadājumam pa noteiktu maršrutu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izriet no noteikumu projekta redakcijas, plānots, ka konkrētie grozījumi stāsies spēkā 2023.gada 1.jūlijā. Mūsuprāt, mainot valsts nodevu veidus gada vidū, iestāde rada sev lielāku administratīvo slogu. Jāņem vērā, ka valsts nodevu administrācijai  ir pienākums veikt tās administrēto valsts nodevu veidu uzskaiti atbilstoši Ministru kabineta 2018.gada 7.augusta noteikumos Nr.453 "Valsts nodevu uzskaites noteikumi" noteiktajai kartībai, uzskaitot gan to nodevu veidus, kuri bijuši līdz šo grozījumu spēkā stāšanās brīdim (līdz gada vidum), gan tos nodevu veidus, kuri būs maksājumi, sākot no gada vidus. Lūdzam par šo administratīvo slogu iekļaut informāciju noteikumu projekta anotācijas 2.sadaļā.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Nodevas likmes pārvadājumiem par noteiktu termiņu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22-TA-2689</w:t>
    </w:r>
    <w:r>
      <w:br/>
    </w:r>
    <w:r w:rsidR="00000000" w:rsidRPr="00000000" w:rsidDel="00000000">
      <w:rPr>
        <w:rtl w:val="0"/>
      </w:rPr>
      <w:t xml:space="preserve">16.05.2023. 11.13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22-TA-2689</w:t>
    </w:r>
    <w:r>
      <w:br/>
    </w:r>
    <w:r w:rsidR="00000000" w:rsidRPr="00000000" w:rsidDel="00000000">
      <w:rPr>
        <w:rtl w:val="0"/>
      </w:rPr>
      <w:t xml:space="preserve">16.05.2023. 11.13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Izziņa_22-TA-2689.docx</dc:title>
</cp:coreProperties>
</file>

<file path=docProps/custom.xml><?xml version="1.0" encoding="utf-8"?>
<Properties xmlns="http://schemas.openxmlformats.org/officeDocument/2006/custom-properties" xmlns:vt="http://schemas.openxmlformats.org/officeDocument/2006/docPropsVTypes"/>
</file>