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DB937" w14:textId="7B35CCA3" w:rsidR="002507F5" w:rsidRPr="003B4859" w:rsidRDefault="002507F5" w:rsidP="0035054E">
      <w:pPr>
        <w:pStyle w:val="Heading3"/>
        <w:shd w:val="clear" w:color="auto" w:fill="FFFFFF"/>
        <w:spacing w:before="0" w:beforeAutospacing="0" w:after="0" w:afterAutospacing="0"/>
        <w:rPr>
          <w:b w:val="0"/>
          <w:color w:val="FF0000"/>
          <w:sz w:val="24"/>
          <w:szCs w:val="24"/>
        </w:rPr>
      </w:pPr>
      <w:bookmarkStart w:id="0" w:name="_Hlk16753935"/>
      <w:bookmarkStart w:id="1" w:name="_Hlk18412806"/>
      <w:r w:rsidRPr="003B4859">
        <w:rPr>
          <w:b w:val="0"/>
          <w:color w:val="000000" w:themeColor="text1"/>
          <w:sz w:val="24"/>
          <w:szCs w:val="24"/>
        </w:rPr>
        <w:t>Uz</w:t>
      </w:r>
      <w:r w:rsidR="00E3797B" w:rsidRPr="003B4859">
        <w:rPr>
          <w:b w:val="0"/>
          <w:color w:val="000000" w:themeColor="text1"/>
          <w:sz w:val="24"/>
          <w:szCs w:val="24"/>
        </w:rPr>
        <w:t xml:space="preserve"> </w:t>
      </w:r>
      <w:r w:rsidR="00013160" w:rsidRPr="003B4859">
        <w:rPr>
          <w:b w:val="0"/>
          <w:color w:val="000000" w:themeColor="text1"/>
          <w:sz w:val="24"/>
          <w:szCs w:val="24"/>
        </w:rPr>
        <w:t>31</w:t>
      </w:r>
      <w:r w:rsidRPr="003B4859">
        <w:rPr>
          <w:b w:val="0"/>
          <w:color w:val="000000" w:themeColor="text1"/>
          <w:sz w:val="24"/>
          <w:szCs w:val="24"/>
        </w:rPr>
        <w:t>.</w:t>
      </w:r>
      <w:r w:rsidR="009F0E14" w:rsidRPr="003B4859">
        <w:rPr>
          <w:b w:val="0"/>
          <w:color w:val="000000" w:themeColor="text1"/>
          <w:sz w:val="24"/>
          <w:szCs w:val="24"/>
        </w:rPr>
        <w:t>0</w:t>
      </w:r>
      <w:r w:rsidR="00534419" w:rsidRPr="003B4859">
        <w:rPr>
          <w:b w:val="0"/>
          <w:color w:val="000000" w:themeColor="text1"/>
          <w:sz w:val="24"/>
          <w:szCs w:val="24"/>
        </w:rPr>
        <w:t>5</w:t>
      </w:r>
      <w:r w:rsidRPr="003B4859">
        <w:rPr>
          <w:b w:val="0"/>
          <w:color w:val="000000" w:themeColor="text1"/>
          <w:sz w:val="24"/>
          <w:szCs w:val="24"/>
        </w:rPr>
        <w:t>.20</w:t>
      </w:r>
      <w:r w:rsidR="004D043D" w:rsidRPr="003B4859">
        <w:rPr>
          <w:b w:val="0"/>
          <w:color w:val="000000" w:themeColor="text1"/>
          <w:sz w:val="24"/>
          <w:szCs w:val="24"/>
        </w:rPr>
        <w:t>2</w:t>
      </w:r>
      <w:r w:rsidR="009F0E14" w:rsidRPr="003B4859">
        <w:rPr>
          <w:b w:val="0"/>
          <w:color w:val="000000" w:themeColor="text1"/>
          <w:sz w:val="24"/>
          <w:szCs w:val="24"/>
        </w:rPr>
        <w:t>1</w:t>
      </w:r>
      <w:r w:rsidRPr="003B4859">
        <w:rPr>
          <w:b w:val="0"/>
          <w:color w:val="000000" w:themeColor="text1"/>
          <w:sz w:val="24"/>
          <w:szCs w:val="24"/>
        </w:rPr>
        <w:t xml:space="preserve">. Nr. </w:t>
      </w:r>
      <w:r w:rsidR="00013160" w:rsidRPr="003B4859">
        <w:rPr>
          <w:b w:val="0"/>
          <w:color w:val="000000" w:themeColor="text1"/>
          <w:sz w:val="24"/>
          <w:szCs w:val="24"/>
        </w:rPr>
        <w:t>09-01</w:t>
      </w:r>
      <w:r w:rsidR="00534419" w:rsidRPr="003B4859">
        <w:rPr>
          <w:b w:val="0"/>
          <w:color w:val="000000" w:themeColor="text1"/>
          <w:sz w:val="24"/>
          <w:szCs w:val="24"/>
        </w:rPr>
        <w:t>/</w:t>
      </w:r>
      <w:r w:rsidR="00013160" w:rsidRPr="003B4859">
        <w:rPr>
          <w:b w:val="0"/>
          <w:color w:val="000000" w:themeColor="text1"/>
          <w:sz w:val="24"/>
          <w:szCs w:val="24"/>
        </w:rPr>
        <w:t>2201</w:t>
      </w:r>
    </w:p>
    <w:p w14:paraId="4F3726C1" w14:textId="3BA345AC" w:rsidR="002507F5" w:rsidRPr="003B4859" w:rsidRDefault="00013160" w:rsidP="0035054E">
      <w:pPr>
        <w:pStyle w:val="Heading3"/>
        <w:shd w:val="clear" w:color="auto" w:fill="FFFFFF"/>
        <w:spacing w:before="0" w:beforeAutospacing="0" w:after="0" w:afterAutospacing="0"/>
        <w:jc w:val="right"/>
        <w:rPr>
          <w:sz w:val="24"/>
          <w:szCs w:val="24"/>
        </w:rPr>
      </w:pPr>
      <w:r w:rsidRPr="003B4859">
        <w:rPr>
          <w:sz w:val="24"/>
          <w:szCs w:val="24"/>
        </w:rPr>
        <w:t>Satiksmes</w:t>
      </w:r>
      <w:r w:rsidR="002507F5" w:rsidRPr="003B4859">
        <w:rPr>
          <w:sz w:val="24"/>
          <w:szCs w:val="24"/>
        </w:rPr>
        <w:t xml:space="preserve"> ministrijai</w:t>
      </w:r>
    </w:p>
    <w:p w14:paraId="11D6A7AA" w14:textId="77777777" w:rsidR="002507F5" w:rsidRPr="003B4859" w:rsidRDefault="002507F5" w:rsidP="0035054E">
      <w:pPr>
        <w:pStyle w:val="Heading3"/>
        <w:shd w:val="clear" w:color="auto" w:fill="FFFFFF"/>
        <w:spacing w:before="0" w:beforeAutospacing="0" w:after="0" w:afterAutospacing="0"/>
        <w:rPr>
          <w:b w:val="0"/>
          <w:i/>
          <w:sz w:val="24"/>
          <w:szCs w:val="24"/>
        </w:rPr>
      </w:pPr>
    </w:p>
    <w:p w14:paraId="4BBFB472" w14:textId="77777777" w:rsidR="00FF4B8F" w:rsidRPr="003B4859" w:rsidRDefault="00FF4B8F" w:rsidP="0035054E">
      <w:pPr>
        <w:pStyle w:val="Heading3"/>
        <w:shd w:val="clear" w:color="auto" w:fill="FFFFFF"/>
        <w:spacing w:before="0" w:beforeAutospacing="0" w:after="0" w:afterAutospacing="0"/>
        <w:rPr>
          <w:b w:val="0"/>
          <w:i/>
          <w:sz w:val="24"/>
          <w:szCs w:val="24"/>
        </w:rPr>
      </w:pPr>
    </w:p>
    <w:p w14:paraId="7B13CBBA" w14:textId="77777777" w:rsidR="00013160" w:rsidRPr="003B4859" w:rsidRDefault="002507F5" w:rsidP="00013160">
      <w:pPr>
        <w:pStyle w:val="Heading3"/>
        <w:shd w:val="clear" w:color="auto" w:fill="FFFFFF"/>
        <w:spacing w:before="0" w:beforeAutospacing="0" w:after="0" w:afterAutospacing="0"/>
        <w:rPr>
          <w:b w:val="0"/>
          <w:i/>
          <w:sz w:val="24"/>
          <w:szCs w:val="24"/>
        </w:rPr>
      </w:pPr>
      <w:r w:rsidRPr="003B4859">
        <w:rPr>
          <w:b w:val="0"/>
          <w:i/>
          <w:sz w:val="24"/>
          <w:szCs w:val="24"/>
        </w:rPr>
        <w:t>Atzinums par</w:t>
      </w:r>
      <w:r w:rsidRPr="003B4859">
        <w:rPr>
          <w:sz w:val="24"/>
          <w:szCs w:val="24"/>
        </w:rPr>
        <w:t xml:space="preserve"> </w:t>
      </w:r>
      <w:r w:rsidR="00013160" w:rsidRPr="003B4859">
        <w:rPr>
          <w:b w:val="0"/>
          <w:i/>
          <w:sz w:val="24"/>
          <w:szCs w:val="24"/>
        </w:rPr>
        <w:t xml:space="preserve">konceptuālā ziņojuma </w:t>
      </w:r>
    </w:p>
    <w:p w14:paraId="6B7C9E3F" w14:textId="77777777" w:rsidR="00013160" w:rsidRPr="003B4859" w:rsidRDefault="00013160" w:rsidP="00013160">
      <w:pPr>
        <w:pStyle w:val="Heading3"/>
        <w:shd w:val="clear" w:color="auto" w:fill="FFFFFF"/>
        <w:spacing w:before="0" w:beforeAutospacing="0" w:after="0" w:afterAutospacing="0"/>
        <w:rPr>
          <w:b w:val="0"/>
          <w:i/>
          <w:sz w:val="24"/>
          <w:szCs w:val="24"/>
        </w:rPr>
      </w:pPr>
      <w:r w:rsidRPr="003B4859">
        <w:rPr>
          <w:b w:val="0"/>
          <w:i/>
          <w:sz w:val="24"/>
          <w:szCs w:val="24"/>
        </w:rPr>
        <w:t xml:space="preserve">"Par nepieciešamajām izmaiņām tiesiskajā regulējumā </w:t>
      </w:r>
    </w:p>
    <w:p w14:paraId="4A7D7C16" w14:textId="0D78AABF" w:rsidR="002507F5" w:rsidRPr="003B4859" w:rsidRDefault="00013160" w:rsidP="00013160">
      <w:pPr>
        <w:pStyle w:val="Heading3"/>
        <w:shd w:val="clear" w:color="auto" w:fill="FFFFFF"/>
        <w:spacing w:before="0" w:beforeAutospacing="0" w:after="0" w:afterAutospacing="0"/>
        <w:rPr>
          <w:b w:val="0"/>
          <w:i/>
          <w:sz w:val="24"/>
          <w:szCs w:val="24"/>
        </w:rPr>
      </w:pPr>
      <w:r w:rsidRPr="003B4859">
        <w:rPr>
          <w:b w:val="0"/>
          <w:i/>
          <w:sz w:val="24"/>
          <w:szCs w:val="24"/>
        </w:rPr>
        <w:t>Rail Baltica projekta īstenošanas paātrināšanai" projektu</w:t>
      </w:r>
    </w:p>
    <w:p w14:paraId="7A137020" w14:textId="147A51C2" w:rsidR="00BA6CF8" w:rsidRPr="003B4859" w:rsidRDefault="00BA6CF8" w:rsidP="0035054E">
      <w:pPr>
        <w:pStyle w:val="Heading3"/>
        <w:shd w:val="clear" w:color="auto" w:fill="FFFFFF"/>
        <w:spacing w:before="0" w:beforeAutospacing="0" w:after="0" w:afterAutospacing="0"/>
        <w:jc w:val="both"/>
        <w:rPr>
          <w:b w:val="0"/>
          <w:sz w:val="24"/>
          <w:szCs w:val="24"/>
        </w:rPr>
      </w:pPr>
    </w:p>
    <w:p w14:paraId="339F38DF" w14:textId="77777777" w:rsidR="00FF4B8F" w:rsidRPr="003B4859" w:rsidRDefault="00FF4B8F" w:rsidP="0035054E">
      <w:pPr>
        <w:pStyle w:val="Heading3"/>
        <w:shd w:val="clear" w:color="auto" w:fill="FFFFFF"/>
        <w:spacing w:before="0" w:beforeAutospacing="0" w:after="0" w:afterAutospacing="0"/>
        <w:jc w:val="both"/>
        <w:rPr>
          <w:b w:val="0"/>
          <w:sz w:val="24"/>
          <w:szCs w:val="24"/>
        </w:rPr>
      </w:pPr>
    </w:p>
    <w:p w14:paraId="6F74E5BC" w14:textId="72588745" w:rsidR="008C3E9A" w:rsidRPr="003B4859" w:rsidRDefault="002507F5" w:rsidP="008C3E9A">
      <w:pPr>
        <w:pStyle w:val="Heading3"/>
        <w:shd w:val="clear" w:color="auto" w:fill="FFFFFF"/>
        <w:spacing w:before="0" w:beforeAutospacing="0" w:after="0" w:afterAutospacing="0"/>
        <w:ind w:firstLine="720"/>
        <w:jc w:val="both"/>
        <w:rPr>
          <w:b w:val="0"/>
          <w:sz w:val="24"/>
          <w:szCs w:val="24"/>
        </w:rPr>
      </w:pPr>
      <w:r w:rsidRPr="003B4859">
        <w:rPr>
          <w:b w:val="0"/>
          <w:sz w:val="24"/>
          <w:szCs w:val="24"/>
        </w:rPr>
        <w:t xml:space="preserve">Tieslietu ministrija ir izskatījusi </w:t>
      </w:r>
      <w:r w:rsidR="00013160" w:rsidRPr="003B4859">
        <w:rPr>
          <w:b w:val="0"/>
          <w:sz w:val="24"/>
          <w:szCs w:val="24"/>
        </w:rPr>
        <w:t>Satiksmes</w:t>
      </w:r>
      <w:r w:rsidRPr="003B4859">
        <w:rPr>
          <w:b w:val="0"/>
          <w:sz w:val="24"/>
          <w:szCs w:val="24"/>
        </w:rPr>
        <w:t xml:space="preserve"> ministrijas sagatavoto </w:t>
      </w:r>
      <w:r w:rsidR="004F01F0" w:rsidRPr="003B4859">
        <w:rPr>
          <w:b w:val="0"/>
          <w:sz w:val="24"/>
          <w:szCs w:val="24"/>
        </w:rPr>
        <w:t xml:space="preserve">Ministru kabineta rīkojuma projektu un </w:t>
      </w:r>
      <w:r w:rsidR="00013160" w:rsidRPr="003B4859">
        <w:rPr>
          <w:b w:val="0"/>
          <w:sz w:val="24"/>
          <w:szCs w:val="24"/>
        </w:rPr>
        <w:t xml:space="preserve">konceptuālā ziņojuma "Par nepieciešamajām izmaiņām tiesiskajā regulējumā </w:t>
      </w:r>
      <w:r w:rsidR="00013160" w:rsidRPr="003B4859">
        <w:rPr>
          <w:b w:val="0"/>
          <w:i/>
          <w:iCs/>
          <w:sz w:val="24"/>
          <w:szCs w:val="24"/>
        </w:rPr>
        <w:t>Rail Baltica</w:t>
      </w:r>
      <w:r w:rsidR="00013160" w:rsidRPr="003B4859">
        <w:rPr>
          <w:b w:val="0"/>
          <w:sz w:val="24"/>
          <w:szCs w:val="24"/>
        </w:rPr>
        <w:t xml:space="preserve"> projekta īstenošanas paātrināšanai" projektu</w:t>
      </w:r>
      <w:r w:rsidR="005F1FE0" w:rsidRPr="003B4859">
        <w:rPr>
          <w:b w:val="0"/>
          <w:sz w:val="24"/>
          <w:szCs w:val="24"/>
        </w:rPr>
        <w:t xml:space="preserve"> </w:t>
      </w:r>
      <w:r w:rsidRPr="003B4859">
        <w:rPr>
          <w:b w:val="0"/>
          <w:sz w:val="24"/>
          <w:szCs w:val="24"/>
        </w:rPr>
        <w:t>(turpmāk –</w:t>
      </w:r>
      <w:r w:rsidR="00013160" w:rsidRPr="003B4859">
        <w:rPr>
          <w:b w:val="0"/>
          <w:sz w:val="24"/>
          <w:szCs w:val="24"/>
        </w:rPr>
        <w:t> Z</w:t>
      </w:r>
      <w:r w:rsidR="00A17907" w:rsidRPr="003B4859">
        <w:rPr>
          <w:b w:val="0"/>
          <w:sz w:val="24"/>
          <w:szCs w:val="24"/>
        </w:rPr>
        <w:t>iņojums</w:t>
      </w:r>
      <w:r w:rsidRPr="003B4859">
        <w:rPr>
          <w:b w:val="0"/>
          <w:sz w:val="24"/>
          <w:szCs w:val="24"/>
        </w:rPr>
        <w:t xml:space="preserve">) </w:t>
      </w:r>
      <w:r w:rsidR="00315F96" w:rsidRPr="003B4859">
        <w:rPr>
          <w:b w:val="0"/>
          <w:sz w:val="24"/>
          <w:szCs w:val="24"/>
        </w:rPr>
        <w:t>un</w:t>
      </w:r>
      <w:r w:rsidR="004F01F0" w:rsidRPr="003B4859">
        <w:rPr>
          <w:b w:val="0"/>
          <w:sz w:val="24"/>
          <w:szCs w:val="24"/>
        </w:rPr>
        <w:t xml:space="preserve"> </w:t>
      </w:r>
      <w:r w:rsidR="00013160" w:rsidRPr="003B4859">
        <w:rPr>
          <w:b w:val="0"/>
          <w:sz w:val="24"/>
          <w:szCs w:val="24"/>
        </w:rPr>
        <w:t>ne</w:t>
      </w:r>
      <w:r w:rsidRPr="003B4859">
        <w:rPr>
          <w:b w:val="0"/>
          <w:sz w:val="24"/>
          <w:szCs w:val="24"/>
        </w:rPr>
        <w:t>atbalsta t</w:t>
      </w:r>
      <w:r w:rsidR="00315F96" w:rsidRPr="003B4859">
        <w:rPr>
          <w:b w:val="0"/>
          <w:sz w:val="24"/>
          <w:szCs w:val="24"/>
        </w:rPr>
        <w:t>o</w:t>
      </w:r>
      <w:r w:rsidRPr="003B4859">
        <w:rPr>
          <w:b w:val="0"/>
          <w:sz w:val="24"/>
          <w:szCs w:val="24"/>
        </w:rPr>
        <w:t xml:space="preserve"> virzību, izsakot šādu</w:t>
      </w:r>
      <w:r w:rsidR="00821B16" w:rsidRPr="003B4859">
        <w:rPr>
          <w:b w:val="0"/>
          <w:sz w:val="24"/>
          <w:szCs w:val="24"/>
        </w:rPr>
        <w:t>s</w:t>
      </w:r>
      <w:r w:rsidRPr="003B4859">
        <w:rPr>
          <w:b w:val="0"/>
          <w:sz w:val="24"/>
          <w:szCs w:val="24"/>
        </w:rPr>
        <w:t xml:space="preserve"> </w:t>
      </w:r>
      <w:r w:rsidR="006B42E2" w:rsidRPr="003B4859">
        <w:rPr>
          <w:b w:val="0"/>
          <w:sz w:val="24"/>
          <w:szCs w:val="24"/>
        </w:rPr>
        <w:t>iebildumu</w:t>
      </w:r>
      <w:r w:rsidR="00821B16" w:rsidRPr="003B4859">
        <w:rPr>
          <w:b w:val="0"/>
          <w:sz w:val="24"/>
          <w:szCs w:val="24"/>
        </w:rPr>
        <w:t>s</w:t>
      </w:r>
      <w:r w:rsidR="000A74D0" w:rsidRPr="003B4859">
        <w:rPr>
          <w:b w:val="0"/>
          <w:sz w:val="24"/>
          <w:szCs w:val="24"/>
        </w:rPr>
        <w:t>:</w:t>
      </w:r>
    </w:p>
    <w:p w14:paraId="73E15853" w14:textId="5DE7AF8F" w:rsidR="00404519" w:rsidRPr="003B4859" w:rsidRDefault="002F6475" w:rsidP="00534F13">
      <w:pPr>
        <w:pStyle w:val="Heading3"/>
        <w:numPr>
          <w:ilvl w:val="0"/>
          <w:numId w:val="20"/>
        </w:numPr>
        <w:shd w:val="clear" w:color="auto" w:fill="FFFFFF"/>
        <w:spacing w:before="0" w:beforeAutospacing="0" w:after="0" w:afterAutospacing="0"/>
        <w:jc w:val="both"/>
        <w:rPr>
          <w:b w:val="0"/>
          <w:sz w:val="24"/>
          <w:szCs w:val="24"/>
        </w:rPr>
      </w:pPr>
      <w:bookmarkStart w:id="2" w:name="_Hlk73712057"/>
      <w:r w:rsidRPr="003B4859">
        <w:rPr>
          <w:b w:val="0"/>
          <w:sz w:val="24"/>
          <w:szCs w:val="24"/>
        </w:rPr>
        <w:t>Ministru kabineta 2014. gada 2. decembra noteikumu Nr.</w:t>
      </w:r>
      <w:r w:rsidR="00153684" w:rsidRPr="003B4859">
        <w:rPr>
          <w:b w:val="0"/>
          <w:sz w:val="24"/>
          <w:szCs w:val="24"/>
        </w:rPr>
        <w:t> </w:t>
      </w:r>
      <w:r w:rsidRPr="003B4859">
        <w:rPr>
          <w:b w:val="0"/>
          <w:sz w:val="24"/>
          <w:szCs w:val="24"/>
        </w:rPr>
        <w:t>737 "Attīstības plānošanas dokumentu izstrādes un ietekmes izvērtēšanas noteikumi" 28.2. apakšpunktā noteikts</w:t>
      </w:r>
      <w:bookmarkEnd w:id="2"/>
      <w:r w:rsidRPr="003B4859">
        <w:rPr>
          <w:b w:val="0"/>
          <w:sz w:val="24"/>
          <w:szCs w:val="24"/>
        </w:rPr>
        <w:t xml:space="preserve">, ka konceptuālajā ziņojumā ietver īsu problēmas vai situācijas izklāstu, norādot iespējamos riskus, </w:t>
      </w:r>
      <w:bookmarkStart w:id="3" w:name="_Hlk73687212"/>
      <w:r w:rsidRPr="003B4859">
        <w:rPr>
          <w:b w:val="0"/>
          <w:sz w:val="24"/>
          <w:szCs w:val="24"/>
        </w:rPr>
        <w:t>ja esošā situācija netiek mainīta</w:t>
      </w:r>
      <w:bookmarkEnd w:id="3"/>
      <w:r w:rsidRPr="003B4859">
        <w:rPr>
          <w:b w:val="0"/>
          <w:sz w:val="24"/>
          <w:szCs w:val="24"/>
        </w:rPr>
        <w:t>, un risku izvērtēšanas metodoloģiju, ar kuru saskaņā veikts risku izvērtējums.</w:t>
      </w:r>
      <w:r w:rsidR="00CA1A9A" w:rsidRPr="003B4859">
        <w:rPr>
          <w:b w:val="0"/>
          <w:sz w:val="24"/>
          <w:szCs w:val="24"/>
        </w:rPr>
        <w:t xml:space="preserve"> </w:t>
      </w:r>
      <w:r w:rsidRPr="003B4859">
        <w:rPr>
          <w:b w:val="0"/>
          <w:sz w:val="24"/>
          <w:szCs w:val="24"/>
        </w:rPr>
        <w:t xml:space="preserve">Tieslietu ministrijas ieskatā, lai varētu </w:t>
      </w:r>
      <w:r w:rsidR="00153684" w:rsidRPr="003B4859">
        <w:rPr>
          <w:b w:val="0"/>
          <w:sz w:val="24"/>
          <w:szCs w:val="24"/>
        </w:rPr>
        <w:t xml:space="preserve">veikt izvērtējumu nepieciešamajām izmaiņām tiesiskajā regulējumā </w:t>
      </w:r>
      <w:r w:rsidR="00153684" w:rsidRPr="003B4859">
        <w:rPr>
          <w:b w:val="0"/>
          <w:i/>
          <w:iCs/>
          <w:sz w:val="24"/>
          <w:szCs w:val="24"/>
        </w:rPr>
        <w:t>Rail Baltica</w:t>
      </w:r>
      <w:r w:rsidR="00153684" w:rsidRPr="003B4859">
        <w:rPr>
          <w:b w:val="0"/>
          <w:sz w:val="24"/>
          <w:szCs w:val="24"/>
        </w:rPr>
        <w:t xml:space="preserve"> projekta </w:t>
      </w:r>
      <w:r w:rsidR="00663032" w:rsidRPr="003B4859">
        <w:rPr>
          <w:b w:val="0"/>
          <w:sz w:val="24"/>
          <w:szCs w:val="24"/>
        </w:rPr>
        <w:t xml:space="preserve">(turpmāk – Projekts) </w:t>
      </w:r>
      <w:r w:rsidR="00153684" w:rsidRPr="003B4859">
        <w:rPr>
          <w:b w:val="0"/>
          <w:sz w:val="24"/>
          <w:szCs w:val="24"/>
        </w:rPr>
        <w:t>īstenošanas paātrināšanai</w:t>
      </w:r>
      <w:r w:rsidR="00057DE4" w:rsidRPr="003B4859">
        <w:rPr>
          <w:b w:val="0"/>
          <w:sz w:val="24"/>
          <w:szCs w:val="24"/>
        </w:rPr>
        <w:t>,</w:t>
      </w:r>
      <w:r w:rsidR="00EA01BF" w:rsidRPr="003B4859">
        <w:rPr>
          <w:b w:val="0"/>
          <w:sz w:val="24"/>
          <w:szCs w:val="24"/>
        </w:rPr>
        <w:t xml:space="preserve"> nepieciešams skaidri </w:t>
      </w:r>
      <w:r w:rsidR="00057DE4" w:rsidRPr="003B4859">
        <w:rPr>
          <w:b w:val="0"/>
          <w:sz w:val="24"/>
          <w:szCs w:val="24"/>
        </w:rPr>
        <w:t xml:space="preserve">identificēt </w:t>
      </w:r>
      <w:r w:rsidR="00EA01BF" w:rsidRPr="003B4859">
        <w:rPr>
          <w:b w:val="0"/>
          <w:sz w:val="24"/>
          <w:szCs w:val="24"/>
        </w:rPr>
        <w:t xml:space="preserve">un </w:t>
      </w:r>
      <w:r w:rsidR="00057DE4" w:rsidRPr="003B4859">
        <w:rPr>
          <w:b w:val="0"/>
          <w:sz w:val="24"/>
          <w:szCs w:val="24"/>
        </w:rPr>
        <w:t xml:space="preserve">Ziņojumā </w:t>
      </w:r>
      <w:r w:rsidR="00EA01BF" w:rsidRPr="003B4859">
        <w:rPr>
          <w:b w:val="0"/>
          <w:sz w:val="24"/>
          <w:szCs w:val="24"/>
        </w:rPr>
        <w:t xml:space="preserve">norādīt </w:t>
      </w:r>
      <w:r w:rsidR="00057DE4" w:rsidRPr="003B4859">
        <w:rPr>
          <w:b w:val="0"/>
          <w:sz w:val="24"/>
          <w:szCs w:val="24"/>
        </w:rPr>
        <w:t xml:space="preserve">iespējamos </w:t>
      </w:r>
      <w:r w:rsidR="00EA01BF" w:rsidRPr="003B4859">
        <w:rPr>
          <w:b w:val="0"/>
          <w:sz w:val="24"/>
          <w:szCs w:val="24"/>
        </w:rPr>
        <w:t>riskus,</w:t>
      </w:r>
      <w:r w:rsidR="00EA01BF" w:rsidRPr="003B4859">
        <w:rPr>
          <w:sz w:val="24"/>
          <w:szCs w:val="24"/>
        </w:rPr>
        <w:t xml:space="preserve"> </w:t>
      </w:r>
      <w:r w:rsidR="00EA01BF" w:rsidRPr="003B4859">
        <w:rPr>
          <w:b w:val="0"/>
          <w:sz w:val="24"/>
          <w:szCs w:val="24"/>
        </w:rPr>
        <w:t xml:space="preserve">ja esošā situācija netiek mainīta. </w:t>
      </w:r>
      <w:r w:rsidR="00663032" w:rsidRPr="003B4859">
        <w:rPr>
          <w:b w:val="0"/>
          <w:iCs/>
          <w:sz w:val="24"/>
          <w:szCs w:val="24"/>
        </w:rPr>
        <w:t>Ziņojumā šobrīd norādīti apstākļi, kas var padarīt lēnākus Projekta īstenošanas tempus, tomēr</w:t>
      </w:r>
      <w:r w:rsidR="00663032" w:rsidRPr="003B4859">
        <w:rPr>
          <w:b w:val="0"/>
          <w:sz w:val="24"/>
          <w:szCs w:val="24"/>
        </w:rPr>
        <w:t xml:space="preserve"> </w:t>
      </w:r>
      <w:r w:rsidR="00057DE4" w:rsidRPr="003B4859">
        <w:rPr>
          <w:b w:val="0"/>
          <w:iCs/>
          <w:sz w:val="24"/>
          <w:szCs w:val="24"/>
        </w:rPr>
        <w:t>Ziņojums</w:t>
      </w:r>
      <w:r w:rsidR="006E18D8" w:rsidRPr="003B4859">
        <w:rPr>
          <w:b w:val="0"/>
          <w:iCs/>
          <w:sz w:val="24"/>
          <w:szCs w:val="24"/>
        </w:rPr>
        <w:t xml:space="preserve"> </w:t>
      </w:r>
      <w:r w:rsidR="00057DE4" w:rsidRPr="003B4859">
        <w:rPr>
          <w:b w:val="0"/>
          <w:iCs/>
          <w:sz w:val="24"/>
          <w:szCs w:val="24"/>
        </w:rPr>
        <w:t xml:space="preserve">nesatur konkrētu informāciju </w:t>
      </w:r>
      <w:r w:rsidR="006E18D8" w:rsidRPr="003B4859">
        <w:rPr>
          <w:b w:val="0"/>
          <w:iCs/>
          <w:sz w:val="24"/>
          <w:szCs w:val="24"/>
        </w:rPr>
        <w:t xml:space="preserve">par </w:t>
      </w:r>
      <w:r w:rsidR="00663032" w:rsidRPr="003B4859">
        <w:rPr>
          <w:b w:val="0"/>
          <w:iCs/>
          <w:sz w:val="24"/>
          <w:szCs w:val="24"/>
        </w:rPr>
        <w:t xml:space="preserve">Projekta norises paildzināšanās riskiem un to būtiskumu (kādas un cik būtiskas </w:t>
      </w:r>
      <w:r w:rsidR="00057DE4" w:rsidRPr="003B4859">
        <w:rPr>
          <w:b w:val="0"/>
          <w:iCs/>
          <w:sz w:val="24"/>
          <w:szCs w:val="24"/>
        </w:rPr>
        <w:t xml:space="preserve">sekas var rasties </w:t>
      </w:r>
      <w:r w:rsidR="006E18D8" w:rsidRPr="003B4859">
        <w:rPr>
          <w:b w:val="0"/>
          <w:iCs/>
          <w:sz w:val="24"/>
          <w:szCs w:val="24"/>
        </w:rPr>
        <w:t>Latvija</w:t>
      </w:r>
      <w:r w:rsidR="00057DE4" w:rsidRPr="003B4859">
        <w:rPr>
          <w:b w:val="0"/>
          <w:iCs/>
          <w:sz w:val="24"/>
          <w:szCs w:val="24"/>
        </w:rPr>
        <w:t>s valstij</w:t>
      </w:r>
      <w:r w:rsidR="00953436" w:rsidRPr="003B4859">
        <w:rPr>
          <w:b w:val="0"/>
          <w:iCs/>
          <w:sz w:val="24"/>
          <w:szCs w:val="24"/>
        </w:rPr>
        <w:t xml:space="preserve"> un </w:t>
      </w:r>
      <w:r w:rsidR="002D4065" w:rsidRPr="003B4859">
        <w:rPr>
          <w:b w:val="0"/>
          <w:iCs/>
          <w:sz w:val="24"/>
          <w:szCs w:val="24"/>
        </w:rPr>
        <w:t xml:space="preserve">tādējādi ietekmēt visu </w:t>
      </w:r>
      <w:r w:rsidR="00953436" w:rsidRPr="003B4859">
        <w:rPr>
          <w:b w:val="0"/>
          <w:iCs/>
          <w:sz w:val="24"/>
          <w:szCs w:val="24"/>
        </w:rPr>
        <w:t>sabiedrīb</w:t>
      </w:r>
      <w:r w:rsidR="002D4065" w:rsidRPr="003B4859">
        <w:rPr>
          <w:b w:val="0"/>
          <w:iCs/>
          <w:sz w:val="24"/>
          <w:szCs w:val="24"/>
        </w:rPr>
        <w:t>u</w:t>
      </w:r>
      <w:r w:rsidR="00663032" w:rsidRPr="003B4859">
        <w:rPr>
          <w:b w:val="0"/>
          <w:iCs/>
          <w:sz w:val="24"/>
          <w:szCs w:val="24"/>
        </w:rPr>
        <w:t>)</w:t>
      </w:r>
      <w:r w:rsidR="006E18D8" w:rsidRPr="003B4859">
        <w:rPr>
          <w:b w:val="0"/>
          <w:iCs/>
          <w:sz w:val="24"/>
          <w:szCs w:val="24"/>
        </w:rPr>
        <w:t>.</w:t>
      </w:r>
    </w:p>
    <w:p w14:paraId="670CEDEC" w14:textId="7FC7D711" w:rsidR="00FC46A6" w:rsidRPr="003B4859" w:rsidRDefault="00837011" w:rsidP="008A161A">
      <w:pPr>
        <w:pStyle w:val="Heading3"/>
        <w:numPr>
          <w:ilvl w:val="0"/>
          <w:numId w:val="20"/>
        </w:numPr>
        <w:shd w:val="clear" w:color="auto" w:fill="FFFFFF"/>
        <w:spacing w:before="0" w:beforeAutospacing="0" w:after="0" w:afterAutospacing="0"/>
        <w:jc w:val="both"/>
        <w:rPr>
          <w:b w:val="0"/>
          <w:bCs w:val="0"/>
          <w:sz w:val="24"/>
          <w:szCs w:val="24"/>
        </w:rPr>
      </w:pPr>
      <w:r w:rsidRPr="003B4859">
        <w:rPr>
          <w:b w:val="0"/>
          <w:bCs w:val="0"/>
          <w:iCs/>
          <w:sz w:val="24"/>
          <w:szCs w:val="24"/>
        </w:rPr>
        <w:t>Ministru kabineta 2014.</w:t>
      </w:r>
      <w:r w:rsidR="00372E9F" w:rsidRPr="003B4859">
        <w:rPr>
          <w:b w:val="0"/>
          <w:bCs w:val="0"/>
          <w:iCs/>
          <w:sz w:val="24"/>
          <w:szCs w:val="24"/>
        </w:rPr>
        <w:t> </w:t>
      </w:r>
      <w:r w:rsidRPr="003B4859">
        <w:rPr>
          <w:b w:val="0"/>
          <w:bCs w:val="0"/>
          <w:iCs/>
          <w:sz w:val="24"/>
          <w:szCs w:val="24"/>
        </w:rPr>
        <w:t>gada 2.</w:t>
      </w:r>
      <w:r w:rsidR="00372E9F" w:rsidRPr="003B4859">
        <w:rPr>
          <w:b w:val="0"/>
          <w:bCs w:val="0"/>
          <w:iCs/>
          <w:sz w:val="24"/>
          <w:szCs w:val="24"/>
        </w:rPr>
        <w:t> </w:t>
      </w:r>
      <w:r w:rsidRPr="003B4859">
        <w:rPr>
          <w:b w:val="0"/>
          <w:bCs w:val="0"/>
          <w:iCs/>
          <w:sz w:val="24"/>
          <w:szCs w:val="24"/>
        </w:rPr>
        <w:t>decembra noteikumu Nr.</w:t>
      </w:r>
      <w:r w:rsidR="00372E9F" w:rsidRPr="003B4859">
        <w:rPr>
          <w:b w:val="0"/>
          <w:bCs w:val="0"/>
          <w:iCs/>
          <w:sz w:val="24"/>
          <w:szCs w:val="24"/>
        </w:rPr>
        <w:t> </w:t>
      </w:r>
      <w:r w:rsidRPr="003B4859">
        <w:rPr>
          <w:b w:val="0"/>
          <w:bCs w:val="0"/>
          <w:iCs/>
          <w:sz w:val="24"/>
          <w:szCs w:val="24"/>
        </w:rPr>
        <w:t>737 "Attīstības plānošanas dokumentu izstrādes un ietekmes izvērtēšanas noteikumi" 28.4.</w:t>
      </w:r>
      <w:r w:rsidR="00372E9F" w:rsidRPr="003B4859">
        <w:rPr>
          <w:b w:val="0"/>
          <w:bCs w:val="0"/>
          <w:iCs/>
          <w:sz w:val="24"/>
          <w:szCs w:val="24"/>
        </w:rPr>
        <w:t> </w:t>
      </w:r>
      <w:r w:rsidRPr="003B4859">
        <w:rPr>
          <w:b w:val="0"/>
          <w:bCs w:val="0"/>
          <w:iCs/>
          <w:sz w:val="24"/>
          <w:szCs w:val="24"/>
        </w:rPr>
        <w:t xml:space="preserve">apakšpunktā noteikts, ka konceptuālajā ziņojumā ietver katra risinājuma sākotnējo ietekmes izvērtējumu, tajā skaitā arī iespējamo risinājumu netiešo ietekmi. </w:t>
      </w:r>
      <w:r w:rsidR="007227DD" w:rsidRPr="003B4859">
        <w:rPr>
          <w:b w:val="0"/>
          <w:bCs w:val="0"/>
          <w:iCs/>
          <w:sz w:val="24"/>
          <w:szCs w:val="24"/>
        </w:rPr>
        <w:t xml:space="preserve">Šobrīd </w:t>
      </w:r>
      <w:r w:rsidR="00FC46A6" w:rsidRPr="003B4859">
        <w:rPr>
          <w:b w:val="0"/>
          <w:bCs w:val="0"/>
          <w:iCs/>
          <w:sz w:val="24"/>
          <w:szCs w:val="24"/>
        </w:rPr>
        <w:t>Ziņojum</w:t>
      </w:r>
      <w:r w:rsidR="00372E9F" w:rsidRPr="003B4859">
        <w:rPr>
          <w:b w:val="0"/>
          <w:bCs w:val="0"/>
          <w:iCs/>
          <w:sz w:val="24"/>
          <w:szCs w:val="24"/>
        </w:rPr>
        <w:t xml:space="preserve">s paredz dažādus risinājumus, kam ir izņēmuma </w:t>
      </w:r>
      <w:r w:rsidR="00B6388B" w:rsidRPr="003B4859">
        <w:rPr>
          <w:b w:val="0"/>
          <w:bCs w:val="0"/>
          <w:iCs/>
          <w:sz w:val="24"/>
          <w:szCs w:val="24"/>
        </w:rPr>
        <w:t>raksturs</w:t>
      </w:r>
      <w:r w:rsidR="00372E9F" w:rsidRPr="003B4859">
        <w:rPr>
          <w:b w:val="0"/>
          <w:bCs w:val="0"/>
          <w:iCs/>
          <w:sz w:val="24"/>
          <w:szCs w:val="24"/>
        </w:rPr>
        <w:t xml:space="preserve"> attiecībā pret vispārīgo kārtību daž</w:t>
      </w:r>
      <w:r w:rsidR="0082615D" w:rsidRPr="003B4859">
        <w:rPr>
          <w:b w:val="0"/>
          <w:bCs w:val="0"/>
          <w:iCs/>
          <w:sz w:val="24"/>
          <w:szCs w:val="24"/>
        </w:rPr>
        <w:t xml:space="preserve">ādās normatīvajos aktos noteiktajās procedūrās, tajā skaitā ar izņēmumus no procesa, kāds noteikts sabiedrības vajadzību nodrošināšanai nepieciešamo nekustamo īpašumu atsavināšanai Sabiedrības vajadzībām nepieciešamā nekustamā īpašuma atsavināšanas likumā (turpmāk – Atsavināšanas likums). Pirmšķietami atsevišķi Ziņojumā norādītie risinājumi </w:t>
      </w:r>
      <w:r w:rsidR="00B6388B" w:rsidRPr="003B4859">
        <w:rPr>
          <w:b w:val="0"/>
          <w:bCs w:val="0"/>
          <w:iCs/>
          <w:sz w:val="24"/>
          <w:szCs w:val="24"/>
        </w:rPr>
        <w:t xml:space="preserve">ierobežo privātpersonu īpašuma tiesības, līdz ar to Ziņojumā iztrūkst būtisks </w:t>
      </w:r>
      <w:r w:rsidR="007D188D" w:rsidRPr="003B4859">
        <w:rPr>
          <w:b w:val="0"/>
          <w:bCs w:val="0"/>
          <w:iCs/>
          <w:sz w:val="24"/>
          <w:szCs w:val="24"/>
        </w:rPr>
        <w:t xml:space="preserve">elements – satversmīguma izvērtējums šiem ierobežojumiem, un nav skaidrs, vai šāds izvērtējums vispār ir veikts. Tieslietu ministrijas ieskatā tas būtu jāveic jau šobrīd un jāataino Ziņojumā, jo kamēr nav pārliecības, ka Ziņojumā paredzētie risinājumi ir uzskatāmi par attaisnojamiem īpašuma tiesību ierobežojumiem, nav arī lietderīgi turpināt darbu pie grozījumu izstrādes normatīvajos aktos, paredzot šādus ierobežojumus. </w:t>
      </w:r>
    </w:p>
    <w:p w14:paraId="6709BD2F" w14:textId="77777777" w:rsidR="007911BC" w:rsidRPr="003B4859" w:rsidRDefault="00534F13" w:rsidP="007911BC">
      <w:pPr>
        <w:pStyle w:val="NormalWeb"/>
        <w:spacing w:before="0" w:after="0"/>
        <w:ind w:firstLine="720"/>
        <w:contextualSpacing/>
        <w:jc w:val="both"/>
        <w:rPr>
          <w:iCs/>
        </w:rPr>
      </w:pPr>
      <w:r w:rsidRPr="003B4859">
        <w:rPr>
          <w:iCs/>
        </w:rPr>
        <w:lastRenderedPageBreak/>
        <w:t>Latvijas Republikas Satversmes tiesa (turpmāk – Satversme</w:t>
      </w:r>
      <w:r w:rsidR="007911BC" w:rsidRPr="003B4859">
        <w:rPr>
          <w:iCs/>
        </w:rPr>
        <w:t>s tiesa</w:t>
      </w:r>
      <w:r w:rsidRPr="003B4859">
        <w:rPr>
          <w:iCs/>
        </w:rPr>
        <w:t xml:space="preserve">) savos spriedumos ir norādījusi, ka </w:t>
      </w:r>
      <w:r w:rsidR="00F23E65" w:rsidRPr="003B4859">
        <w:rPr>
          <w:iCs/>
        </w:rPr>
        <w:t xml:space="preserve">Latvijas Republikas </w:t>
      </w:r>
      <w:r w:rsidR="0011747A" w:rsidRPr="003B4859">
        <w:rPr>
          <w:iCs/>
        </w:rPr>
        <w:t xml:space="preserve">Satversmes </w:t>
      </w:r>
      <w:r w:rsidRPr="003B4859">
        <w:rPr>
          <w:iCs/>
        </w:rPr>
        <w:t xml:space="preserve">(turpmāk – Satversme) </w:t>
      </w:r>
      <w:r w:rsidR="0011747A" w:rsidRPr="003B4859">
        <w:rPr>
          <w:iCs/>
        </w:rPr>
        <w:t>105.</w:t>
      </w:r>
      <w:r w:rsidR="00F23E65" w:rsidRPr="003B4859">
        <w:rPr>
          <w:iCs/>
        </w:rPr>
        <w:t> </w:t>
      </w:r>
      <w:r w:rsidR="0011747A" w:rsidRPr="003B4859">
        <w:rPr>
          <w:iCs/>
        </w:rPr>
        <w:t>pants paredz īpašuma tiesību netraucētu īstenošanu, kā arī valsts tiesības sabiedrības interesēs ierobežot īpašuma izmantošanu.</w:t>
      </w:r>
      <w:r w:rsidR="00F23E65" w:rsidRPr="003B4859">
        <w:rPr>
          <w:iCs/>
        </w:rPr>
        <w:t xml:space="preserve"> </w:t>
      </w:r>
      <w:r w:rsidR="00FA46DC" w:rsidRPr="003B4859">
        <w:rPr>
          <w:iCs/>
        </w:rPr>
        <w:t>Pirmkārt, tiesības uz īpašumu sevī ietver arī īpašnieka sociālo pienākumu pret sabiedrību</w:t>
      </w:r>
      <w:r w:rsidR="00F23E65" w:rsidRPr="003B4859">
        <w:rPr>
          <w:iCs/>
        </w:rPr>
        <w:t xml:space="preserve"> (</w:t>
      </w:r>
      <w:r w:rsidR="00FA46DC" w:rsidRPr="003B4859">
        <w:rPr>
          <w:iCs/>
        </w:rPr>
        <w:t>īpašumu nedrīkst izmantot pretēji sabiedrības interesēm</w:t>
      </w:r>
      <w:r w:rsidR="00F23E65" w:rsidRPr="003B4859">
        <w:rPr>
          <w:iCs/>
        </w:rPr>
        <w:t>), o</w:t>
      </w:r>
      <w:r w:rsidR="00FA46DC" w:rsidRPr="003B4859">
        <w:rPr>
          <w:iCs/>
        </w:rPr>
        <w:t>trkārt, tiesības uz īpašumu var ierobežot saskaņā ar likumu</w:t>
      </w:r>
      <w:r w:rsidR="00F23E65" w:rsidRPr="003B4859">
        <w:rPr>
          <w:iCs/>
        </w:rPr>
        <w:t xml:space="preserve">, </w:t>
      </w:r>
      <w:r w:rsidR="00FA46DC" w:rsidRPr="003B4859">
        <w:rPr>
          <w:iCs/>
        </w:rPr>
        <w:t>ja vien ierobežojumi ir noteikti</w:t>
      </w:r>
      <w:r w:rsidR="00F23E65" w:rsidRPr="003B4859">
        <w:rPr>
          <w:iCs/>
        </w:rPr>
        <w:t xml:space="preserve"> </w:t>
      </w:r>
      <w:r w:rsidR="00FA46DC" w:rsidRPr="003B4859">
        <w:rPr>
          <w:iCs/>
        </w:rPr>
        <w:t>leģitīma mērķa labad un ir samērīgi ar šo mērķi.</w:t>
      </w:r>
      <w:r w:rsidR="00FA46DC" w:rsidRPr="003B4859">
        <w:rPr>
          <w:rStyle w:val="FootnoteReference"/>
          <w:iCs/>
        </w:rPr>
        <w:footnoteReference w:id="2"/>
      </w:r>
      <w:r w:rsidR="00F23E65" w:rsidRPr="003B4859">
        <w:rPr>
          <w:iCs/>
        </w:rPr>
        <w:t xml:space="preserve"> Tādējādi, lai noskaidrotu, vai īpašuma tiesību ierobežojums ir attaisnojams, ir jāizvērtē: </w:t>
      </w:r>
      <w:r w:rsidR="007911BC" w:rsidRPr="003B4859">
        <w:rPr>
          <w:iCs/>
        </w:rPr>
        <w:t>1) </w:t>
      </w:r>
      <w:r w:rsidR="00F23E65" w:rsidRPr="003B4859">
        <w:rPr>
          <w:iCs/>
        </w:rPr>
        <w:t xml:space="preserve">vai pamattiesību ierobežojums ir noteikts ar likumu; </w:t>
      </w:r>
      <w:r w:rsidR="007911BC" w:rsidRPr="003B4859">
        <w:rPr>
          <w:iCs/>
        </w:rPr>
        <w:t>2) </w:t>
      </w:r>
      <w:r w:rsidR="00F23E65" w:rsidRPr="003B4859">
        <w:rPr>
          <w:iCs/>
        </w:rPr>
        <w:t xml:space="preserve">vai ierobežojumam ir leģitīms mērķis (ikviena pamattiesību ierobežojuma pamatā ir jābūt apstākļiem un argumentiem, kādēļ tas vajadzīgs, proti, </w:t>
      </w:r>
      <w:r w:rsidR="00AB6E25" w:rsidRPr="003B4859">
        <w:rPr>
          <w:iCs/>
        </w:rPr>
        <w:t xml:space="preserve">tas tiek noteikts </w:t>
      </w:r>
      <w:r w:rsidR="00F23E65" w:rsidRPr="003B4859">
        <w:rPr>
          <w:iCs/>
        </w:rPr>
        <w:t>svarīgu interešu</w:t>
      </w:r>
      <w:r w:rsidR="00AB6E25" w:rsidRPr="003B4859">
        <w:rPr>
          <w:iCs/>
        </w:rPr>
        <w:t xml:space="preserve"> </w:t>
      </w:r>
      <w:r w:rsidR="00F23E65" w:rsidRPr="003B4859">
        <w:rPr>
          <w:iCs/>
        </w:rPr>
        <w:t>labad</w:t>
      </w:r>
      <w:r w:rsidR="00AB6E25" w:rsidRPr="003B4859">
        <w:rPr>
          <w:iCs/>
        </w:rPr>
        <w:t>)</w:t>
      </w:r>
      <w:r w:rsidR="00F23E65" w:rsidRPr="003B4859">
        <w:rPr>
          <w:iCs/>
        </w:rPr>
        <w:t xml:space="preserve">; </w:t>
      </w:r>
      <w:r w:rsidR="007911BC" w:rsidRPr="003B4859">
        <w:rPr>
          <w:iCs/>
        </w:rPr>
        <w:t>3) </w:t>
      </w:r>
      <w:r w:rsidR="00F23E65" w:rsidRPr="003B4859">
        <w:rPr>
          <w:iCs/>
        </w:rPr>
        <w:t>vai ierobežojums ir samērīgs ar tā leģitīmo mērķi.</w:t>
      </w:r>
      <w:r w:rsidR="00F23E65" w:rsidRPr="003B4859">
        <w:rPr>
          <w:rStyle w:val="FootnoteReference"/>
          <w:iCs/>
        </w:rPr>
        <w:footnoteReference w:id="3"/>
      </w:r>
      <w:r w:rsidR="00170CBE" w:rsidRPr="003B4859">
        <w:rPr>
          <w:iCs/>
        </w:rPr>
        <w:t xml:space="preserve"> </w:t>
      </w:r>
    </w:p>
    <w:p w14:paraId="43B1D886" w14:textId="77777777" w:rsidR="00D210BB" w:rsidRPr="003B4859" w:rsidRDefault="00170CBE" w:rsidP="00D210BB">
      <w:pPr>
        <w:pStyle w:val="NormalWeb"/>
        <w:spacing w:before="0" w:after="0"/>
        <w:ind w:firstLine="720"/>
        <w:contextualSpacing/>
        <w:jc w:val="both"/>
      </w:pPr>
      <w:r w:rsidRPr="003B4859">
        <w:rPr>
          <w:iCs/>
        </w:rPr>
        <w:t>Izvērtējot pamattiesību ierobežojuma samērīgumu, Satversmes tiesa pārbauda:</w:t>
      </w:r>
      <w:r w:rsidR="007911BC" w:rsidRPr="003B4859">
        <w:rPr>
          <w:iCs/>
        </w:rPr>
        <w:t> </w:t>
      </w:r>
      <w:r w:rsidRPr="003B4859">
        <w:rPr>
          <w:iCs/>
        </w:rPr>
        <w:t>1)</w:t>
      </w:r>
      <w:r w:rsidR="007911BC" w:rsidRPr="003B4859">
        <w:rPr>
          <w:iCs/>
        </w:rPr>
        <w:t> </w:t>
      </w:r>
      <w:r w:rsidRPr="003B4859">
        <w:rPr>
          <w:iCs/>
        </w:rPr>
        <w:t>vai izraudzītie līdzekļi ir piemēroti leģitīmā mērķa sasniegšanai jeb vai ar izraudzīto līdzekli var sasniegt leģitīmo mērķi;</w:t>
      </w:r>
      <w:r w:rsidR="007911BC" w:rsidRPr="003B4859">
        <w:rPr>
          <w:iCs/>
        </w:rPr>
        <w:t xml:space="preserve"> </w:t>
      </w:r>
      <w:r w:rsidRPr="003B4859">
        <w:rPr>
          <w:iCs/>
        </w:rPr>
        <w:t>2)</w:t>
      </w:r>
      <w:r w:rsidR="007911BC" w:rsidRPr="003B4859">
        <w:rPr>
          <w:iCs/>
        </w:rPr>
        <w:t> </w:t>
      </w:r>
      <w:r w:rsidRPr="003B4859">
        <w:rPr>
          <w:iCs/>
        </w:rPr>
        <w:t>vai šāda rīcība ir nepieciešama jeb vai leģitīmo mērķi nevar sasniegt ar indivīda tiesības mazāk ierobežojošiem līdzekļiem</w:t>
      </w:r>
      <w:r w:rsidR="00DE05CD" w:rsidRPr="003B4859">
        <w:rPr>
          <w:iCs/>
        </w:rPr>
        <w:t xml:space="preserve"> (saudzējošāks līdzeklis ir nevis jebkurš cits, bet tikai tāds līdzeklis, ar kuru leģitīmo mērķi var sasniegt tādā pašā kvalitātē</w:t>
      </w:r>
      <w:r w:rsidR="00DE05CD" w:rsidRPr="003B4859">
        <w:rPr>
          <w:rStyle w:val="FootnoteReference"/>
          <w:iCs/>
        </w:rPr>
        <w:footnoteReference w:id="4"/>
      </w:r>
      <w:r w:rsidR="00DE05CD" w:rsidRPr="003B4859">
        <w:rPr>
          <w:iCs/>
        </w:rPr>
        <w:t>)</w:t>
      </w:r>
      <w:r w:rsidR="007911BC" w:rsidRPr="003B4859">
        <w:rPr>
          <w:iCs/>
        </w:rPr>
        <w:t xml:space="preserve">; </w:t>
      </w:r>
      <w:r w:rsidRPr="003B4859">
        <w:rPr>
          <w:iCs/>
        </w:rPr>
        <w:t>3)</w:t>
      </w:r>
      <w:r w:rsidR="007911BC" w:rsidRPr="003B4859">
        <w:rPr>
          <w:iCs/>
        </w:rPr>
        <w:t> </w:t>
      </w:r>
      <w:r w:rsidRPr="003B4859">
        <w:rPr>
          <w:iCs/>
        </w:rPr>
        <w:t>vai ierobežojums ir atbilstošs jeb vai labums, ko iegūst sabiedrība, ir lielāks par indivīda tiesībām nodarīto kaitējumu</w:t>
      </w:r>
      <w:r w:rsidR="00DE05CD" w:rsidRPr="003B4859">
        <w:rPr>
          <w:iCs/>
        </w:rPr>
        <w:t xml:space="preserve"> (ierobežojumu)</w:t>
      </w:r>
      <w:r w:rsidRPr="003B4859">
        <w:rPr>
          <w:iCs/>
        </w:rPr>
        <w:t>.</w:t>
      </w:r>
      <w:r w:rsidR="007911BC" w:rsidRPr="003B4859">
        <w:rPr>
          <w:iCs/>
        </w:rPr>
        <w:t xml:space="preserve"> </w:t>
      </w:r>
      <w:r w:rsidRPr="003B4859">
        <w:rPr>
          <w:iCs/>
        </w:rPr>
        <w:t xml:space="preserve">Ja, izvērtējot tiesību normu, tiek atzīts, ka tā neatbilst kaut vienam no šiem kritērijiem, tad tā neatbilst arī samērīguma principam un ir </w:t>
      </w:r>
      <w:r w:rsidR="007F5B29" w:rsidRPr="003B4859">
        <w:rPr>
          <w:iCs/>
        </w:rPr>
        <w:t xml:space="preserve">uzskatāma par </w:t>
      </w:r>
      <w:r w:rsidRPr="003B4859">
        <w:rPr>
          <w:iCs/>
        </w:rPr>
        <w:t>prettiesisk</w:t>
      </w:r>
      <w:r w:rsidR="007F5B29" w:rsidRPr="003B4859">
        <w:rPr>
          <w:iCs/>
        </w:rPr>
        <w:t>u</w:t>
      </w:r>
      <w:r w:rsidRPr="003B4859">
        <w:rPr>
          <w:rStyle w:val="FootnoteReference"/>
          <w:iCs/>
        </w:rPr>
        <w:footnoteReference w:id="5"/>
      </w:r>
      <w:r w:rsidR="001B6C44" w:rsidRPr="003B4859">
        <w:rPr>
          <w:iCs/>
        </w:rPr>
        <w:t xml:space="preserve">, piemēram, </w:t>
      </w:r>
      <w:r w:rsidR="001B6C44" w:rsidRPr="003B4859">
        <w:t>k</w:t>
      </w:r>
      <w:r w:rsidR="007911BC" w:rsidRPr="003B4859">
        <w:t>onstatējot, ka ir kaut viens mazāk ierobežojošs līdzeklis, ir arī pamats atzīt, ka norma nesamērīgi ierobežo pamattiesības</w:t>
      </w:r>
      <w:r w:rsidR="007911BC" w:rsidRPr="003B4859">
        <w:rPr>
          <w:rStyle w:val="FootnoteReference"/>
        </w:rPr>
        <w:footnoteReference w:id="6"/>
      </w:r>
      <w:r w:rsidR="001B6C44" w:rsidRPr="003B4859">
        <w:t>.</w:t>
      </w:r>
    </w:p>
    <w:p w14:paraId="7E843B95" w14:textId="77777777" w:rsidR="007E4C56" w:rsidRPr="003B4859" w:rsidRDefault="003942E2" w:rsidP="007E4C56">
      <w:pPr>
        <w:pStyle w:val="NormalWeb"/>
        <w:spacing w:before="0" w:after="0"/>
        <w:ind w:firstLine="720"/>
        <w:contextualSpacing/>
        <w:jc w:val="both"/>
      </w:pPr>
      <w:r w:rsidRPr="003B4859">
        <w:rPr>
          <w:iCs/>
        </w:rPr>
        <w:t xml:space="preserve">Satversmes tiesa daudzos savos spriedumos ir arīdzan norādījusi, ka, noskaidrojot Satversmē noteikto pamattiesību saturu, jāņem vērā Latvijas starptautiskās saistības cilvēktiesību jomā, un ka starptautiskās cilvēktiesību normas un to piemērošanas prakse kalpo kā interpretācijas līdzeklis, lai noteiktu pamattiesību saturu un apjomu. </w:t>
      </w:r>
      <w:bookmarkStart w:id="10" w:name="_Hlk74089593"/>
      <w:r w:rsidR="001B6C44" w:rsidRPr="003B4859">
        <w:rPr>
          <w:iCs/>
        </w:rPr>
        <w:t xml:space="preserve">Eiropas Cilvēktiesību tiesa </w:t>
      </w:r>
      <w:bookmarkEnd w:id="10"/>
      <w:r w:rsidR="000230D5" w:rsidRPr="003B4859">
        <w:rPr>
          <w:iCs/>
        </w:rPr>
        <w:t xml:space="preserve">(turpmāk – Tiesa) </w:t>
      </w:r>
      <w:r w:rsidR="001B6C44" w:rsidRPr="003B4859">
        <w:rPr>
          <w:iCs/>
        </w:rPr>
        <w:t xml:space="preserve">savos spriedumos ir skaidrojusi, ka Cilvēka tiesību un pamatbrīvību aizsardzības konvencijas Pirmā protokola (turpmāk – Pirmais protokols) </w:t>
      </w:r>
      <w:r w:rsidR="007911BC" w:rsidRPr="003B4859">
        <w:rPr>
          <w:iCs/>
        </w:rPr>
        <w:t>1.</w:t>
      </w:r>
      <w:r w:rsidR="001B6C44" w:rsidRPr="003B4859">
        <w:rPr>
          <w:iCs/>
        </w:rPr>
        <w:t> </w:t>
      </w:r>
      <w:r w:rsidR="007911BC" w:rsidRPr="003B4859">
        <w:rPr>
          <w:iCs/>
        </w:rPr>
        <w:t>pantā ir ietverti trīs atšķirīgi noteikumi</w:t>
      </w:r>
      <w:r w:rsidR="001B6C44" w:rsidRPr="003B4859">
        <w:rPr>
          <w:iCs/>
        </w:rPr>
        <w:t> - p</w:t>
      </w:r>
      <w:r w:rsidR="007911BC" w:rsidRPr="003B4859">
        <w:rPr>
          <w:iCs/>
        </w:rPr>
        <w:t>irm</w:t>
      </w:r>
      <w:r w:rsidR="001B6C44" w:rsidRPr="003B4859">
        <w:rPr>
          <w:iCs/>
        </w:rPr>
        <w:t>a</w:t>
      </w:r>
      <w:r w:rsidR="00A84EC6" w:rsidRPr="003B4859">
        <w:rPr>
          <w:iCs/>
        </w:rPr>
        <w:t>jam</w:t>
      </w:r>
      <w:r w:rsidR="007911BC" w:rsidRPr="003B4859">
        <w:rPr>
          <w:iCs/>
        </w:rPr>
        <w:t xml:space="preserve"> ir vispārīgs raksturs un tas apstiprina īpašuma miermīlīgas izmantošanas principu</w:t>
      </w:r>
      <w:r w:rsidR="00A84EC6" w:rsidRPr="003B4859">
        <w:rPr>
          <w:iCs/>
        </w:rPr>
        <w:t>,</w:t>
      </w:r>
      <w:r w:rsidR="007911BC" w:rsidRPr="003B4859">
        <w:rPr>
          <w:iCs/>
        </w:rPr>
        <w:t xml:space="preserve"> </w:t>
      </w:r>
      <w:r w:rsidR="00A84EC6" w:rsidRPr="003B4859">
        <w:rPr>
          <w:iCs/>
        </w:rPr>
        <w:t>o</w:t>
      </w:r>
      <w:r w:rsidR="007911BC" w:rsidRPr="003B4859">
        <w:rPr>
          <w:iCs/>
        </w:rPr>
        <w:t xml:space="preserve">trais attiecas uz īpašumu atņemšanu, </w:t>
      </w:r>
      <w:r w:rsidR="00A84EC6" w:rsidRPr="003B4859">
        <w:rPr>
          <w:iCs/>
        </w:rPr>
        <w:t>savukārt trešais nosaka</w:t>
      </w:r>
      <w:r w:rsidR="007911BC" w:rsidRPr="003B4859">
        <w:rPr>
          <w:iCs/>
        </w:rPr>
        <w:t>, ka valstīm ir tiesības kontrolēt</w:t>
      </w:r>
      <w:r w:rsidR="00A84EC6" w:rsidRPr="003B4859">
        <w:rPr>
          <w:iCs/>
        </w:rPr>
        <w:t>, ierobežot</w:t>
      </w:r>
      <w:r w:rsidR="007911BC" w:rsidRPr="003B4859">
        <w:rPr>
          <w:iCs/>
        </w:rPr>
        <w:t xml:space="preserve"> īpašuma izmantošanu atbilstoši vispārējām interesēm.</w:t>
      </w:r>
      <w:r w:rsidR="007911BC" w:rsidRPr="003B4859">
        <w:t xml:space="preserve"> </w:t>
      </w:r>
      <w:r w:rsidR="007911BC" w:rsidRPr="003B4859">
        <w:rPr>
          <w:iCs/>
        </w:rPr>
        <w:t xml:space="preserve">Lai </w:t>
      </w:r>
      <w:r w:rsidR="00A84EC6" w:rsidRPr="003B4859">
        <w:rPr>
          <w:iCs/>
        </w:rPr>
        <w:t>ierobežojumus</w:t>
      </w:r>
      <w:r w:rsidR="007911BC" w:rsidRPr="003B4859">
        <w:rPr>
          <w:iCs/>
        </w:rPr>
        <w:t xml:space="preserve"> uzskatītu par saderīgiem ar </w:t>
      </w:r>
      <w:r w:rsidR="00A84EC6" w:rsidRPr="003B4859">
        <w:rPr>
          <w:iCs/>
        </w:rPr>
        <w:t xml:space="preserve">Pirmā </w:t>
      </w:r>
      <w:r w:rsidR="007911BC" w:rsidRPr="003B4859">
        <w:rPr>
          <w:iCs/>
        </w:rPr>
        <w:t>protokola 1.</w:t>
      </w:r>
      <w:r w:rsidR="00A84EC6" w:rsidRPr="003B4859">
        <w:rPr>
          <w:iCs/>
        </w:rPr>
        <w:t> </w:t>
      </w:r>
      <w:r w:rsidR="007911BC" w:rsidRPr="003B4859">
        <w:rPr>
          <w:iCs/>
        </w:rPr>
        <w:t>pantu, tiem jāatbilst noteiktiem kritērijiem: jā</w:t>
      </w:r>
      <w:r w:rsidRPr="003B4859">
        <w:rPr>
          <w:iCs/>
        </w:rPr>
        <w:t xml:space="preserve">būt </w:t>
      </w:r>
      <w:r w:rsidR="007911BC" w:rsidRPr="003B4859">
        <w:rPr>
          <w:iCs/>
        </w:rPr>
        <w:t>likumī</w:t>
      </w:r>
      <w:r w:rsidRPr="003B4859">
        <w:rPr>
          <w:iCs/>
        </w:rPr>
        <w:t>giem,</w:t>
      </w:r>
      <w:r w:rsidR="007911BC" w:rsidRPr="003B4859">
        <w:rPr>
          <w:iCs/>
        </w:rPr>
        <w:t xml:space="preserve"> jātiecas sasniegt leģitīmu mērķi, </w:t>
      </w:r>
      <w:r w:rsidRPr="003B4859">
        <w:rPr>
          <w:iCs/>
        </w:rPr>
        <w:t xml:space="preserve">un tiem jābūt </w:t>
      </w:r>
      <w:r w:rsidR="007911BC" w:rsidRPr="003B4859">
        <w:rPr>
          <w:iCs/>
        </w:rPr>
        <w:t>samērīgi</w:t>
      </w:r>
      <w:r w:rsidRPr="003B4859">
        <w:rPr>
          <w:iCs/>
        </w:rPr>
        <w:t>em</w:t>
      </w:r>
      <w:r w:rsidR="007911BC" w:rsidRPr="003B4859">
        <w:rPr>
          <w:iCs/>
        </w:rPr>
        <w:t xml:space="preserve"> ar sasniedzamo mērķi. </w:t>
      </w:r>
      <w:r w:rsidR="000230D5" w:rsidRPr="003B4859">
        <w:rPr>
          <w:iCs/>
        </w:rPr>
        <w:t>T</w:t>
      </w:r>
      <w:r w:rsidRPr="003B4859">
        <w:rPr>
          <w:iCs/>
        </w:rPr>
        <w:t>iesa</w:t>
      </w:r>
      <w:r w:rsidR="007911BC" w:rsidRPr="003B4859">
        <w:rPr>
          <w:iCs/>
        </w:rPr>
        <w:t xml:space="preserve"> </w:t>
      </w:r>
      <w:r w:rsidRPr="003B4859">
        <w:rPr>
          <w:iCs/>
        </w:rPr>
        <w:t>attiecībā uz Pirmā</w:t>
      </w:r>
      <w:r w:rsidR="007911BC" w:rsidRPr="003B4859">
        <w:rPr>
          <w:iCs/>
        </w:rPr>
        <w:t xml:space="preserve"> protokola 1.</w:t>
      </w:r>
      <w:r w:rsidRPr="003B4859">
        <w:rPr>
          <w:iCs/>
        </w:rPr>
        <w:t> </w:t>
      </w:r>
      <w:r w:rsidR="007911BC" w:rsidRPr="003B4859">
        <w:rPr>
          <w:iCs/>
        </w:rPr>
        <w:t>pant</w:t>
      </w:r>
      <w:r w:rsidRPr="003B4859">
        <w:rPr>
          <w:iCs/>
        </w:rPr>
        <w:t>u</w:t>
      </w:r>
      <w:r w:rsidR="007911BC" w:rsidRPr="003B4859">
        <w:rPr>
          <w:iCs/>
        </w:rPr>
        <w:t xml:space="preserve"> </w:t>
      </w:r>
      <w:r w:rsidRPr="003B4859">
        <w:rPr>
          <w:iCs/>
        </w:rPr>
        <w:t>parasti konstatē,</w:t>
      </w:r>
      <w:r w:rsidR="007911BC" w:rsidRPr="003B4859">
        <w:rPr>
          <w:iCs/>
        </w:rPr>
        <w:t xml:space="preserve"> </w:t>
      </w:r>
      <w:r w:rsidRPr="003B4859">
        <w:rPr>
          <w:iCs/>
        </w:rPr>
        <w:t>v</w:t>
      </w:r>
      <w:r w:rsidR="007911BC" w:rsidRPr="003B4859">
        <w:rPr>
          <w:iCs/>
        </w:rPr>
        <w:t>ai ir notikusi iejaukšanās pieteikuma iesniedzēja īpašumtiesīb</w:t>
      </w:r>
      <w:r w:rsidR="000230D5" w:rsidRPr="003B4859">
        <w:rPr>
          <w:iCs/>
        </w:rPr>
        <w:t xml:space="preserve">ās, </w:t>
      </w:r>
      <w:r w:rsidR="007911BC" w:rsidRPr="003B4859">
        <w:rPr>
          <w:iCs/>
        </w:rPr>
        <w:t xml:space="preserve">vai </w:t>
      </w:r>
      <w:r w:rsidR="000230D5" w:rsidRPr="003B4859">
        <w:rPr>
          <w:iCs/>
        </w:rPr>
        <w:t xml:space="preserve">šāda </w:t>
      </w:r>
      <w:r w:rsidR="007911BC" w:rsidRPr="003B4859">
        <w:rPr>
          <w:iCs/>
        </w:rPr>
        <w:t xml:space="preserve">iejaukšanās </w:t>
      </w:r>
      <w:r w:rsidR="000230D5" w:rsidRPr="003B4859">
        <w:rPr>
          <w:iCs/>
        </w:rPr>
        <w:t xml:space="preserve">būtu uzskatāma par </w:t>
      </w:r>
      <w:r w:rsidR="007911BC" w:rsidRPr="003B4859">
        <w:rPr>
          <w:iCs/>
        </w:rPr>
        <w:t>īpašuma atņemšan</w:t>
      </w:r>
      <w:r w:rsidR="000230D5" w:rsidRPr="003B4859">
        <w:rPr>
          <w:iCs/>
        </w:rPr>
        <w:t xml:space="preserve">u, vai arī tā drīzāk ir </w:t>
      </w:r>
      <w:r w:rsidR="007911BC" w:rsidRPr="003B4859">
        <w:rPr>
          <w:iCs/>
        </w:rPr>
        <w:t>īpašuma izmantošanas kontrole</w:t>
      </w:r>
      <w:r w:rsidR="000230D5" w:rsidRPr="003B4859">
        <w:rPr>
          <w:iCs/>
        </w:rPr>
        <w:t>.</w:t>
      </w:r>
      <w:r w:rsidR="007911BC" w:rsidRPr="003B4859">
        <w:rPr>
          <w:rStyle w:val="FootnoteReference"/>
          <w:iCs/>
        </w:rPr>
        <w:footnoteReference w:id="7"/>
      </w:r>
      <w:r w:rsidR="000230D5" w:rsidRPr="003B4859">
        <w:rPr>
          <w:iCs/>
        </w:rPr>
        <w:t xml:space="preserve"> Parasti šis secinājums pamatojas nevis tajā, kāda rakstura oficiālos lēmumus valstis ir pieņēmušas, bet gan atkarībā no </w:t>
      </w:r>
      <w:r w:rsidR="007911BC" w:rsidRPr="003B4859">
        <w:rPr>
          <w:iCs/>
        </w:rPr>
        <w:t>dažādu valsts iestāžu piemēroto pasākumu kopuma ietekme</w:t>
      </w:r>
      <w:r w:rsidR="000230D5" w:rsidRPr="003B4859">
        <w:rPr>
          <w:iCs/>
        </w:rPr>
        <w:t>s</w:t>
      </w:r>
      <w:r w:rsidR="007911BC" w:rsidRPr="003B4859">
        <w:rPr>
          <w:iCs/>
        </w:rPr>
        <w:t xml:space="preserve"> uz </w:t>
      </w:r>
      <w:r w:rsidR="000230D5" w:rsidRPr="003B4859">
        <w:rPr>
          <w:iCs/>
        </w:rPr>
        <w:t>personas</w:t>
      </w:r>
      <w:r w:rsidR="007911BC" w:rsidRPr="003B4859">
        <w:rPr>
          <w:iCs/>
        </w:rPr>
        <w:t xml:space="preserve"> </w:t>
      </w:r>
      <w:r w:rsidR="000230D5" w:rsidRPr="003B4859">
        <w:rPr>
          <w:iCs/>
        </w:rPr>
        <w:t xml:space="preserve">īpašuma tiesībām, proti, tiek pārbaudīts, vai faktiskā situācija konkrētajā gadījumā atbilst </w:t>
      </w:r>
      <w:r w:rsidR="00404519" w:rsidRPr="003B4859">
        <w:rPr>
          <w:iCs/>
        </w:rPr>
        <w:t>tādiem apstākļiem, kas būtu vērtējami kā īpašuma atņemšana.</w:t>
      </w:r>
      <w:r w:rsidR="007911BC" w:rsidRPr="003B4859">
        <w:rPr>
          <w:rStyle w:val="FootnoteReference"/>
          <w:iCs/>
        </w:rPr>
        <w:footnoteReference w:id="8"/>
      </w:r>
      <w:r w:rsidR="006A06DB" w:rsidRPr="003B4859">
        <w:rPr>
          <w:iCs/>
        </w:rPr>
        <w:t xml:space="preserve"> Tā, piemēram, gadījumā, kad prasītāji zemesgabala pārņemšanas dēļ tam nevarēja nedz piekļūt, nedz pārdot to, nedz ieķīlāt vai dāvināt, Tiesa secināja, ka, pat ja nebija formāla lēmuma par īpašuma ekspropriāciju, prasītājiem radās tādas sekas, kas liecina par zemes ekspropriāciju</w:t>
      </w:r>
      <w:r w:rsidR="006A06DB" w:rsidRPr="003B4859">
        <w:rPr>
          <w:rStyle w:val="FootnoteReference"/>
          <w:iCs/>
        </w:rPr>
        <w:footnoteReference w:id="9"/>
      </w:r>
      <w:r w:rsidR="006A06DB" w:rsidRPr="003B4859">
        <w:rPr>
          <w:iCs/>
        </w:rPr>
        <w:t xml:space="preserve">, savukārt pasākumi, kurus Tiesa kvalificēja kā īpašuma izmantošanas ierobežošanu, aptver vairākas situācijas, tostarp, piemēram, noteiktu ekskluzīvo tiesību uz zemi </w:t>
      </w:r>
      <w:r w:rsidR="006A06DB" w:rsidRPr="003B4859">
        <w:rPr>
          <w:iCs/>
        </w:rPr>
        <w:lastRenderedPageBreak/>
        <w:t>zaudēšana</w:t>
      </w:r>
      <w:r w:rsidR="00F13951" w:rsidRPr="003B4859">
        <w:rPr>
          <w:iCs/>
        </w:rPr>
        <w:t xml:space="preserve">, kā arī </w:t>
      </w:r>
      <w:r w:rsidR="006A06DB" w:rsidRPr="003B4859">
        <w:rPr>
          <w:iCs/>
        </w:rPr>
        <w:t>pozitīvu pienākumu uzlikšana zemes īpašniekam</w:t>
      </w:r>
      <w:r w:rsidR="006A06DB" w:rsidRPr="003B4859">
        <w:rPr>
          <w:rStyle w:val="FootnoteReference"/>
          <w:iCs/>
        </w:rPr>
        <w:footnoteReference w:id="10"/>
      </w:r>
      <w:r w:rsidR="00F13951" w:rsidRPr="003B4859">
        <w:rPr>
          <w:iCs/>
        </w:rPr>
        <w:t>.</w:t>
      </w:r>
      <w:r w:rsidR="00D210BB" w:rsidRPr="003B4859">
        <w:rPr>
          <w:iCs/>
        </w:rPr>
        <w:t xml:space="preserve"> Tiesa savos spriedumos ir secinājusi, ka, ievērojot Pirmā protokola 1. pantā </w:t>
      </w:r>
      <w:r w:rsidR="0014784C" w:rsidRPr="003B4859">
        <w:rPr>
          <w:iCs/>
        </w:rPr>
        <w:t>paredzēto</w:t>
      </w:r>
      <w:r w:rsidR="00D210BB" w:rsidRPr="003B4859">
        <w:rPr>
          <w:iCs/>
        </w:rPr>
        <w:t xml:space="preserve"> </w:t>
      </w:r>
      <w:r w:rsidR="0014784C" w:rsidRPr="003B4859">
        <w:rPr>
          <w:iCs/>
        </w:rPr>
        <w:t>īpašuma tiesību netraucētu īstenošanu,</w:t>
      </w:r>
      <w:r w:rsidR="00D210BB" w:rsidRPr="003B4859">
        <w:rPr>
          <w:iCs/>
        </w:rPr>
        <w:t xml:space="preserve"> ir jārada taisnīgs līdzsvars starp sabiedrības vispārēj</w:t>
      </w:r>
      <w:r w:rsidR="0014784C" w:rsidRPr="003B4859">
        <w:rPr>
          <w:iCs/>
        </w:rPr>
        <w:t>ām</w:t>
      </w:r>
      <w:r w:rsidR="00D210BB" w:rsidRPr="003B4859">
        <w:rPr>
          <w:iCs/>
        </w:rPr>
        <w:t xml:space="preserve"> intere</w:t>
      </w:r>
      <w:r w:rsidR="0014784C" w:rsidRPr="003B4859">
        <w:rPr>
          <w:iCs/>
        </w:rPr>
        <w:t>sēm</w:t>
      </w:r>
      <w:r w:rsidR="00D210BB" w:rsidRPr="003B4859">
        <w:rPr>
          <w:iCs/>
        </w:rPr>
        <w:t xml:space="preserve"> un indivīda pamattiesību aizsardzības prasībām.</w:t>
      </w:r>
      <w:r w:rsidR="00D210BB" w:rsidRPr="003B4859">
        <w:rPr>
          <w:rStyle w:val="FootnoteReference"/>
          <w:iCs/>
        </w:rPr>
        <w:footnoteReference w:id="11"/>
      </w:r>
    </w:p>
    <w:p w14:paraId="5A276DED" w14:textId="5D28CEE2" w:rsidR="007911BC" w:rsidRPr="003B4859" w:rsidRDefault="00953436" w:rsidP="007E4C56">
      <w:pPr>
        <w:pStyle w:val="NormalWeb"/>
        <w:spacing w:before="0" w:after="0"/>
        <w:ind w:firstLine="720"/>
        <w:contextualSpacing/>
        <w:jc w:val="both"/>
      </w:pPr>
      <w:r w:rsidRPr="003B4859">
        <w:rPr>
          <w:iCs/>
        </w:rPr>
        <w:t xml:space="preserve">Tāpat arī </w:t>
      </w:r>
      <w:r w:rsidR="00534F13" w:rsidRPr="003B4859">
        <w:rPr>
          <w:iCs/>
        </w:rPr>
        <w:t>Tieslietu ministrija</w:t>
      </w:r>
      <w:r w:rsidR="007E4C56" w:rsidRPr="003B4859">
        <w:rPr>
          <w:iCs/>
        </w:rPr>
        <w:t xml:space="preserve"> norāda, ka</w:t>
      </w:r>
      <w:r w:rsidR="00534F13" w:rsidRPr="003B4859">
        <w:rPr>
          <w:iCs/>
        </w:rPr>
        <w:t xml:space="preserve"> </w:t>
      </w:r>
      <w:r w:rsidR="007E4C56" w:rsidRPr="003B4859">
        <w:rPr>
          <w:iCs/>
        </w:rPr>
        <w:t xml:space="preserve">saskaņā ar </w:t>
      </w:r>
      <w:r w:rsidR="00540B19" w:rsidRPr="003B4859">
        <w:rPr>
          <w:iCs/>
        </w:rPr>
        <w:t xml:space="preserve">Satversmes </w:t>
      </w:r>
      <w:r w:rsidR="007E4C56" w:rsidRPr="003B4859">
        <w:rPr>
          <w:iCs/>
        </w:rPr>
        <w:t xml:space="preserve">tiesas judikatūru Satversmes </w:t>
      </w:r>
      <w:r w:rsidR="00540B19" w:rsidRPr="003B4859">
        <w:rPr>
          <w:iCs/>
        </w:rPr>
        <w:t>1.</w:t>
      </w:r>
      <w:r w:rsidR="007E4C56" w:rsidRPr="003B4859">
        <w:rPr>
          <w:iCs/>
        </w:rPr>
        <w:t> </w:t>
      </w:r>
      <w:r w:rsidR="00540B19" w:rsidRPr="003B4859">
        <w:rPr>
          <w:iCs/>
        </w:rPr>
        <w:t>pants noteic, ka Latvija ir neatkarīga demokrātiska republika</w:t>
      </w:r>
      <w:r w:rsidR="007E4C56" w:rsidRPr="003B4859">
        <w:rPr>
          <w:iCs/>
        </w:rPr>
        <w:t xml:space="preserve"> un no </w:t>
      </w:r>
      <w:r w:rsidR="00540B19" w:rsidRPr="003B4859">
        <w:rPr>
          <w:iCs/>
        </w:rPr>
        <w:t>demokrātiskās republikas jēdziena izriet valsts pienākums savā darbībā ievērot tiesiskas valsts pamatprincipus, tostarp tiesiskās paļāvības principu un tiesiskās noteiktības principu</w:t>
      </w:r>
      <w:r w:rsidR="007E4C56" w:rsidRPr="003B4859">
        <w:rPr>
          <w:iCs/>
        </w:rPr>
        <w:t>.</w:t>
      </w:r>
      <w:r w:rsidR="003F1212" w:rsidRPr="003B4859">
        <w:rPr>
          <w:iCs/>
        </w:rPr>
        <w:t xml:space="preserve"> </w:t>
      </w:r>
      <w:r w:rsidR="00293B1A" w:rsidRPr="003B4859">
        <w:rPr>
          <w:iCs/>
        </w:rPr>
        <w:t>Tiesiskās paļāvības princips</w:t>
      </w:r>
      <w:r w:rsidR="007E4C56" w:rsidRPr="003B4859">
        <w:rPr>
          <w:iCs/>
        </w:rPr>
        <w:t xml:space="preserve"> gan</w:t>
      </w:r>
      <w:r w:rsidR="00293B1A" w:rsidRPr="003B4859">
        <w:rPr>
          <w:iCs/>
        </w:rPr>
        <w:t xml:space="preserve"> neizslēdz valsts iespēju grozīt pastāvošo tiesisko regulējumu</w:t>
      </w:r>
      <w:r w:rsidR="007E4C56" w:rsidRPr="003B4859">
        <w:rPr>
          <w:iCs/>
        </w:rPr>
        <w:t xml:space="preserve">, taču </w:t>
      </w:r>
      <w:r w:rsidR="00293B1A" w:rsidRPr="003B4859">
        <w:rPr>
          <w:iCs/>
        </w:rPr>
        <w:t>valstij ir jāņem vērā tās tiesības, uz kuru saglabāšanu vai īstenošanu personai var būt izveidojusies paļāvība</w:t>
      </w:r>
      <w:r w:rsidR="007E4C56" w:rsidRPr="003B4859">
        <w:rPr>
          <w:iCs/>
        </w:rPr>
        <w:t xml:space="preserve">, un, </w:t>
      </w:r>
      <w:r w:rsidR="00293B1A" w:rsidRPr="003B4859">
        <w:rPr>
          <w:iCs/>
        </w:rPr>
        <w:t xml:space="preserve">mainot normatīvo regulējumu, </w:t>
      </w:r>
      <w:r w:rsidR="007E4C56" w:rsidRPr="003B4859">
        <w:rPr>
          <w:iCs/>
        </w:rPr>
        <w:t>tai ir jā</w:t>
      </w:r>
      <w:r w:rsidR="00293B1A" w:rsidRPr="003B4859">
        <w:rPr>
          <w:iCs/>
        </w:rPr>
        <w:t>ievēro saprātīg</w:t>
      </w:r>
      <w:r w:rsidR="007E4C56" w:rsidRPr="003B4859">
        <w:rPr>
          <w:iCs/>
        </w:rPr>
        <w:t>s</w:t>
      </w:r>
      <w:r w:rsidR="00293B1A" w:rsidRPr="003B4859">
        <w:rPr>
          <w:iCs/>
        </w:rPr>
        <w:t xml:space="preserve"> līdzsvar</w:t>
      </w:r>
      <w:r w:rsidR="007E4C56" w:rsidRPr="003B4859">
        <w:rPr>
          <w:iCs/>
        </w:rPr>
        <w:t xml:space="preserve">s </w:t>
      </w:r>
      <w:r w:rsidR="00293B1A" w:rsidRPr="003B4859">
        <w:rPr>
          <w:iCs/>
        </w:rPr>
        <w:t>starp personas paļāvību un tām interesēm, kuru nodrošināšanas labad regulējums tiek mainīts</w:t>
      </w:r>
      <w:r w:rsidR="007E4C56" w:rsidRPr="003B4859">
        <w:rPr>
          <w:iCs/>
        </w:rPr>
        <w:t>.</w:t>
      </w:r>
      <w:r w:rsidR="00293B1A" w:rsidRPr="003B4859">
        <w:rPr>
          <w:rStyle w:val="FootnoteReference"/>
          <w:iCs/>
        </w:rPr>
        <w:footnoteReference w:id="12"/>
      </w:r>
      <w:r w:rsidR="007911BC" w:rsidRPr="003B4859">
        <w:rPr>
          <w:iCs/>
        </w:rPr>
        <w:t xml:space="preserve"> </w:t>
      </w:r>
      <w:r w:rsidR="00752C83" w:rsidRPr="003B4859">
        <w:t>Satversmes  tiesa  ir  atzinusi,  ka  sabiedrībai  nozīmīgu  interešu aizsardzībai  var  tikt  piešķirta  prioritāte  salīdzinājumā  ar  tiesiskās  paļāvības principu</w:t>
      </w:r>
      <w:r w:rsidR="007E4C56" w:rsidRPr="003B4859">
        <w:t>.</w:t>
      </w:r>
      <w:r w:rsidR="00B04263" w:rsidRPr="003B4859">
        <w:rPr>
          <w:rStyle w:val="FootnoteReference"/>
        </w:rPr>
        <w:footnoteReference w:id="13"/>
      </w:r>
      <w:r w:rsidR="007E4C56" w:rsidRPr="003B4859">
        <w:t xml:space="preserve"> Ņemot vērā to, ka Projekta īstenošana un nekustamo īpašumu atsavināšana Projekta vajadzībām notiek jau ilgāku laiku, Tieslietu ministrijas ieskatā Ziņojumā minēto nepieciešamo grozījumu normatīvajos aktos kontekstā nepieciešams arī veikt izvērtējumu attiecībā uz īpašumu atsavināšanas procesa plānoto izmaiņu ietekmi uz privātpersonu tiesisko paļāvību par to, kādā veidā tiks atsavināts viņiem piederošais īpašums.</w:t>
      </w:r>
    </w:p>
    <w:p w14:paraId="5EADFB97" w14:textId="2FC7F98A" w:rsidR="00CC1888" w:rsidRPr="003B4859" w:rsidRDefault="007D188D" w:rsidP="00D210BB">
      <w:pPr>
        <w:pStyle w:val="NormalWeb"/>
        <w:spacing w:before="0" w:after="0"/>
        <w:ind w:firstLine="720"/>
        <w:contextualSpacing/>
        <w:jc w:val="both"/>
        <w:rPr>
          <w:iCs/>
        </w:rPr>
      </w:pPr>
      <w:r w:rsidRPr="003B4859">
        <w:rPr>
          <w:iCs/>
        </w:rPr>
        <w:t xml:space="preserve">Rezumējot visu augstāk minēto, </w:t>
      </w:r>
      <w:r w:rsidR="00CC1888" w:rsidRPr="003B4859">
        <w:rPr>
          <w:iCs/>
        </w:rPr>
        <w:t xml:space="preserve">norādām, ka attiecībā uz </w:t>
      </w:r>
      <w:r w:rsidRPr="003B4859">
        <w:rPr>
          <w:iCs/>
        </w:rPr>
        <w:t xml:space="preserve">Ziņojumā </w:t>
      </w:r>
      <w:r w:rsidR="00CC1888" w:rsidRPr="003B4859">
        <w:rPr>
          <w:iCs/>
        </w:rPr>
        <w:t xml:space="preserve">ietvertajiem risinājumiem </w:t>
      </w:r>
      <w:r w:rsidRPr="003B4859">
        <w:rPr>
          <w:iCs/>
        </w:rPr>
        <w:t xml:space="preserve">nepieciešams </w:t>
      </w:r>
      <w:r w:rsidR="00CC1888" w:rsidRPr="003B4859">
        <w:rPr>
          <w:iCs/>
        </w:rPr>
        <w:t>veikt</w:t>
      </w:r>
      <w:r w:rsidRPr="003B4859">
        <w:rPr>
          <w:iCs/>
        </w:rPr>
        <w:t xml:space="preserve"> izvērtējumu</w:t>
      </w:r>
      <w:r w:rsidR="00CC1888" w:rsidRPr="003B4859">
        <w:rPr>
          <w:iCs/>
        </w:rPr>
        <w:t xml:space="preserve"> par to</w:t>
      </w:r>
      <w:r w:rsidRPr="003B4859">
        <w:rPr>
          <w:iCs/>
        </w:rPr>
        <w:t xml:space="preserve">, vai </w:t>
      </w:r>
      <w:r w:rsidR="00CC1888" w:rsidRPr="003B4859">
        <w:rPr>
          <w:iCs/>
        </w:rPr>
        <w:t xml:space="preserve">un kā katrs no šiem risinājumiem varētu ietekmēt privātpersonu Satversmē noteiktās tiesības, un attiecībā uz tiem risinājumiem, kuri paredz tiesību ierobežojumus, ir jāvērtē to attaisnojamība, proti, </w:t>
      </w:r>
      <w:r w:rsidR="003A7F29" w:rsidRPr="003B4859">
        <w:rPr>
          <w:iCs/>
        </w:rPr>
        <w:t xml:space="preserve">ierobežojumiem jābūt pietiekami skaidri noteiktiem un saprotamiem, ir </w:t>
      </w:r>
      <w:r w:rsidR="00CC1888" w:rsidRPr="003B4859">
        <w:rPr>
          <w:iCs/>
        </w:rPr>
        <w:t xml:space="preserve">jānosaka </w:t>
      </w:r>
      <w:r w:rsidR="003A7F29" w:rsidRPr="003B4859">
        <w:rPr>
          <w:iCs/>
        </w:rPr>
        <w:t xml:space="preserve">to </w:t>
      </w:r>
      <w:r w:rsidR="00CC1888" w:rsidRPr="003B4859">
        <w:rPr>
          <w:iCs/>
        </w:rPr>
        <w:t xml:space="preserve">leģitīmais mērķis un jāveic </w:t>
      </w:r>
      <w:r w:rsidR="003A7F29" w:rsidRPr="003B4859">
        <w:rPr>
          <w:iCs/>
        </w:rPr>
        <w:t xml:space="preserve">to </w:t>
      </w:r>
      <w:r w:rsidR="00CC1888" w:rsidRPr="003B4859">
        <w:rPr>
          <w:iCs/>
        </w:rPr>
        <w:t>samērīguma pārbaude.</w:t>
      </w:r>
    </w:p>
    <w:p w14:paraId="7E361CE7" w14:textId="3B57D6AB" w:rsidR="00C637EA" w:rsidRPr="003B4859" w:rsidRDefault="00C637EA" w:rsidP="00C637EA">
      <w:pPr>
        <w:widowControl/>
        <w:ind w:firstLine="680"/>
      </w:pPr>
      <w:r w:rsidRPr="003B4859">
        <w:rPr>
          <w:iCs/>
        </w:rPr>
        <w:t>Attiecībā uz ierobežojumu satur</w:t>
      </w:r>
      <w:r w:rsidR="00766E8B" w:rsidRPr="003B4859">
        <w:rPr>
          <w:iCs/>
        </w:rPr>
        <w:t>a skaidrību un noteiktību</w:t>
      </w:r>
      <w:r w:rsidRPr="003B4859">
        <w:rPr>
          <w:iCs/>
        </w:rPr>
        <w:t xml:space="preserve"> norādām, ka šobrīd </w:t>
      </w:r>
      <w:r w:rsidR="00AF303C" w:rsidRPr="003B4859">
        <w:rPr>
          <w:iCs/>
        </w:rPr>
        <w:t>Ziņojums</w:t>
      </w:r>
      <w:r w:rsidRPr="003B4859">
        <w:t xml:space="preserve"> nesniedz skaidru redzējumu par vairākiem </w:t>
      </w:r>
      <w:r w:rsidR="00AF303C" w:rsidRPr="003B4859">
        <w:t>tajā</w:t>
      </w:r>
      <w:r w:rsidRPr="003B4859">
        <w:t xml:space="preserve"> piedāvātajiem risinājumiem. Proti, </w:t>
      </w:r>
      <w:r w:rsidR="00AF303C" w:rsidRPr="003B4859">
        <w:t>Ziņojumā</w:t>
      </w:r>
      <w:r w:rsidRPr="003B4859">
        <w:t xml:space="preserve"> norādīts, ka daļa no </w:t>
      </w:r>
      <w:r w:rsidR="00AF303C" w:rsidRPr="003B4859">
        <w:t>tajā</w:t>
      </w:r>
      <w:r w:rsidRPr="003B4859">
        <w:t xml:space="preserve"> konstatētajiem izaicinājumiem Latvijā tiek risināta jau šobrīd, izstrādājot un virzot grozījumus spēkā esošajos normatīvajos aktos, kuru starpā minēts, ka tiek izstrādāti grozījumi Dzelzceļa likumā, lai risinātu problemātiku saistībā ar lietošanas tiesību apgrūtinājumu nodibināšanu un aizsargjoslu noteikšanu. </w:t>
      </w:r>
      <w:r w:rsidRPr="003B4859">
        <w:rPr>
          <w:rFonts w:eastAsia="Times New Roman"/>
          <w:bCs/>
          <w:szCs w:val="24"/>
          <w:lang w:eastAsia="lv-LV"/>
        </w:rPr>
        <w:t>Civillikuma 1082. pants</w:t>
      </w:r>
      <w:r w:rsidRPr="003B4859" w:rsidDel="00612235">
        <w:t xml:space="preserve"> </w:t>
      </w:r>
      <w:r w:rsidRPr="003B4859">
        <w:t>satur vispārēju regulējumu par ī</w:t>
      </w:r>
      <w:r w:rsidRPr="003B4859">
        <w:rPr>
          <w:rFonts w:eastAsia="Times New Roman"/>
          <w:bCs/>
          <w:szCs w:val="24"/>
          <w:lang w:eastAsia="lv-LV"/>
        </w:rPr>
        <w:t xml:space="preserve">pašuma tiesību aprobežojumu, bet tas </w:t>
      </w:r>
      <w:r w:rsidRPr="003B4859">
        <w:t xml:space="preserve">neparedz konkrētu īpašuma tiesību aprobežojuma saturu, bet tikai satur norādi par īpašuma tiesību aprobežojumu. Kā arī šī panta piezīmē tiek uzsvērts, ka daži citi, šajā nodalījumā neparedzēti īpašuma lietošanas tiesības aprobežojumi, kā piemēram, par minerālūdeņu avotiem, radiostaciju ierīkošanu un lietošanu, gaisa satiksmi, zemes gabaliem gar dzelzceļu līnijām un izrakumiem, paredzēti sevišķos likumos. Vienlaikus secināms, ka </w:t>
      </w:r>
      <w:r w:rsidRPr="003B4859">
        <w:rPr>
          <w:rFonts w:eastAsia="Times New Roman"/>
          <w:bCs/>
          <w:szCs w:val="24"/>
          <w:lang w:eastAsia="lv-LV"/>
        </w:rPr>
        <w:t xml:space="preserve">nozaru regulējošie normatīvie akti, piemēram, Aizsargjoslu likums vai Enerģētikas likums, neparedz konkrētu īpašuma tiesību aprobežojuma saturu, bet tikai satur norādi par īpašuma tiesību aprobežojumu, kas nav pietiekami, lai varētu uzskatīt, ka īpašums kaut kādā mērā ir aprobežots. Tādējādi, izstrādājot speciālo tiesību normu, tam jābūt skaidri saprotamam, kā izpaužas īpašuma tiesību aprobežojums. </w:t>
      </w:r>
    </w:p>
    <w:p w14:paraId="7CFFBB0E" w14:textId="7BAF4B5E" w:rsidR="00C637EA" w:rsidRPr="003B4859" w:rsidRDefault="00AF303C" w:rsidP="00BD75EB">
      <w:pPr>
        <w:pStyle w:val="ListParagraph"/>
        <w:widowControl/>
        <w:numPr>
          <w:ilvl w:val="0"/>
          <w:numId w:val="20"/>
        </w:numPr>
        <w:textAlignment w:val="baseline"/>
        <w:rPr>
          <w:rFonts w:eastAsia="Times New Roman"/>
          <w:szCs w:val="24"/>
          <w:lang w:eastAsia="lv-LV"/>
        </w:rPr>
      </w:pPr>
      <w:r w:rsidRPr="003B4859">
        <w:rPr>
          <w:rFonts w:eastAsia="Times New Roman"/>
          <w:szCs w:val="24"/>
          <w:lang w:eastAsia="lv-LV"/>
        </w:rPr>
        <w:t>Ziņojumā</w:t>
      </w:r>
      <w:r w:rsidR="00C637EA" w:rsidRPr="003B4859">
        <w:rPr>
          <w:rFonts w:eastAsia="Times New Roman"/>
          <w:szCs w:val="24"/>
          <w:lang w:eastAsia="lv-LV"/>
        </w:rPr>
        <w:t xml:space="preserve"> paredzēts, ka normatīvajā līmenī varētu nodrošināt tiesisko pamatu būvdarbu uzsākšanai pirms nekustamā īpašuma atsavināšanas procesa pabeigšanas. </w:t>
      </w:r>
      <w:r w:rsidRPr="003B4859">
        <w:rPr>
          <w:rFonts w:eastAsia="Times New Roman"/>
          <w:szCs w:val="24"/>
          <w:lang w:eastAsia="lv-LV"/>
        </w:rPr>
        <w:t>Ziņojumā</w:t>
      </w:r>
      <w:r w:rsidR="00C637EA" w:rsidRPr="003B4859">
        <w:rPr>
          <w:rFonts w:eastAsia="Times New Roman"/>
          <w:szCs w:val="24"/>
          <w:lang w:eastAsia="lv-LV"/>
        </w:rPr>
        <w:t xml:space="preserve"> noradīts, ka kā iespējamais risinājums varētu būt, ka normatīvajos aktos noteic īslaicīgu nekustamā īpašuma lietošanas tiesību aprobežojumu, kas dotu tiesības būvdarbu uzsākšanai īpašumā pirms tā atsavināšanas procesa pabeigšanas. Proti, Rail Baltica likumā varētu paredzēt tiesības uzsākt Rail Baltica dzelzceļa infrastruktūras būvniecību privātpersonām piederošajos nekustamajos īpašumos, ja institūcija pieņēmusi lēmumu par atlīdzības apmēra apstiprināšanu un lēmumu ierosināt </w:t>
      </w:r>
      <w:r w:rsidR="00C637EA" w:rsidRPr="003B4859">
        <w:rPr>
          <w:rFonts w:eastAsia="Times New Roman"/>
          <w:szCs w:val="24"/>
          <w:lang w:eastAsia="lv-LV"/>
        </w:rPr>
        <w:lastRenderedPageBreak/>
        <w:t xml:space="preserve">sabiedrības vajadzību nodrošināšanai nepieciešamā nekustamā īpašuma atsavināšanu par noteikto atlīdzību. </w:t>
      </w:r>
    </w:p>
    <w:p w14:paraId="79B81313" w14:textId="301E85B7" w:rsidR="00C637EA" w:rsidRPr="003B4859" w:rsidRDefault="00C637EA" w:rsidP="00C637EA">
      <w:pPr>
        <w:ind w:firstLine="567"/>
        <w:rPr>
          <w:rFonts w:eastAsia="Times New Roman"/>
          <w:bCs/>
          <w:szCs w:val="24"/>
          <w:lang w:eastAsia="lv-LV"/>
        </w:rPr>
      </w:pPr>
      <w:r w:rsidRPr="003B4859">
        <w:rPr>
          <w:bCs/>
          <w:szCs w:val="24"/>
        </w:rPr>
        <w:t>Kā noteic</w:t>
      </w:r>
      <w:r w:rsidRPr="003B4859">
        <w:rPr>
          <w:szCs w:val="24"/>
        </w:rPr>
        <w:t xml:space="preserve"> Civillikuma 1082. pants, tad īpašuma lietošanas tiesības aprobežojumus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 Pēc vispārējā principa īpašuma lietošanas tiesību aprobežojumi, kas nosakāmi jebkuras personas (publiskās) interesēs, tiek noteikti ar likumu un to izpildi kontrolē valsts vai pašvaldību institūcijas. Vienlaikus norādām, ka Civillikuma normā nav precīzi noteikts lietošanas tiesību aprobežojuma skaidrojums, tas ir definēts abstrakti, un katrā gadījumā lietošanas tiesību aprobežojuma saturs ir aizpildāms pusēm līgumā vai arī tam būtu jābūt definētam speciālajos likumos. Dzelzceļa </w:t>
      </w:r>
      <w:r w:rsidRPr="003B4859">
        <w:rPr>
          <w:rFonts w:eastAsia="Times New Roman"/>
          <w:bCs/>
          <w:szCs w:val="24"/>
          <w:lang w:eastAsia="lv-LV"/>
        </w:rPr>
        <w:t xml:space="preserve">likums (tajā skaitā, plānotie grozījumi likumprojektā </w:t>
      </w:r>
      <w:r w:rsidR="008B296F" w:rsidRPr="003B4859">
        <w:rPr>
          <w:rFonts w:eastAsia="Times New Roman"/>
          <w:bCs/>
          <w:szCs w:val="24"/>
          <w:lang w:eastAsia="lv-LV"/>
        </w:rPr>
        <w:t>"</w:t>
      </w:r>
      <w:r w:rsidRPr="003B4859">
        <w:rPr>
          <w:rFonts w:eastAsia="Times New Roman"/>
          <w:bCs/>
          <w:szCs w:val="24"/>
          <w:lang w:eastAsia="lv-LV"/>
        </w:rPr>
        <w:t>Grozījumi Dzelzceļa likumā</w:t>
      </w:r>
      <w:r w:rsidR="008B296F" w:rsidRPr="003B4859">
        <w:rPr>
          <w:rFonts w:eastAsia="Times New Roman"/>
          <w:bCs/>
          <w:szCs w:val="24"/>
          <w:lang w:eastAsia="lv-LV"/>
        </w:rPr>
        <w:t>"</w:t>
      </w:r>
      <w:r w:rsidRPr="003B4859">
        <w:rPr>
          <w:rFonts w:eastAsia="Times New Roman"/>
          <w:bCs/>
          <w:szCs w:val="24"/>
          <w:lang w:eastAsia="lv-LV"/>
        </w:rPr>
        <w:t xml:space="preserve"> Nr.</w:t>
      </w:r>
      <w:r w:rsidR="00871496" w:rsidRPr="003B4859">
        <w:rPr>
          <w:rFonts w:eastAsia="Times New Roman"/>
          <w:bCs/>
          <w:szCs w:val="24"/>
          <w:lang w:eastAsia="lv-LV"/>
        </w:rPr>
        <w:t> </w:t>
      </w:r>
      <w:r w:rsidRPr="003B4859">
        <w:rPr>
          <w:rFonts w:eastAsia="Times New Roman"/>
          <w:bCs/>
          <w:szCs w:val="24"/>
          <w:lang w:eastAsia="lv-LV"/>
        </w:rPr>
        <w:t xml:space="preserve">1032/Lp13) un citi normatīvie akti neparedz konkrētu īpašuma tiesību aprobežojuma saturu ar tiesībām veikt </w:t>
      </w:r>
      <w:r w:rsidRPr="003B4859">
        <w:rPr>
          <w:szCs w:val="24"/>
        </w:rPr>
        <w:t>būvniecību privātpersonām piederošajos nekustamajos īpašumos</w:t>
      </w:r>
      <w:r w:rsidRPr="003B4859">
        <w:rPr>
          <w:rFonts w:eastAsia="Times New Roman"/>
          <w:bCs/>
          <w:szCs w:val="24"/>
          <w:lang w:eastAsia="lv-LV"/>
        </w:rPr>
        <w:t>, bet tikai satur norādi par īpašuma tiesību aprobežojumu, līdz ar to, atbilstoši tām konsekvencēm, kas izriet no zemesgrāmatā nostiprināto tiesībām, kā arī tiesu praksē pastāvošām atziņām, piesardzīgi, ja ne kritiski vērtējam šādu lietošanas tiesību aprobežojumu ierakstīšanu zemesgrāmatā. Uzveram, ka visām iesaistītajām pusēm ir jābūt skaidram likumā noteiktajām tiesībām un pienākumiem, lai izpildītu likuma mērķi.</w:t>
      </w:r>
      <w:r w:rsidRPr="003B4859">
        <w:t xml:space="preserve"> </w:t>
      </w:r>
    </w:p>
    <w:p w14:paraId="06B716EB" w14:textId="3BC2E549" w:rsidR="00766E8B" w:rsidRPr="003B4859" w:rsidRDefault="00C637EA" w:rsidP="00766E8B">
      <w:pPr>
        <w:pStyle w:val="NormalWeb"/>
        <w:spacing w:before="0" w:after="0"/>
        <w:ind w:firstLine="720"/>
        <w:contextualSpacing/>
        <w:jc w:val="both"/>
        <w:rPr>
          <w:iCs/>
        </w:rPr>
      </w:pPr>
      <w:r w:rsidRPr="003B4859">
        <w:rPr>
          <w:bCs/>
        </w:rPr>
        <w:t xml:space="preserve">Lai noteiktu speciālo tiesību normu, t.i., Rail Baltica likumu, kurā tiks paredzēts </w:t>
      </w:r>
      <w:r w:rsidRPr="003B4859">
        <w:rPr>
          <w:rFonts w:eastAsia="Calibri"/>
          <w:lang w:eastAsia="en-US"/>
        </w:rPr>
        <w:t xml:space="preserve">īpašuma lietošanas tiesības aprobežojumi, likumam ir jābūt skaidram, izpildāmam un viennozīmīgam, lai būtu noteikta gan aprobežojuma nodibināšanas kārtība, gan aprobežojuma izbeigšana vai grozīšana. Nepieciešams skaidri noteikt, kāda veida darbības plānotas noteikt saistībā ar lietošanas tiesību aprobežošanu. Vienlaikus norādām, ka Civillikums vispārīgi trešās nodaļas piektajā apakšnodaļā "Īpašuma aprobežojumi" noteic divu veidu īpašuma aprobežojuma veidus - īpašuma atsavināšanas tiesību aprobežojumu un </w:t>
      </w:r>
      <w:bookmarkStart w:id="17" w:name="_Hlk74124600"/>
      <w:r w:rsidRPr="003B4859">
        <w:rPr>
          <w:rFonts w:eastAsia="Calibri"/>
          <w:lang w:eastAsia="en-US"/>
        </w:rPr>
        <w:t>īpašumu lietošanas tiesību aprobežojumu</w:t>
      </w:r>
      <w:bookmarkEnd w:id="17"/>
      <w:r w:rsidRPr="003B4859">
        <w:rPr>
          <w:rFonts w:eastAsia="Calibri"/>
          <w:lang w:eastAsia="en-US"/>
        </w:rPr>
        <w:t xml:space="preserve">. Kā norādīts </w:t>
      </w:r>
      <w:r w:rsidR="00AF303C" w:rsidRPr="003B4859">
        <w:rPr>
          <w:rFonts w:eastAsia="Calibri"/>
          <w:lang w:eastAsia="en-US"/>
        </w:rPr>
        <w:t>Ziņojumā</w:t>
      </w:r>
      <w:r w:rsidRPr="003B4859">
        <w:rPr>
          <w:rFonts w:eastAsia="Calibri"/>
          <w:lang w:eastAsia="en-US"/>
        </w:rPr>
        <w:t xml:space="preserve">, tad plānots, ka īpašuma lietošanas tiesību aprobežojums sevī ietvertu iespēju uzsākt būvdarbus nekustamajā īpašumā, līdz ar to nav saprotams, kāds īpašuma lietošanas tiesību aprobežojuma saturu plānots noteikt. Savukārt tā kā lietošanas tiesību aprobežojuma nodibināšana ir saistīta ar nekustamā īpašuma atsavināšanas procesu, tad </w:t>
      </w:r>
      <w:r w:rsidR="00AF303C" w:rsidRPr="003B4859">
        <w:rPr>
          <w:rFonts w:eastAsia="Calibri"/>
          <w:lang w:eastAsia="en-US"/>
        </w:rPr>
        <w:t>Ziņojumā</w:t>
      </w:r>
      <w:r w:rsidRPr="003B4859">
        <w:rPr>
          <w:rFonts w:eastAsia="Calibri"/>
          <w:lang w:eastAsia="en-US"/>
        </w:rPr>
        <w:t xml:space="preserve"> netiek sniegts novērtējums, kādēļ attiecībā uz noteiktiem gadījumiem, kad īpašuma atsavināšanai nav saņemta zemes īpašnieka piekrišana, plānots, ka atsavināšanas process norit uz lietošanas tiesību aprobežojuma pamata, savukārt kopīpašnieka gadījumā - uz likumā noteikto, kas paredz izņēmumu noteikšanu no vispārēja regulējuma, neparedzot pienākumu saņemt visu kopīpašnieku piekrišanu. Tieslietu ministrijas ieskatā pēc būtības vienādas sekas plānots sasniegt ar diviem atšķirīgiem tiesību instrumentiem, </w:t>
      </w:r>
      <w:r w:rsidR="00AF303C" w:rsidRPr="003B4859">
        <w:rPr>
          <w:rFonts w:eastAsia="Calibri"/>
          <w:lang w:eastAsia="en-US"/>
        </w:rPr>
        <w:t>Ziņojumā</w:t>
      </w:r>
      <w:r w:rsidRPr="003B4859">
        <w:rPr>
          <w:rFonts w:eastAsia="Calibri"/>
          <w:lang w:eastAsia="en-US"/>
        </w:rPr>
        <w:t xml:space="preserve"> nesniedzot vispusīgu izvēlētā instrumenta attiecināmības izvērtējumu pēc būtības, kā arī nesniedzot to noteikšanas pamatotības izvērtējumu.</w:t>
      </w:r>
    </w:p>
    <w:p w14:paraId="1EF00D85" w14:textId="47C0A7AE" w:rsidR="008A161A" w:rsidRPr="003B4859" w:rsidRDefault="00766E8B" w:rsidP="004F33AA">
      <w:pPr>
        <w:pStyle w:val="NormalWeb"/>
        <w:spacing w:before="0" w:after="0"/>
        <w:ind w:firstLine="720"/>
        <w:contextualSpacing/>
        <w:jc w:val="both"/>
        <w:rPr>
          <w:iCs/>
        </w:rPr>
      </w:pPr>
      <w:r w:rsidRPr="003B4859">
        <w:rPr>
          <w:iCs/>
        </w:rPr>
        <w:t xml:space="preserve">Papildus jau minētajam nav arī skaidrs, </w:t>
      </w:r>
      <w:r w:rsidR="007D188D" w:rsidRPr="003B4859">
        <w:rPr>
          <w:iCs/>
        </w:rPr>
        <w:t xml:space="preserve">vai par </w:t>
      </w:r>
      <w:r w:rsidRPr="003B4859">
        <w:rPr>
          <w:iCs/>
        </w:rPr>
        <w:t>Ziņojumā paredzēto īpašumu lietošanas tiesību aprobežojumu plānots noteikt</w:t>
      </w:r>
      <w:r w:rsidR="007D188D" w:rsidRPr="003B4859">
        <w:rPr>
          <w:iCs/>
        </w:rPr>
        <w:t xml:space="preserve"> </w:t>
      </w:r>
      <w:r w:rsidRPr="003B4859">
        <w:rPr>
          <w:iCs/>
        </w:rPr>
        <w:t xml:space="preserve">kompensāciju, kas ir viens no ierobežojuma samērīguma vērtēšanas aspektiem. </w:t>
      </w:r>
      <w:r w:rsidR="00D210BB" w:rsidRPr="003B4859">
        <w:t>Attiecībā uz kompensācijas noteikšanu par lietošanas tiesību aprobežojumu Satversmes tiesa</w:t>
      </w:r>
      <w:r w:rsidRPr="003B4859">
        <w:t>, ņemot vērā arī</w:t>
      </w:r>
      <w:r w:rsidR="00D210BB" w:rsidRPr="003B4859">
        <w:t xml:space="preserve"> </w:t>
      </w:r>
      <w:r w:rsidRPr="003B4859">
        <w:t>T</w:t>
      </w:r>
      <w:r w:rsidR="00D210BB" w:rsidRPr="003B4859">
        <w:t>iesa</w:t>
      </w:r>
      <w:r w:rsidRPr="003B4859">
        <w:t>s atziņas,</w:t>
      </w:r>
      <w:r w:rsidR="00D210BB" w:rsidRPr="003B4859">
        <w:t xml:space="preserve"> ir secinājusi, ka no Satversmes 105.</w:t>
      </w:r>
      <w:r w:rsidRPr="003B4859">
        <w:t> </w:t>
      </w:r>
      <w:r w:rsidR="00D210BB" w:rsidRPr="003B4859">
        <w:t xml:space="preserve">panta  neizriet,  ka  </w:t>
      </w:r>
      <w:r w:rsidRPr="003B4859">
        <w:t>lietošanas tiesību</w:t>
      </w:r>
      <w:r w:rsidR="00D210BB" w:rsidRPr="003B4859">
        <w:t xml:space="preserve">  ierobežojumu noteikšanas gadījumā  būtu nepieciešama kompensācija, </w:t>
      </w:r>
      <w:r w:rsidRPr="003B4859">
        <w:t xml:space="preserve">tomēr </w:t>
      </w:r>
      <w:r w:rsidR="00D210BB" w:rsidRPr="003B4859">
        <w:t>tās esība tomēr ir  ņemama  vērā, vērtējot ierobežojuma  samērīgumu</w:t>
      </w:r>
      <w:r w:rsidRPr="003B4859">
        <w:t>.</w:t>
      </w:r>
      <w:r w:rsidR="00D210BB" w:rsidRPr="003B4859">
        <w:rPr>
          <w:rStyle w:val="FootnoteReference"/>
        </w:rPr>
        <w:footnoteReference w:id="14"/>
      </w:r>
    </w:p>
    <w:p w14:paraId="5F483319" w14:textId="7E3B4B9C" w:rsidR="004F33AA" w:rsidRPr="003B4859" w:rsidRDefault="004F33AA" w:rsidP="00BD75EB">
      <w:pPr>
        <w:pStyle w:val="NormalWeb"/>
        <w:numPr>
          <w:ilvl w:val="0"/>
          <w:numId w:val="20"/>
        </w:numPr>
        <w:contextualSpacing/>
        <w:jc w:val="both"/>
        <w:rPr>
          <w:iCs/>
        </w:rPr>
      </w:pPr>
      <w:r w:rsidRPr="003B4859">
        <w:rPr>
          <w:iCs/>
        </w:rPr>
        <w:t>Attiecībā uz konkrēto problemātiku saistībā ar kopīpašniekiem piederošajiem atsavināmajiem nekustamajiem īpašumiem, norādām, ka tiesību sistēmā kopīpašums ir definēts kā īpašuma tiesības izlietošanas aprobežojums. Vispārējus noteikumus par darījumu, kuru objekts ir nekustams īpašums, veikšanas kārtību nosaka Civillikums un Zemesgrāmatu likums. Jebkuram darījumam kā rezultātā tiek iegūtas, pārgrozītas vai izbeigtas tiesības, kas saistītas ar nekustamo īpašumu, ir nepieciešama nostiprināšana zemesgrāmatā.</w:t>
      </w:r>
      <w:r w:rsidR="00BD75EB" w:rsidRPr="003B4859">
        <w:rPr>
          <w:iCs/>
        </w:rPr>
        <w:t xml:space="preserve"> </w:t>
      </w:r>
      <w:r w:rsidRPr="003B4859">
        <w:rPr>
          <w:iCs/>
        </w:rPr>
        <w:t>Civillikuma 1067.</w:t>
      </w:r>
      <w:r w:rsidR="00BD75EB" w:rsidRPr="003B4859">
        <w:rPr>
          <w:iCs/>
        </w:rPr>
        <w:t> </w:t>
      </w:r>
      <w:r w:rsidRPr="003B4859">
        <w:rPr>
          <w:iCs/>
        </w:rPr>
        <w:t>panta pirmā daļa noteic, ka īpašuma tiesība, kas pieder uz vienu un to pašu nedalītu lietu vairākām personām nevis reālās, bet tikai domājamās daļās, tā ka sadalīts vienīgi tiesību saturs, ir kopīpašuma tiesība</w:t>
      </w:r>
      <w:r w:rsidR="00BD75EB" w:rsidRPr="003B4859">
        <w:rPr>
          <w:iCs/>
        </w:rPr>
        <w:t>, un</w:t>
      </w:r>
      <w:r w:rsidRPr="003B4859">
        <w:rPr>
          <w:iCs/>
        </w:rPr>
        <w:t xml:space="preserve"> </w:t>
      </w:r>
      <w:r w:rsidRPr="003B4859">
        <w:rPr>
          <w:iCs/>
        </w:rPr>
        <w:lastRenderedPageBreak/>
        <w:t xml:space="preserve">kopīpašnieku rīcību ar šādu īpašumu regulē Civillikuma piektajā apakšnodaļā noteiktie </w:t>
      </w:r>
      <w:r w:rsidR="00BD75EB" w:rsidRPr="003B4859">
        <w:rPr>
          <w:iCs/>
        </w:rPr>
        <w:t>"</w:t>
      </w:r>
      <w:r w:rsidRPr="003B4859">
        <w:rPr>
          <w:iCs/>
        </w:rPr>
        <w:t>Īpašuma aprobežojumi</w:t>
      </w:r>
      <w:r w:rsidR="00BD75EB" w:rsidRPr="003B4859">
        <w:rPr>
          <w:iCs/>
        </w:rPr>
        <w:t>"</w:t>
      </w:r>
      <w:r w:rsidRPr="003B4859">
        <w:rPr>
          <w:iCs/>
        </w:rPr>
        <w:t>.</w:t>
      </w:r>
    </w:p>
    <w:p w14:paraId="33CAE148" w14:textId="2D56EB93" w:rsidR="004F33AA" w:rsidRPr="003B4859" w:rsidRDefault="004F33AA" w:rsidP="00BD75EB">
      <w:pPr>
        <w:pStyle w:val="NormalWeb"/>
        <w:ind w:firstLine="720"/>
        <w:contextualSpacing/>
        <w:jc w:val="both"/>
        <w:rPr>
          <w:iCs/>
        </w:rPr>
      </w:pPr>
      <w:r w:rsidRPr="003B4859">
        <w:rPr>
          <w:iCs/>
        </w:rPr>
        <w:t>Norādām, ka kopīpašuma izmantošanā Civillikum</w:t>
      </w:r>
      <w:r w:rsidR="00BD75EB" w:rsidRPr="003B4859">
        <w:rPr>
          <w:iCs/>
        </w:rPr>
        <w:t>s</w:t>
      </w:r>
      <w:r w:rsidRPr="003B4859">
        <w:rPr>
          <w:iCs/>
        </w:rPr>
        <w:t xml:space="preserve"> nosaka ievērojamus ierobežojumus, t.i., Civillikuma 1068.</w:t>
      </w:r>
      <w:r w:rsidR="00BD75EB" w:rsidRPr="003B4859">
        <w:rPr>
          <w:iCs/>
        </w:rPr>
        <w:t> </w:t>
      </w:r>
      <w:r w:rsidRPr="003B4859">
        <w:rPr>
          <w:iCs/>
        </w:rPr>
        <w:t>panta pirmajā un otrajā daļā ir noteikts, ka rīkoties ar kopīpašuma priekšmetu, kā visumā, tā arī noteiktās atsevišķās daļās, drīkst tikai ar visu kopīpašnieku piekrišanu; bet, ja kāds no viņiem rīkojas atsevišķi, tad šī rīcība ne vien nav spēkā, bet arī uzliek pēdējam pienākumu atlīdzināt pārējiem zaudējumus, kas viņiem ar to nodarīti. Tādējādi kopīpašnieku gribas izteikumam ir būtiska nozīme darījumā, ievērojot, ka kopīpašnieku kopējā griba veidojas no katra kopīpašnieka individuālās gribas</w:t>
      </w:r>
      <w:r w:rsidR="00BD75EB" w:rsidRPr="003B4859">
        <w:rPr>
          <w:iCs/>
        </w:rPr>
        <w:t xml:space="preserve">, un nevienam no kopīpašniekiem nav kaut kādā veidā prioritāras tiesības noteikt rīcību ar kopīpašuma priekšmetu. </w:t>
      </w:r>
      <w:r w:rsidRPr="003B4859">
        <w:rPr>
          <w:iCs/>
        </w:rPr>
        <w:t>Neviens kopīpašnieks nevar atsevišķi bez visu pārējo kopīpašnieku piekrišanas ne apgrūtināt kopīpašuma priekšmetu ar lietu tiesībām, ne atsavināt to visā tā sastāvā vai pa daļām, ne arī kaut kā to pārgrozīt. Tādējādi katram kopīpašniekam ir tiesība protestēt pret tādu viena vai visu pārējo kopīpašnieku rīcību, un šo tiesību viņam nevar atņemt ar balsu vairākumu.</w:t>
      </w:r>
      <w:r w:rsidR="00BD75EB" w:rsidRPr="003B4859">
        <w:rPr>
          <w:iCs/>
        </w:rPr>
        <w:t xml:space="preserve"> </w:t>
      </w:r>
      <w:r w:rsidRPr="003B4859">
        <w:rPr>
          <w:iCs/>
        </w:rPr>
        <w:t>Jebkurā darījumā ar kopīpašuma priekšmetu līdzējiem jāņem vērā vispārējās tiesiska darījuma prasības atbilstoši tiesību aktu prasībām un papildu tiem arī kopīpašumu reglamentējošo tiesību normu prasības. Civillikuma 1069.</w:t>
      </w:r>
      <w:r w:rsidR="00BD75EB" w:rsidRPr="003B4859">
        <w:rPr>
          <w:iCs/>
        </w:rPr>
        <w:t> </w:t>
      </w:r>
      <w:r w:rsidRPr="003B4859">
        <w:rPr>
          <w:iCs/>
        </w:rPr>
        <w:t>panta pirmā daļa noteic, ka visi kopīpašnieki, samērīgi ar katra daļu, saņem visus labumus, kādus kopējā lieta dod, un tādā pašā samērā arī nes zaudējumus, kādi tai ceļas.</w:t>
      </w:r>
    </w:p>
    <w:p w14:paraId="429A33E4" w14:textId="62A1AE72" w:rsidR="004F33AA" w:rsidRPr="003B4859" w:rsidRDefault="004F33AA" w:rsidP="00BD75EB">
      <w:pPr>
        <w:pStyle w:val="NormalWeb"/>
        <w:ind w:firstLine="720"/>
        <w:contextualSpacing/>
        <w:jc w:val="both"/>
        <w:rPr>
          <w:iCs/>
        </w:rPr>
      </w:pPr>
      <w:r w:rsidRPr="003B4859">
        <w:rPr>
          <w:iCs/>
        </w:rPr>
        <w:t>Saskaņā ar Zemesgrāmatu likuma 49.</w:t>
      </w:r>
      <w:r w:rsidR="00BD75EB" w:rsidRPr="003B4859">
        <w:rPr>
          <w:iCs/>
        </w:rPr>
        <w:t> </w:t>
      </w:r>
      <w:r w:rsidRPr="003B4859">
        <w:rPr>
          <w:iCs/>
        </w:rPr>
        <w:t xml:space="preserve">pantu, nostiprinot zemesgrāmatā vairākām personām nedalīti piederošās tiesības, katrai no viņām piederošā domājamā daļa jānoteic skaitliski. No kopīpašuma definīcijas izriet un juridiskajā literatūrā prevalē viedoklis, ka domājamā daļa ir īpašuma tiesības daļa uz kopējo lietu. Aplūkojot darījumus ar kopīpašuma priekšmetu (piem., tā atsavināšana, apgrūtināšana u.c.), secināms, ka darījuma sekmīgai norisei nepieciešams visu kopīpašnieku saskaņots gribas izteikums. Kopīpašnieku īpašuma tiesības izlietošanas tiesības ir būtiski aprobežotas. Uzņemoties saistības attiecībā uz kopīpašuma priekšmetu un attiecībās ar kopīpašniekiem, ikvienai personai jārēķinās ar papildu slogu un tiesiskajiem ierobežojumiem, kuru tiesisko pamatu veido kopīpašums. Gadījumā, ja nekustamā īpašuma sadalei un atsavināšanai nepiekrīt kāds no kopīpašniekiem, var tik īstenots piespiedu atsavināšanas process par visu nekustamo īpašumu, pamatojoties uz </w:t>
      </w:r>
      <w:r w:rsidR="00BD75EB" w:rsidRPr="003B4859">
        <w:rPr>
          <w:iCs/>
        </w:rPr>
        <w:t>A</w:t>
      </w:r>
      <w:r w:rsidRPr="003B4859">
        <w:rPr>
          <w:iCs/>
        </w:rPr>
        <w:t>tsavināšanas likuma 5.</w:t>
      </w:r>
      <w:r w:rsidR="00BD75EB" w:rsidRPr="003B4859">
        <w:rPr>
          <w:iCs/>
        </w:rPr>
        <w:t> </w:t>
      </w:r>
      <w:r w:rsidRPr="003B4859">
        <w:rPr>
          <w:iCs/>
        </w:rPr>
        <w:t>pant</w:t>
      </w:r>
      <w:r w:rsidR="00BD75EB" w:rsidRPr="003B4859">
        <w:rPr>
          <w:iCs/>
        </w:rPr>
        <w:t>u</w:t>
      </w:r>
      <w:r w:rsidRPr="003B4859">
        <w:rPr>
          <w:iCs/>
        </w:rPr>
        <w:t>, kas noteic, ka nekustamā īpašuma piespiedu atsavināšana sabiedrības vajadzībām pieļaujama izņēmuma gadījumos vienīgi pret taisnīgu atlīdzību un tikai uz atsevišķa likuma pamata, ievērojot šajā likumā paredzētos nosacījumus.</w:t>
      </w:r>
    </w:p>
    <w:p w14:paraId="6DECCA05" w14:textId="79555DF1" w:rsidR="00560F04" w:rsidRPr="003B4859" w:rsidRDefault="004F33AA" w:rsidP="004F33AA">
      <w:pPr>
        <w:pStyle w:val="NormalWeb"/>
        <w:spacing w:before="0" w:after="0"/>
        <w:ind w:firstLine="720"/>
        <w:contextualSpacing/>
        <w:jc w:val="both"/>
        <w:rPr>
          <w:iCs/>
        </w:rPr>
      </w:pPr>
      <w:r w:rsidRPr="003B4859">
        <w:rPr>
          <w:iCs/>
        </w:rPr>
        <w:t xml:space="preserve">Kā izriet no </w:t>
      </w:r>
      <w:r w:rsidR="0016288E" w:rsidRPr="003B4859">
        <w:rPr>
          <w:iCs/>
        </w:rPr>
        <w:t>Ziņojuma</w:t>
      </w:r>
      <w:r w:rsidRPr="003B4859">
        <w:rPr>
          <w:iCs/>
        </w:rPr>
        <w:t xml:space="preserve">, tad tiek plānots būtiski mainīt pastāvošo kārtību, atbilstoši kurai nebūs nepieciešams visu kopīpašnieku piekrišana, lai veiktu noteiktas darbības īpašuma atsavināšanai (kā noprotams, tad darbību kopums attiecas uz darbībām, kas īstenojamas zemes uzmērīšanas un noteikšanas procesā, tas ir, neskarot īpašuma atsavināšanas un tiesību nostiprināšanas procesu). </w:t>
      </w:r>
      <w:r w:rsidR="0016288E" w:rsidRPr="003B4859">
        <w:rPr>
          <w:iCs/>
        </w:rPr>
        <w:t>Ziņojumā</w:t>
      </w:r>
      <w:r w:rsidRPr="003B4859">
        <w:rPr>
          <w:iCs/>
        </w:rPr>
        <w:t xml:space="preserve"> netiek sniegts šāda izņēmumu pamatojums un samērīguma izvērtējums, līdz ar to, norādām uz nepieciešamību ar attiecīgu informāciju papildināt </w:t>
      </w:r>
      <w:r w:rsidR="0016288E" w:rsidRPr="003B4859">
        <w:rPr>
          <w:iCs/>
        </w:rPr>
        <w:t>Ziņojumu</w:t>
      </w:r>
      <w:r w:rsidRPr="003B4859">
        <w:rPr>
          <w:iCs/>
        </w:rPr>
        <w:t>.</w:t>
      </w:r>
    </w:p>
    <w:p w14:paraId="5CE31918" w14:textId="178F40C9" w:rsidR="001951E3" w:rsidRPr="003B4859" w:rsidRDefault="005357B4" w:rsidP="004F33AA">
      <w:pPr>
        <w:pStyle w:val="Heading3"/>
        <w:shd w:val="clear" w:color="auto" w:fill="FFFFFF"/>
        <w:spacing w:before="0" w:beforeAutospacing="0" w:after="0" w:afterAutospacing="0"/>
        <w:ind w:firstLine="720"/>
        <w:jc w:val="both"/>
        <w:rPr>
          <w:b w:val="0"/>
          <w:sz w:val="24"/>
          <w:szCs w:val="24"/>
        </w:rPr>
      </w:pPr>
      <w:r w:rsidRPr="003B4859">
        <w:rPr>
          <w:b w:val="0"/>
          <w:sz w:val="24"/>
          <w:szCs w:val="24"/>
        </w:rPr>
        <w:t>5</w:t>
      </w:r>
      <w:r w:rsidR="004F33AA" w:rsidRPr="003B4859">
        <w:rPr>
          <w:b w:val="0"/>
          <w:sz w:val="24"/>
          <w:szCs w:val="24"/>
        </w:rPr>
        <w:t>.</w:t>
      </w:r>
      <w:r w:rsidR="007F5B29" w:rsidRPr="003B4859">
        <w:rPr>
          <w:b w:val="0"/>
          <w:sz w:val="24"/>
          <w:szCs w:val="24"/>
        </w:rPr>
        <w:t> </w:t>
      </w:r>
      <w:bookmarkStart w:id="18" w:name="_Hlk73712368"/>
      <w:r w:rsidR="005B1892" w:rsidRPr="003B4859">
        <w:rPr>
          <w:b w:val="0"/>
          <w:iCs/>
          <w:sz w:val="24"/>
          <w:szCs w:val="24"/>
        </w:rPr>
        <w:t>Ministru kabineta 2014. gada 2. decembra noteikumu Nr.</w:t>
      </w:r>
      <w:r w:rsidR="00614352" w:rsidRPr="003B4859">
        <w:rPr>
          <w:b w:val="0"/>
          <w:iCs/>
          <w:sz w:val="24"/>
          <w:szCs w:val="24"/>
        </w:rPr>
        <w:t> </w:t>
      </w:r>
      <w:r w:rsidR="005B1892" w:rsidRPr="003B4859">
        <w:rPr>
          <w:b w:val="0"/>
          <w:iCs/>
          <w:sz w:val="24"/>
          <w:szCs w:val="24"/>
        </w:rPr>
        <w:t xml:space="preserve">737 "Attīstības plānošanas dokumentu izstrādes un ietekmes izvērtēšanas noteikumi" </w:t>
      </w:r>
      <w:bookmarkEnd w:id="18"/>
      <w:r w:rsidR="00837011" w:rsidRPr="003B4859">
        <w:rPr>
          <w:b w:val="0"/>
          <w:iCs/>
          <w:sz w:val="24"/>
          <w:szCs w:val="24"/>
        </w:rPr>
        <w:t xml:space="preserve">28.5. apakšpunktā noteikts, ka </w:t>
      </w:r>
      <w:r w:rsidR="00186D91" w:rsidRPr="003B4859">
        <w:rPr>
          <w:b w:val="0"/>
          <w:iCs/>
          <w:sz w:val="24"/>
          <w:szCs w:val="24"/>
        </w:rPr>
        <w:t xml:space="preserve">konceptuālais ziņojums ietver arī izvērtējumu par </w:t>
      </w:r>
      <w:r w:rsidR="00837011" w:rsidRPr="003B4859">
        <w:rPr>
          <w:b w:val="0"/>
          <w:iCs/>
          <w:sz w:val="24"/>
          <w:szCs w:val="24"/>
        </w:rPr>
        <w:t>katra risinājuma ietekmi uz valsts un pašvaldību budžetiem, norādot pieejamo un papildus nepieciešamo finansējumu, kā arī ietverot iespējamo līdzekļu ietaupījumu.</w:t>
      </w:r>
      <w:r w:rsidR="005B1892" w:rsidRPr="003B4859">
        <w:rPr>
          <w:b w:val="0"/>
          <w:iCs/>
          <w:sz w:val="24"/>
          <w:szCs w:val="24"/>
        </w:rPr>
        <w:t xml:space="preserve"> </w:t>
      </w:r>
      <w:r w:rsidR="00BD75EB" w:rsidRPr="003B4859">
        <w:rPr>
          <w:b w:val="0"/>
          <w:iCs/>
          <w:sz w:val="24"/>
          <w:szCs w:val="24"/>
        </w:rPr>
        <w:t xml:space="preserve">Šāda informācija </w:t>
      </w:r>
      <w:r w:rsidR="00503409" w:rsidRPr="003B4859">
        <w:rPr>
          <w:b w:val="0"/>
          <w:iCs/>
          <w:sz w:val="24"/>
          <w:szCs w:val="24"/>
        </w:rPr>
        <w:t>šobrīd Ziņojumā nav ietverta, līdz ar to nepieciešams to papildināt.</w:t>
      </w:r>
    </w:p>
    <w:p w14:paraId="25705C96" w14:textId="57A197A7" w:rsidR="007C1CE6" w:rsidRPr="003B4859" w:rsidRDefault="005357B4" w:rsidP="00D703FE">
      <w:pPr>
        <w:pStyle w:val="Heading3"/>
        <w:shd w:val="clear" w:color="auto" w:fill="FFFFFF"/>
        <w:spacing w:before="0" w:beforeAutospacing="0" w:after="0" w:afterAutospacing="0"/>
        <w:ind w:firstLine="720"/>
        <w:jc w:val="both"/>
        <w:rPr>
          <w:b w:val="0"/>
          <w:sz w:val="24"/>
          <w:szCs w:val="24"/>
        </w:rPr>
      </w:pPr>
      <w:r w:rsidRPr="003B4859">
        <w:rPr>
          <w:b w:val="0"/>
          <w:sz w:val="24"/>
          <w:szCs w:val="24"/>
        </w:rPr>
        <w:t>6</w:t>
      </w:r>
      <w:r w:rsidR="004F33AA" w:rsidRPr="003B4859">
        <w:rPr>
          <w:b w:val="0"/>
          <w:sz w:val="24"/>
          <w:szCs w:val="24"/>
        </w:rPr>
        <w:t xml:space="preserve">. </w:t>
      </w:r>
      <w:r w:rsidR="007C1CE6" w:rsidRPr="003B4859">
        <w:rPr>
          <w:b w:val="0"/>
          <w:sz w:val="24"/>
          <w:szCs w:val="24"/>
        </w:rPr>
        <w:t xml:space="preserve">Ziņojumā ir konstatētas vairākas problēmas, kas negatīvi ietekmē Projekta īstenošanas termiņus, un šo problēmu risinājumi </w:t>
      </w:r>
      <w:r w:rsidR="00614352" w:rsidRPr="003B4859">
        <w:rPr>
          <w:b w:val="0"/>
          <w:sz w:val="24"/>
          <w:szCs w:val="24"/>
        </w:rPr>
        <w:t xml:space="preserve">pirmšķietami </w:t>
      </w:r>
      <w:r w:rsidR="007C1CE6" w:rsidRPr="003B4859">
        <w:rPr>
          <w:b w:val="0"/>
          <w:sz w:val="24"/>
          <w:szCs w:val="24"/>
        </w:rPr>
        <w:t>paredz gan privātpersonu tiesību ierobežojumus, gan citus īpašus izņēmumus</w:t>
      </w:r>
      <w:r w:rsidR="00614352" w:rsidRPr="003B4859">
        <w:rPr>
          <w:b w:val="0"/>
          <w:sz w:val="24"/>
          <w:szCs w:val="24"/>
        </w:rPr>
        <w:t xml:space="preserve"> no šobrīd spēkā esošā normatīvā regulējuma.</w:t>
      </w:r>
      <w:r w:rsidR="007C1CE6" w:rsidRPr="003B4859">
        <w:rPr>
          <w:b w:val="0"/>
          <w:sz w:val="24"/>
          <w:szCs w:val="24"/>
        </w:rPr>
        <w:t xml:space="preserve"> Tieslietu ministrijas ieskatā </w:t>
      </w:r>
      <w:r w:rsidR="00614352" w:rsidRPr="003B4859">
        <w:rPr>
          <w:b w:val="0"/>
          <w:sz w:val="24"/>
          <w:szCs w:val="24"/>
        </w:rPr>
        <w:t xml:space="preserve">no Ziņojumā ietvertās informācijas nav skaidrs, vai pirms Ziņojuma sagatavošanas </w:t>
      </w:r>
      <w:r w:rsidR="00D703FE" w:rsidRPr="003B4859">
        <w:rPr>
          <w:b w:val="0"/>
          <w:sz w:val="24"/>
          <w:szCs w:val="24"/>
        </w:rPr>
        <w:t xml:space="preserve">ir tikuši apspriesti citi rīcības varianti vai veikts kāds izvērtējums par līdzšinējo </w:t>
      </w:r>
      <w:r w:rsidR="007C1CE6" w:rsidRPr="003B4859">
        <w:rPr>
          <w:b w:val="0"/>
          <w:sz w:val="24"/>
          <w:szCs w:val="24"/>
        </w:rPr>
        <w:t>atsavināšanas pr</w:t>
      </w:r>
      <w:r w:rsidR="00D703FE" w:rsidRPr="003B4859">
        <w:rPr>
          <w:b w:val="0"/>
          <w:sz w:val="24"/>
          <w:szCs w:val="24"/>
        </w:rPr>
        <w:t>aksi.</w:t>
      </w:r>
      <w:r w:rsidR="00D703FE" w:rsidRPr="003B4859">
        <w:rPr>
          <w:b w:val="0"/>
          <w:bCs w:val="0"/>
          <w:iCs/>
          <w:sz w:val="24"/>
          <w:szCs w:val="24"/>
        </w:rPr>
        <w:t xml:space="preserve"> </w:t>
      </w:r>
      <w:r w:rsidR="007C1CE6" w:rsidRPr="003B4859">
        <w:rPr>
          <w:b w:val="0"/>
          <w:bCs w:val="0"/>
          <w:iCs/>
          <w:sz w:val="24"/>
          <w:szCs w:val="24"/>
        </w:rPr>
        <w:t xml:space="preserve">Tieslietu ministrijas ieskatā, </w:t>
      </w:r>
      <w:r w:rsidR="00D703FE" w:rsidRPr="003B4859">
        <w:rPr>
          <w:b w:val="0"/>
          <w:bCs w:val="0"/>
          <w:iCs/>
          <w:sz w:val="24"/>
          <w:szCs w:val="24"/>
        </w:rPr>
        <w:t>piemēram</w:t>
      </w:r>
      <w:r w:rsidR="007C1CE6" w:rsidRPr="003B4859">
        <w:rPr>
          <w:b w:val="0"/>
          <w:bCs w:val="0"/>
          <w:iCs/>
          <w:sz w:val="24"/>
          <w:szCs w:val="24"/>
        </w:rPr>
        <w:t>, varētu izvērtēt</w:t>
      </w:r>
      <w:r w:rsidR="00D703FE" w:rsidRPr="003B4859">
        <w:rPr>
          <w:b w:val="0"/>
          <w:bCs w:val="0"/>
          <w:iCs/>
          <w:sz w:val="24"/>
          <w:szCs w:val="24"/>
        </w:rPr>
        <w:t>, vai nav iespējams atsavināšanas procesu padarīt ātrāku, mainot</w:t>
      </w:r>
      <w:r w:rsidR="007C1CE6" w:rsidRPr="003B4859">
        <w:rPr>
          <w:b w:val="0"/>
          <w:bCs w:val="0"/>
          <w:iCs/>
          <w:sz w:val="24"/>
          <w:szCs w:val="24"/>
        </w:rPr>
        <w:t xml:space="preserve"> fokusu no atsavināšanas, kas notiek vienojoties par labprātīgu nekustamā īpašuma atsavināšanu, uz atsavināšanu piespiedu kārtā uz atsevišķa likuma </w:t>
      </w:r>
      <w:r w:rsidR="007C1CE6" w:rsidRPr="003B4859">
        <w:rPr>
          <w:b w:val="0"/>
          <w:bCs w:val="0"/>
          <w:iCs/>
          <w:sz w:val="24"/>
          <w:szCs w:val="24"/>
        </w:rPr>
        <w:lastRenderedPageBreak/>
        <w:t xml:space="preserve">pamata. Protams, nevar noliegt, ka Atsavināšanas likuma 4. pantā minētais atsavināšanas veids – vienošanās par labprātīgu nekustamā īpašuma atsavināšanu būtu atzīstams par saudzīgāko veidu, kā ierobežot privātpersonas īpašuma tiesības, un tāpēc būtu tikai atbalstāmi, ka lielākais vairums īpašumu tiek atsavināti šādā veidā, tomēr vienlaikus var secināt, ka Atsavināšanas likums jau šobrīd ir veidotas arī tā, lai atsavināšanu varētu veikt pēc iespējas īsākā laika posmā, un lai visai sabiedrībai būtisku projektu īstenošanā atsavināšanu veicošā institūcija nebūtu atkarīga no privātpersonas piekrišanas atsavināšanai. Ņemot vērā to, ka Atsavināšanas likuma izstrādē īpaša nozīme tika piešķirta tam, lai tajā ietvertais regulējums atbilstu Satversmes tiesas un </w:t>
      </w:r>
      <w:r w:rsidR="00D703FE" w:rsidRPr="003B4859">
        <w:rPr>
          <w:b w:val="0"/>
          <w:bCs w:val="0"/>
          <w:iCs/>
          <w:sz w:val="24"/>
          <w:szCs w:val="24"/>
        </w:rPr>
        <w:t>T</w:t>
      </w:r>
      <w:r w:rsidR="007C1CE6" w:rsidRPr="003B4859">
        <w:rPr>
          <w:b w:val="0"/>
          <w:bCs w:val="0"/>
          <w:iCs/>
          <w:sz w:val="24"/>
          <w:szCs w:val="24"/>
        </w:rPr>
        <w:t xml:space="preserve">iesas atziņām par cilvēktiesību aizsardzību atsavināšanas procesā, </w:t>
      </w:r>
      <w:r w:rsidR="00D703FE" w:rsidRPr="003B4859">
        <w:rPr>
          <w:b w:val="0"/>
          <w:bCs w:val="0"/>
          <w:iCs/>
          <w:sz w:val="24"/>
          <w:szCs w:val="24"/>
        </w:rPr>
        <w:t xml:space="preserve">Tieslietu ministrijas ieskatā ir riskanti </w:t>
      </w:r>
      <w:r w:rsidR="007C1CE6" w:rsidRPr="003B4859">
        <w:rPr>
          <w:b w:val="0"/>
          <w:bCs w:val="0"/>
          <w:iCs/>
          <w:sz w:val="24"/>
          <w:szCs w:val="24"/>
        </w:rPr>
        <w:t>steigā radīt izņēmum</w:t>
      </w:r>
      <w:r w:rsidR="00D703FE" w:rsidRPr="003B4859">
        <w:rPr>
          <w:b w:val="0"/>
          <w:bCs w:val="0"/>
          <w:iCs/>
          <w:sz w:val="24"/>
          <w:szCs w:val="24"/>
        </w:rPr>
        <w:t>us</w:t>
      </w:r>
      <w:r w:rsidR="007C1CE6" w:rsidRPr="003B4859">
        <w:rPr>
          <w:b w:val="0"/>
          <w:bCs w:val="0"/>
          <w:iCs/>
          <w:sz w:val="24"/>
          <w:szCs w:val="24"/>
        </w:rPr>
        <w:t xml:space="preserve"> no </w:t>
      </w:r>
      <w:r w:rsidR="00D703FE" w:rsidRPr="003B4859">
        <w:rPr>
          <w:b w:val="0"/>
          <w:bCs w:val="0"/>
          <w:iCs/>
          <w:sz w:val="24"/>
          <w:szCs w:val="24"/>
        </w:rPr>
        <w:t xml:space="preserve">šī </w:t>
      </w:r>
      <w:r w:rsidR="007C1CE6" w:rsidRPr="003B4859">
        <w:rPr>
          <w:b w:val="0"/>
          <w:bCs w:val="0"/>
          <w:iCs/>
          <w:sz w:val="24"/>
          <w:szCs w:val="24"/>
        </w:rPr>
        <w:t>regulējuma, jo kā Satversmes tiesa ir norādījusi - personas īpašuma tiesību aizsardzību garantē arī nekustamā īpašuma piespiedu atsavināšanas process pats par sevi</w:t>
      </w:r>
      <w:r w:rsidR="007C1CE6" w:rsidRPr="003B4859">
        <w:rPr>
          <w:rStyle w:val="FootnoteReference"/>
          <w:b w:val="0"/>
          <w:bCs w:val="0"/>
          <w:iCs/>
          <w:sz w:val="24"/>
          <w:szCs w:val="24"/>
        </w:rPr>
        <w:footnoteReference w:id="15"/>
      </w:r>
      <w:r w:rsidR="007C1CE6" w:rsidRPr="003B4859">
        <w:rPr>
          <w:b w:val="0"/>
          <w:bCs w:val="0"/>
          <w:iCs/>
          <w:sz w:val="24"/>
          <w:szCs w:val="24"/>
        </w:rPr>
        <w:t>.</w:t>
      </w:r>
    </w:p>
    <w:p w14:paraId="629CAB59" w14:textId="3CAEFD3C" w:rsidR="007C1CE6" w:rsidRPr="003B4859" w:rsidRDefault="00D703FE" w:rsidP="007C1CE6">
      <w:pPr>
        <w:pStyle w:val="Heading3"/>
        <w:shd w:val="clear" w:color="auto" w:fill="FFFFFF"/>
        <w:spacing w:before="0" w:beforeAutospacing="0" w:after="0" w:afterAutospacing="0"/>
        <w:ind w:firstLine="720"/>
        <w:jc w:val="both"/>
        <w:rPr>
          <w:b w:val="0"/>
          <w:bCs w:val="0"/>
          <w:iCs/>
          <w:sz w:val="24"/>
          <w:szCs w:val="24"/>
        </w:rPr>
      </w:pPr>
      <w:r w:rsidRPr="003B4859">
        <w:rPr>
          <w:b w:val="0"/>
          <w:bCs w:val="0"/>
          <w:sz w:val="24"/>
          <w:szCs w:val="24"/>
        </w:rPr>
        <w:t xml:space="preserve">Augstāk minētais secinājums Tieslietu ministrijai radies no vairākiem Ziņojumā ietvertajiem apgalvojumiem. Piemēram, </w:t>
      </w:r>
      <w:r w:rsidR="007C1CE6" w:rsidRPr="003B4859">
        <w:rPr>
          <w:b w:val="0"/>
          <w:bCs w:val="0"/>
          <w:sz w:val="24"/>
          <w:szCs w:val="24"/>
        </w:rPr>
        <w:t>Ziņojuma 4. lpp. norādīts: "</w:t>
      </w:r>
      <w:r w:rsidR="007C1CE6" w:rsidRPr="003B4859">
        <w:rPr>
          <w:b w:val="0"/>
          <w:bCs w:val="0"/>
          <w:iCs/>
          <w:sz w:val="24"/>
          <w:szCs w:val="24"/>
        </w:rPr>
        <w:t xml:space="preserve">Katra nekustamā īpašuma atsavināšanas virzība ir arī tieši atkarīga no daudziem subjektīviem faktoriem un lielā mērā to ietekmē attiecīgo nekustamo īpašuma īpašnieku vēlme iesaistīties procesā un sadarboties." Šādam apgalvojumam Tieslietu ministrija </w:t>
      </w:r>
      <w:r w:rsidRPr="003B4859">
        <w:rPr>
          <w:b w:val="0"/>
          <w:bCs w:val="0"/>
          <w:iCs/>
          <w:sz w:val="24"/>
          <w:szCs w:val="24"/>
        </w:rPr>
        <w:t>var piekrist tikai daļēji</w:t>
      </w:r>
      <w:r w:rsidR="007C1CE6" w:rsidRPr="003B4859">
        <w:rPr>
          <w:b w:val="0"/>
          <w:bCs w:val="0"/>
          <w:iCs/>
          <w:sz w:val="24"/>
          <w:szCs w:val="24"/>
        </w:rPr>
        <w:t xml:space="preserve">, jo Atsavināšanas likums jau šobrīd </w:t>
      </w:r>
      <w:r w:rsidRPr="003B4859">
        <w:rPr>
          <w:b w:val="0"/>
          <w:bCs w:val="0"/>
          <w:iCs/>
          <w:sz w:val="24"/>
          <w:szCs w:val="24"/>
        </w:rPr>
        <w:t>veidots tā</w:t>
      </w:r>
      <w:r w:rsidR="007C1CE6" w:rsidRPr="003B4859">
        <w:rPr>
          <w:b w:val="0"/>
          <w:bCs w:val="0"/>
          <w:iCs/>
          <w:sz w:val="24"/>
          <w:szCs w:val="24"/>
        </w:rPr>
        <w:t xml:space="preserve">, lai institūcija atsavināšanā nebūtu atkarīga no privātpersonas attieksmes pret atsavināšanu un nepamatotām </w:t>
      </w:r>
      <w:r w:rsidRPr="003B4859">
        <w:rPr>
          <w:b w:val="0"/>
          <w:bCs w:val="0"/>
          <w:iCs/>
          <w:sz w:val="24"/>
          <w:szCs w:val="24"/>
        </w:rPr>
        <w:t>vēlmēm</w:t>
      </w:r>
      <w:r w:rsidR="007C1CE6" w:rsidRPr="003B4859">
        <w:rPr>
          <w:b w:val="0"/>
          <w:bCs w:val="0"/>
          <w:iCs/>
          <w:sz w:val="24"/>
          <w:szCs w:val="24"/>
        </w:rPr>
        <w:t>.</w:t>
      </w:r>
      <w:r w:rsidRPr="003B4859">
        <w:rPr>
          <w:b w:val="0"/>
          <w:bCs w:val="0"/>
          <w:iCs/>
          <w:sz w:val="24"/>
          <w:szCs w:val="24"/>
        </w:rPr>
        <w:t xml:space="preserve"> </w:t>
      </w:r>
      <w:r w:rsidR="007C1CE6" w:rsidRPr="003B4859">
        <w:rPr>
          <w:b w:val="0"/>
          <w:bCs w:val="0"/>
          <w:iCs/>
          <w:sz w:val="24"/>
          <w:szCs w:val="24"/>
        </w:rPr>
        <w:t>Tāpat arī Ziņojuma 6. lpp. norādītais, ka "procesa gaitā var atklāties tādi faktiskie apstākļi, kuru dēļ ir nepieciešams precizēt darba uzdevumu, veikt atkārtotu nekustamā īpašuma novērtēšanas procesu", kā arī norādīts, ka dažkārt nepieciešams iegūt biedrības "Latvijas īpašumu vērtētāju asociācija" atzinumu par vērtējumu atbilstību normatīvajiem aktiem un institūcijas dotajam darba uzdevumam, kas var aizņemt trīs, četrus mēnešus (atsevišķos sarežģītos gadījumos – pat ilgāku laiku līdz pat gadam)</w:t>
      </w:r>
      <w:r w:rsidR="00EE183D" w:rsidRPr="003B4859">
        <w:rPr>
          <w:b w:val="0"/>
          <w:bCs w:val="0"/>
          <w:iCs/>
          <w:sz w:val="24"/>
          <w:szCs w:val="24"/>
        </w:rPr>
        <w:t>.</w:t>
      </w:r>
      <w:r w:rsidR="007C1CE6" w:rsidRPr="003B4859">
        <w:rPr>
          <w:b w:val="0"/>
          <w:bCs w:val="0"/>
          <w:iCs/>
          <w:sz w:val="24"/>
          <w:szCs w:val="24"/>
        </w:rPr>
        <w:t xml:space="preserve"> Tieslietu ministrijas ieskatā </w:t>
      </w:r>
      <w:r w:rsidR="00EE183D" w:rsidRPr="003B4859">
        <w:rPr>
          <w:b w:val="0"/>
          <w:bCs w:val="0"/>
          <w:iCs/>
          <w:sz w:val="24"/>
          <w:szCs w:val="24"/>
        </w:rPr>
        <w:t xml:space="preserve">minētie piemēri tomēr </w:t>
      </w:r>
      <w:r w:rsidR="007C1CE6" w:rsidRPr="003B4859">
        <w:rPr>
          <w:b w:val="0"/>
          <w:bCs w:val="0"/>
          <w:iCs/>
          <w:sz w:val="24"/>
          <w:szCs w:val="24"/>
        </w:rPr>
        <w:t>nebūtu uzskatām</w:t>
      </w:r>
      <w:r w:rsidR="00EE183D" w:rsidRPr="003B4859">
        <w:rPr>
          <w:b w:val="0"/>
          <w:bCs w:val="0"/>
          <w:iCs/>
          <w:sz w:val="24"/>
          <w:szCs w:val="24"/>
        </w:rPr>
        <w:t>i</w:t>
      </w:r>
      <w:r w:rsidR="007C1CE6" w:rsidRPr="003B4859">
        <w:rPr>
          <w:b w:val="0"/>
          <w:bCs w:val="0"/>
          <w:iCs/>
          <w:sz w:val="24"/>
          <w:szCs w:val="24"/>
        </w:rPr>
        <w:t xml:space="preserve"> par ierastu un biežu praksi, bet gan drīzāk </w:t>
      </w:r>
      <w:r w:rsidR="00EE183D" w:rsidRPr="003B4859">
        <w:rPr>
          <w:b w:val="0"/>
          <w:bCs w:val="0"/>
          <w:iCs/>
          <w:sz w:val="24"/>
          <w:szCs w:val="24"/>
        </w:rPr>
        <w:t>kā</w:t>
      </w:r>
      <w:r w:rsidR="007C1CE6" w:rsidRPr="003B4859">
        <w:rPr>
          <w:b w:val="0"/>
          <w:bCs w:val="0"/>
          <w:iCs/>
          <w:sz w:val="24"/>
          <w:szCs w:val="24"/>
        </w:rPr>
        <w:t xml:space="preserve"> izņēmuma gadījumi, kas notiek salīdzinoši reti, </w:t>
      </w:r>
      <w:r w:rsidR="00EE183D" w:rsidRPr="003B4859">
        <w:rPr>
          <w:b w:val="0"/>
          <w:bCs w:val="0"/>
          <w:iCs/>
          <w:sz w:val="24"/>
          <w:szCs w:val="24"/>
        </w:rPr>
        <w:t>taču tas</w:t>
      </w:r>
      <w:r w:rsidR="007C1CE6" w:rsidRPr="003B4859">
        <w:rPr>
          <w:b w:val="0"/>
          <w:bCs w:val="0"/>
          <w:iCs/>
          <w:sz w:val="24"/>
          <w:szCs w:val="24"/>
        </w:rPr>
        <w:t xml:space="preserve"> Ziņojumā </w:t>
      </w:r>
      <w:r w:rsidR="00EE183D" w:rsidRPr="003B4859">
        <w:rPr>
          <w:b w:val="0"/>
          <w:bCs w:val="0"/>
          <w:iCs/>
          <w:sz w:val="24"/>
          <w:szCs w:val="24"/>
        </w:rPr>
        <w:t>nav norādīts</w:t>
      </w:r>
      <w:r w:rsidR="007C1CE6" w:rsidRPr="003B4859">
        <w:rPr>
          <w:b w:val="0"/>
          <w:bCs w:val="0"/>
          <w:iCs/>
          <w:sz w:val="24"/>
          <w:szCs w:val="24"/>
        </w:rPr>
        <w:t>.</w:t>
      </w:r>
    </w:p>
    <w:p w14:paraId="4DD57922" w14:textId="667FA3E9" w:rsidR="00EE183D" w:rsidRPr="003B4859" w:rsidRDefault="007C1CE6" w:rsidP="00EE183D">
      <w:pPr>
        <w:pStyle w:val="Heading3"/>
        <w:shd w:val="clear" w:color="auto" w:fill="FFFFFF"/>
        <w:spacing w:before="0" w:beforeAutospacing="0" w:after="0" w:afterAutospacing="0"/>
        <w:ind w:firstLine="720"/>
        <w:jc w:val="both"/>
        <w:rPr>
          <w:b w:val="0"/>
          <w:bCs w:val="0"/>
          <w:iCs/>
          <w:sz w:val="24"/>
          <w:szCs w:val="24"/>
        </w:rPr>
      </w:pPr>
      <w:r w:rsidRPr="003B4859">
        <w:rPr>
          <w:b w:val="0"/>
          <w:bCs w:val="0"/>
          <w:iCs/>
          <w:sz w:val="24"/>
          <w:szCs w:val="24"/>
        </w:rPr>
        <w:t>Pa</w:t>
      </w:r>
      <w:r w:rsidR="00EE183D" w:rsidRPr="003B4859">
        <w:rPr>
          <w:b w:val="0"/>
          <w:bCs w:val="0"/>
          <w:iCs/>
          <w:sz w:val="24"/>
          <w:szCs w:val="24"/>
        </w:rPr>
        <w:t xml:space="preserve">pildus neskaidrību rada divas </w:t>
      </w:r>
      <w:r w:rsidRPr="003B4859">
        <w:rPr>
          <w:b w:val="0"/>
          <w:sz w:val="24"/>
          <w:szCs w:val="24"/>
        </w:rPr>
        <w:t>Ziņojumā norādīt</w:t>
      </w:r>
      <w:r w:rsidR="00EE183D" w:rsidRPr="003B4859">
        <w:rPr>
          <w:b w:val="0"/>
          <w:sz w:val="24"/>
          <w:szCs w:val="24"/>
        </w:rPr>
        <w:t>a</w:t>
      </w:r>
      <w:r w:rsidRPr="003B4859">
        <w:rPr>
          <w:b w:val="0"/>
          <w:sz w:val="24"/>
          <w:szCs w:val="24"/>
        </w:rPr>
        <w:t xml:space="preserve">s </w:t>
      </w:r>
      <w:r w:rsidR="00EE183D" w:rsidRPr="003B4859">
        <w:rPr>
          <w:b w:val="0"/>
          <w:sz w:val="24"/>
          <w:szCs w:val="24"/>
        </w:rPr>
        <w:t xml:space="preserve">šķietami pretējas </w:t>
      </w:r>
      <w:r w:rsidRPr="003B4859">
        <w:rPr>
          <w:b w:val="0"/>
          <w:sz w:val="24"/>
          <w:szCs w:val="24"/>
        </w:rPr>
        <w:t>problēmas</w:t>
      </w:r>
      <w:r w:rsidRPr="003B4859">
        <w:rPr>
          <w:b w:val="0"/>
          <w:bCs w:val="0"/>
          <w:iCs/>
          <w:sz w:val="24"/>
          <w:szCs w:val="24"/>
        </w:rPr>
        <w:t>, proti, Ziņojuma 11. lpp. ir identificēta problēma, ka ir nepieciešams nodrošināt pēc iespējas ātrāku Rail Baltica infrastruktūras būvniecības uzsākšanu visā trases garumā,</w:t>
      </w:r>
      <w:r w:rsidR="00EE183D" w:rsidRPr="003B4859">
        <w:rPr>
          <w:b w:val="0"/>
          <w:bCs w:val="0"/>
          <w:iCs/>
          <w:sz w:val="24"/>
          <w:szCs w:val="24"/>
        </w:rPr>
        <w:t xml:space="preserve"> s</w:t>
      </w:r>
      <w:r w:rsidRPr="003B4859">
        <w:rPr>
          <w:b w:val="0"/>
          <w:bCs w:val="0"/>
          <w:iCs/>
          <w:sz w:val="24"/>
          <w:szCs w:val="24"/>
        </w:rPr>
        <w:t>avukārt Ziņojuma 12. lpp. norādīts</w:t>
      </w:r>
      <w:r w:rsidR="00EE183D" w:rsidRPr="003B4859">
        <w:rPr>
          <w:b w:val="0"/>
          <w:bCs w:val="0"/>
          <w:iCs/>
          <w:sz w:val="24"/>
          <w:szCs w:val="24"/>
        </w:rPr>
        <w:t>, ka</w:t>
      </w:r>
      <w:r w:rsidRPr="003B4859">
        <w:rPr>
          <w:b w:val="0"/>
          <w:bCs w:val="0"/>
          <w:iCs/>
          <w:sz w:val="24"/>
          <w:szCs w:val="24"/>
        </w:rPr>
        <w:t xml:space="preserve"> </w:t>
      </w:r>
      <w:r w:rsidR="00EE183D" w:rsidRPr="003B4859">
        <w:rPr>
          <w:b w:val="0"/>
          <w:bCs w:val="0"/>
          <w:iCs/>
          <w:sz w:val="24"/>
          <w:szCs w:val="24"/>
        </w:rPr>
        <w:t>P</w:t>
      </w:r>
      <w:r w:rsidRPr="003B4859">
        <w:rPr>
          <w:b w:val="0"/>
          <w:bCs w:val="0"/>
          <w:iCs/>
          <w:sz w:val="24"/>
          <w:szCs w:val="24"/>
        </w:rPr>
        <w:t xml:space="preserve">rojekta vajadzībām atsavinātais nekustamais īpašums ne vienmēr uzreiz būs nepieciešams būvdarbu uzsākšanai attiecīgajā īpašumā. Ņemot vērā šo divu Ziņojumā norādīto problēmu zināmu pretrunīgumu, Tieslietu ministrijas ieskatā </w:t>
      </w:r>
      <w:r w:rsidR="00EE183D" w:rsidRPr="003B4859">
        <w:rPr>
          <w:b w:val="0"/>
          <w:bCs w:val="0"/>
          <w:iCs/>
          <w:sz w:val="24"/>
          <w:szCs w:val="24"/>
        </w:rPr>
        <w:t xml:space="preserve">pastāv risks, ka Projekta īstenošanas termiņu saīsināšanai slogs tiek uzlikts privātpersonām, maksimāli neizvērtējot visus iespējamos risinājumus līdzšinējā regulējuma ietvaros. </w:t>
      </w:r>
    </w:p>
    <w:p w14:paraId="1BA73FF5" w14:textId="3D8A34C2" w:rsidR="00EE183D" w:rsidRPr="003B4859" w:rsidRDefault="00EE183D" w:rsidP="00EE183D">
      <w:pPr>
        <w:pStyle w:val="Heading3"/>
        <w:shd w:val="clear" w:color="auto" w:fill="FFFFFF"/>
        <w:spacing w:before="0" w:beforeAutospacing="0" w:after="0" w:afterAutospacing="0"/>
        <w:ind w:firstLine="720"/>
        <w:jc w:val="both"/>
        <w:rPr>
          <w:b w:val="0"/>
          <w:bCs w:val="0"/>
          <w:iCs/>
          <w:sz w:val="24"/>
          <w:szCs w:val="24"/>
        </w:rPr>
      </w:pPr>
      <w:r w:rsidRPr="003B4859">
        <w:rPr>
          <w:b w:val="0"/>
          <w:bCs w:val="0"/>
          <w:iCs/>
          <w:sz w:val="24"/>
          <w:szCs w:val="24"/>
        </w:rPr>
        <w:t>Vienlaikus jānorāda, ka Ziņojumā nav ietverta</w:t>
      </w:r>
      <w:r w:rsidR="001E3113" w:rsidRPr="003B4859">
        <w:rPr>
          <w:b w:val="0"/>
          <w:bCs w:val="0"/>
          <w:iCs/>
          <w:sz w:val="24"/>
          <w:szCs w:val="24"/>
        </w:rPr>
        <w:t xml:space="preserve"> pilnīga</w:t>
      </w:r>
      <w:r w:rsidRPr="003B4859">
        <w:rPr>
          <w:b w:val="0"/>
          <w:bCs w:val="0"/>
          <w:iCs/>
          <w:sz w:val="24"/>
          <w:szCs w:val="24"/>
        </w:rPr>
        <w:t xml:space="preserve"> informācija</w:t>
      </w:r>
      <w:r w:rsidR="001E3113" w:rsidRPr="003B4859">
        <w:rPr>
          <w:b w:val="0"/>
          <w:bCs w:val="0"/>
          <w:iCs/>
          <w:sz w:val="24"/>
          <w:szCs w:val="24"/>
        </w:rPr>
        <w:t xml:space="preserve"> </w:t>
      </w:r>
      <w:r w:rsidRPr="003B4859">
        <w:rPr>
          <w:b w:val="0"/>
          <w:bCs w:val="0"/>
          <w:iCs/>
          <w:sz w:val="24"/>
          <w:szCs w:val="24"/>
        </w:rPr>
        <w:t xml:space="preserve">par tiem normatīvo aktu grozījumiem, kas jau ir dažādos izstrādes procesos un varētu risināt vismaz daļu konstatētos problēmjautājumus, piemēram, </w:t>
      </w:r>
      <w:r w:rsidR="00035A51" w:rsidRPr="003B4859">
        <w:rPr>
          <w:b w:val="0"/>
          <w:bCs w:val="0"/>
          <w:iCs/>
          <w:sz w:val="24"/>
          <w:szCs w:val="24"/>
        </w:rPr>
        <w:t>Tieslietu ministrijas</w:t>
      </w:r>
      <w:r w:rsidRPr="003B4859">
        <w:rPr>
          <w:b w:val="0"/>
          <w:bCs w:val="0"/>
          <w:iCs/>
          <w:sz w:val="24"/>
          <w:szCs w:val="24"/>
        </w:rPr>
        <w:t xml:space="preserve"> </w:t>
      </w:r>
      <w:r w:rsidR="00035A51" w:rsidRPr="003B4859">
        <w:rPr>
          <w:b w:val="0"/>
          <w:bCs w:val="0"/>
          <w:iCs/>
          <w:sz w:val="24"/>
          <w:szCs w:val="24"/>
        </w:rPr>
        <w:t>sagatavotais</w:t>
      </w:r>
      <w:r w:rsidRPr="003B4859">
        <w:rPr>
          <w:b w:val="0"/>
          <w:bCs w:val="0"/>
          <w:iCs/>
          <w:sz w:val="24"/>
          <w:szCs w:val="24"/>
        </w:rPr>
        <w:t xml:space="preserve"> likumprojekts "Grozījumi Sabiedrības vajadzībām nepieciešamā nekustamā īpašuma atsavināšanas likumā", kas izstrādāts, reaģējot uz Satiksmes ministrijas konstatētajām problēmām nekustamo īpašumu atsavināšanā sabiedrības vajadzībām Projekta īstenošanas gaitā, kā arī likumprojekti "Grozījums likumā "Par atjaunotā Latvijas Republikas 1937. gada Civillikuma ievada, mantojuma tiesību un lietu tiesību daļas spēkā stāšanās laiku un piemērošanas kārtību" un "Grozījumi Civillikumā" attiecībā uz bezmantinieku mantu. Papildus minētajam būtu izvērtējams, vai atbilstoši 2021. gada 15. aprīļa Valsts sekretāru sanāksmē nolemtajam (prot. Nr.15., 30. §, 3.p.) (izskatot darba kārtības 3.2. jautājumu "Par Ministru kabineta 2021. gada 28. janvāra sēdes protokollēmuma "Rīkojuma projekts "Par zemes vienību Liepājas pilsētā piederību vai piekritību valstij un to nostiprināšanu zemesgrāmatā uz valsts vārda Finanšu ministrijas personā"" (prot. Nr.10 31.§)), izstrādātais grozījums Zemes pārvaldības likuma 17. pantā, papildinot to ar pieci prim daļu, kas paredz noteiktos gadījumos iespēju slēgt vienošanos starp valsti un pašvaldību, tādējādi nodrošinot  mehānismu, kādā valstij ir iespēja iegūt zemi, ja neizpildās likumā "Par valsts un pašvaldību zemes īpašuma tiesībām un to nostiprināšanu zemesgrāmatās" noteiktie piederības un piekritības kritēriji. </w:t>
      </w:r>
      <w:r w:rsidRPr="003B4859">
        <w:rPr>
          <w:b w:val="0"/>
          <w:bCs w:val="0"/>
          <w:iCs/>
          <w:sz w:val="24"/>
          <w:szCs w:val="24"/>
        </w:rPr>
        <w:lastRenderedPageBreak/>
        <w:t xml:space="preserve">Minētais grozījums saskaņošanas procesā un atbilstoši  2021. gada 15. aprīļa Valsts sekretāru sanāksmē nolemtajam iekļauts Vides aizsardzības un reģionālās attīstības ministrijas izstrādātajā likumprojektā "Grozījumi Zemes pārvaldības likumā" (VSS-215). </w:t>
      </w:r>
    </w:p>
    <w:p w14:paraId="5880F745" w14:textId="4EBD165C" w:rsidR="00EE183D" w:rsidRPr="003B4859" w:rsidRDefault="00EE183D" w:rsidP="00EE183D">
      <w:pPr>
        <w:pStyle w:val="Heading3"/>
        <w:shd w:val="clear" w:color="auto" w:fill="FFFFFF"/>
        <w:spacing w:before="0" w:beforeAutospacing="0" w:after="0" w:afterAutospacing="0"/>
        <w:ind w:firstLine="720"/>
        <w:jc w:val="both"/>
        <w:rPr>
          <w:b w:val="0"/>
          <w:sz w:val="24"/>
          <w:szCs w:val="24"/>
        </w:rPr>
      </w:pPr>
      <w:r w:rsidRPr="003B4859">
        <w:rPr>
          <w:b w:val="0"/>
          <w:bCs w:val="0"/>
          <w:iCs/>
          <w:sz w:val="24"/>
          <w:szCs w:val="24"/>
        </w:rPr>
        <w:t>Tāpat arī, ņ</w:t>
      </w:r>
      <w:r w:rsidR="004F33AA" w:rsidRPr="003B4859">
        <w:rPr>
          <w:b w:val="0"/>
          <w:bCs w:val="0"/>
          <w:iCs/>
          <w:sz w:val="24"/>
          <w:szCs w:val="24"/>
        </w:rPr>
        <w:t xml:space="preserve">emot vērā, ka </w:t>
      </w:r>
      <w:r w:rsidR="007C1CE6" w:rsidRPr="003B4859">
        <w:rPr>
          <w:b w:val="0"/>
          <w:bCs w:val="0"/>
          <w:iCs/>
          <w:sz w:val="24"/>
          <w:szCs w:val="24"/>
        </w:rPr>
        <w:t>Z</w:t>
      </w:r>
      <w:r w:rsidR="004F33AA" w:rsidRPr="003B4859">
        <w:rPr>
          <w:b w:val="0"/>
          <w:bCs w:val="0"/>
          <w:iCs/>
          <w:sz w:val="24"/>
          <w:szCs w:val="24"/>
        </w:rPr>
        <w:t xml:space="preserve">iņojumā aprakstīti konkrēti problēmjautājumu un norādīti normatīvie akti, kas reglamentē konkrētās dzīves situācijas, </w:t>
      </w:r>
      <w:r w:rsidR="002D55A1" w:rsidRPr="003B4859">
        <w:rPr>
          <w:b w:val="0"/>
          <w:bCs w:val="0"/>
          <w:iCs/>
          <w:sz w:val="24"/>
          <w:szCs w:val="24"/>
        </w:rPr>
        <w:t>pie Z</w:t>
      </w:r>
      <w:r w:rsidR="004F33AA" w:rsidRPr="003B4859">
        <w:rPr>
          <w:b w:val="0"/>
          <w:bCs w:val="0"/>
          <w:iCs/>
          <w:sz w:val="24"/>
          <w:szCs w:val="24"/>
        </w:rPr>
        <w:t xml:space="preserve">iņojumā iekļautā otrā risinājuma apraksta, lai gūtu pilnīgu priekšstatu par iespējamo grozījumu apjomu, būtu nepieciešams norādīt konkrētos normatīvos aktus. </w:t>
      </w:r>
    </w:p>
    <w:p w14:paraId="642703D9" w14:textId="4E77A986" w:rsidR="007C1CE6" w:rsidRPr="003B4859" w:rsidRDefault="007C1CE6" w:rsidP="005357B4">
      <w:pPr>
        <w:pStyle w:val="Heading3"/>
        <w:numPr>
          <w:ilvl w:val="0"/>
          <w:numId w:val="24"/>
        </w:numPr>
        <w:shd w:val="clear" w:color="auto" w:fill="FFFFFF"/>
        <w:spacing w:before="0" w:beforeAutospacing="0" w:after="0" w:afterAutospacing="0"/>
        <w:jc w:val="both"/>
        <w:rPr>
          <w:b w:val="0"/>
          <w:sz w:val="24"/>
          <w:szCs w:val="24"/>
        </w:rPr>
      </w:pPr>
      <w:r w:rsidRPr="003B4859">
        <w:rPr>
          <w:b w:val="0"/>
          <w:bCs w:val="0"/>
          <w:iCs/>
          <w:sz w:val="24"/>
          <w:szCs w:val="24"/>
        </w:rPr>
        <w:t>Ziņojumā ir aprakstīts Lietuvas un Igaunijas normatīvajos aktos</w:t>
      </w:r>
      <w:r w:rsidR="0085714A" w:rsidRPr="003B4859">
        <w:rPr>
          <w:b w:val="0"/>
          <w:bCs w:val="0"/>
          <w:iCs/>
          <w:sz w:val="24"/>
          <w:szCs w:val="24"/>
        </w:rPr>
        <w:t xml:space="preserve"> ietvertais regulējums</w:t>
      </w:r>
      <w:r w:rsidRPr="003B4859">
        <w:rPr>
          <w:b w:val="0"/>
          <w:bCs w:val="0"/>
          <w:iCs/>
          <w:sz w:val="24"/>
          <w:szCs w:val="24"/>
        </w:rPr>
        <w:t xml:space="preserve"> nekustamo īpašumu atsavināšanā sabiedrības vajadzībām, kas pats par sevi ir pozitīvi vērtējams aspekts, tomēr </w:t>
      </w:r>
      <w:r w:rsidR="0085714A" w:rsidRPr="003B4859">
        <w:rPr>
          <w:b w:val="0"/>
          <w:bCs w:val="0"/>
          <w:iCs/>
          <w:sz w:val="24"/>
          <w:szCs w:val="24"/>
        </w:rPr>
        <w:t xml:space="preserve">vienlaikus nav skaidrs mērķis, ar kādu šī informācija iekļauta Ziņojumā. Tieslietu ministrijas ieskatā, ja minētās informācijas mērķis bija uzsvērt, ka kaimiņu valstīs ar īpašumu atsavināšanu veicas labāk kā Latvijā, tad tādā gadījumā nepieciešama izvērstāka un pamatotāka izpēte par to, kas tieši ir bijis pamatā šādai veiksmīgai praksei, piemēram, vai tas ir tieši regulējuma vai regulējuma piemērošanas rezultāts un tamlīdzīgi. Tieslietu ministrija apšauba, ka salīdzinoši īsā laikā ir iespējams veikt tādu ārvalstu prakses izvērtējumu, kas ļautu pilnīgi skaidri secināt konkrētus aspektus (atsavināšanas regulējums, tā piemērošana, atsavināšanas praktiskā puse), kas ir ātras un efektīvas atsavināšanas sabiedrības vajadzībām pamatā. Protams, atšķirīga situācija ir tad, ja šāds pētījums jau ir veikts konkrētajā valstī un </w:t>
      </w:r>
      <w:r w:rsidR="00EC3895" w:rsidRPr="003B4859">
        <w:rPr>
          <w:b w:val="0"/>
          <w:bCs w:val="0"/>
          <w:iCs/>
          <w:sz w:val="24"/>
          <w:szCs w:val="24"/>
        </w:rPr>
        <w:t>Ziņojumā tiek ietverta atsauce uz to.</w:t>
      </w:r>
    </w:p>
    <w:p w14:paraId="16EC339D" w14:textId="669EB019" w:rsidR="001951E3" w:rsidRPr="003B4859" w:rsidRDefault="005C4EC4" w:rsidP="005357B4">
      <w:pPr>
        <w:pStyle w:val="NormalWeb"/>
        <w:numPr>
          <w:ilvl w:val="0"/>
          <w:numId w:val="24"/>
        </w:numPr>
        <w:spacing w:before="0" w:after="0"/>
        <w:contextualSpacing/>
        <w:jc w:val="both"/>
      </w:pPr>
      <w:r w:rsidRPr="003B4859">
        <w:rPr>
          <w:iCs/>
        </w:rPr>
        <w:t>Tieslietu ministrijas ieskatā būtu precizējama Ziņojuma 9. lpp. minētā informācija par to, ka Tieslietu ministrijas izstrādātajā likumprojektā par grozījumiem Atsavināšanas likumā ir iestrādāti grozījumi, lai noteiktu minimālu kompensāciju par labprātīgu atsavināšanu. Šobrīd no šādas norādes nav saprotams, kas ar to domāts</w:t>
      </w:r>
      <w:r w:rsidR="00AA51C4" w:rsidRPr="003B4859">
        <w:rPr>
          <w:iCs/>
        </w:rPr>
        <w:t>, un tā neataino grozījumu būtību.</w:t>
      </w:r>
    </w:p>
    <w:p w14:paraId="4C3A0CEC" w14:textId="77777777" w:rsidR="003F4B03" w:rsidRPr="003B4859" w:rsidRDefault="003F4B03" w:rsidP="004F33AA">
      <w:pPr>
        <w:ind w:firstLine="720"/>
        <w:rPr>
          <w:szCs w:val="24"/>
        </w:rPr>
      </w:pPr>
    </w:p>
    <w:p w14:paraId="5541A0FE" w14:textId="77777777" w:rsidR="002507F5" w:rsidRPr="003B4859" w:rsidRDefault="002507F5" w:rsidP="0035054E">
      <w:pPr>
        <w:tabs>
          <w:tab w:val="left" w:pos="9356"/>
        </w:tabs>
        <w:rPr>
          <w:szCs w:val="24"/>
        </w:rPr>
      </w:pPr>
    </w:p>
    <w:p w14:paraId="51CA1414" w14:textId="4819932D" w:rsidR="002507F5" w:rsidRPr="003B4859" w:rsidRDefault="002507F5" w:rsidP="0035054E">
      <w:pPr>
        <w:ind w:right="296"/>
        <w:contextualSpacing/>
        <w:rPr>
          <w:szCs w:val="24"/>
        </w:rPr>
      </w:pPr>
      <w:r w:rsidRPr="003B4859">
        <w:rPr>
          <w:szCs w:val="24"/>
        </w:rPr>
        <w:t>Valsts sekretāra vietnie</w:t>
      </w:r>
      <w:r w:rsidR="00217377" w:rsidRPr="003B4859">
        <w:rPr>
          <w:szCs w:val="24"/>
        </w:rPr>
        <w:t>ce</w:t>
      </w:r>
    </w:p>
    <w:p w14:paraId="50711B02" w14:textId="6779346A" w:rsidR="002507F5" w:rsidRPr="003B4859" w:rsidRDefault="002507F5" w:rsidP="0035054E">
      <w:pPr>
        <w:pStyle w:val="NoSpacing"/>
        <w:tabs>
          <w:tab w:val="right" w:pos="9072"/>
        </w:tabs>
        <w:ind w:right="12"/>
        <w:contextualSpacing/>
        <w:rPr>
          <w:szCs w:val="24"/>
        </w:rPr>
      </w:pPr>
      <w:r w:rsidRPr="003B4859">
        <w:rPr>
          <w:szCs w:val="24"/>
        </w:rPr>
        <w:t>tiesību politikas jautājumos</w:t>
      </w:r>
      <w:r w:rsidRPr="003B4859">
        <w:rPr>
          <w:szCs w:val="24"/>
        </w:rPr>
        <w:tab/>
      </w:r>
      <w:r w:rsidR="00033D29" w:rsidRPr="003B4859">
        <w:rPr>
          <w:szCs w:val="24"/>
        </w:rPr>
        <w:t xml:space="preserve"> </w:t>
      </w:r>
      <w:r w:rsidR="00217377" w:rsidRPr="003B4859">
        <w:rPr>
          <w:szCs w:val="24"/>
        </w:rPr>
        <w:t>Laila</w:t>
      </w:r>
      <w:r w:rsidR="00FB2F88" w:rsidRPr="003B4859">
        <w:rPr>
          <w:szCs w:val="24"/>
        </w:rPr>
        <w:t xml:space="preserve"> </w:t>
      </w:r>
      <w:r w:rsidR="00217377" w:rsidRPr="003B4859">
        <w:rPr>
          <w:szCs w:val="24"/>
        </w:rPr>
        <w:t>Medina</w:t>
      </w:r>
      <w:r w:rsidRPr="003B4859">
        <w:rPr>
          <w:szCs w:val="24"/>
        </w:rPr>
        <w:t xml:space="preserve"> </w:t>
      </w:r>
    </w:p>
    <w:p w14:paraId="1E25EA1B" w14:textId="77777777" w:rsidR="002507F5" w:rsidRPr="003B4859" w:rsidRDefault="002507F5" w:rsidP="0035054E"/>
    <w:p w14:paraId="2F92C123" w14:textId="77777777" w:rsidR="002507F5" w:rsidRPr="003B4859" w:rsidRDefault="002507F5" w:rsidP="002507F5">
      <w:pPr>
        <w:pStyle w:val="NoSpacing"/>
        <w:tabs>
          <w:tab w:val="left" w:pos="7675"/>
        </w:tabs>
        <w:rPr>
          <w:sz w:val="20"/>
          <w:szCs w:val="20"/>
        </w:rPr>
      </w:pPr>
    </w:p>
    <w:p w14:paraId="2C081F74" w14:textId="77777777" w:rsidR="002507F5" w:rsidRPr="003B4859" w:rsidRDefault="007B56E7" w:rsidP="002507F5">
      <w:pPr>
        <w:pStyle w:val="NoSpacing"/>
        <w:tabs>
          <w:tab w:val="left" w:pos="7675"/>
        </w:tabs>
        <w:rPr>
          <w:sz w:val="20"/>
          <w:szCs w:val="20"/>
        </w:rPr>
      </w:pPr>
      <w:r w:rsidRPr="003B4859">
        <w:rPr>
          <w:sz w:val="20"/>
          <w:szCs w:val="20"/>
        </w:rPr>
        <w:t>Ieva</w:t>
      </w:r>
      <w:r w:rsidR="002507F5" w:rsidRPr="003B4859">
        <w:rPr>
          <w:sz w:val="20"/>
          <w:szCs w:val="20"/>
        </w:rPr>
        <w:t xml:space="preserve"> </w:t>
      </w:r>
      <w:r w:rsidRPr="003B4859">
        <w:rPr>
          <w:sz w:val="20"/>
          <w:szCs w:val="20"/>
        </w:rPr>
        <w:t>Deksne</w:t>
      </w:r>
      <w:r w:rsidR="002507F5" w:rsidRPr="003B4859">
        <w:rPr>
          <w:sz w:val="20"/>
          <w:szCs w:val="20"/>
        </w:rPr>
        <w:t>, juriste</w:t>
      </w:r>
    </w:p>
    <w:p w14:paraId="2F86D672" w14:textId="2BF01200" w:rsidR="005E1911" w:rsidRPr="003B4859" w:rsidRDefault="002507F5" w:rsidP="000100AC">
      <w:pPr>
        <w:rPr>
          <w:rStyle w:val="Hyperlink"/>
          <w:sz w:val="20"/>
          <w:szCs w:val="20"/>
        </w:rPr>
      </w:pPr>
      <w:r w:rsidRPr="003B4859">
        <w:rPr>
          <w:sz w:val="20"/>
          <w:szCs w:val="20"/>
        </w:rPr>
        <w:t xml:space="preserve">67036856, </w:t>
      </w:r>
      <w:hyperlink r:id="rId11" w:history="1">
        <w:r w:rsidR="007B56E7" w:rsidRPr="003B4859">
          <w:rPr>
            <w:rStyle w:val="Hyperlink"/>
            <w:sz w:val="20"/>
            <w:szCs w:val="20"/>
          </w:rPr>
          <w:t>Ieva.Deksne@tm.gov.lv</w:t>
        </w:r>
      </w:hyperlink>
      <w:bookmarkEnd w:id="0"/>
      <w:r w:rsidR="000F6360" w:rsidRPr="003B4859">
        <w:tab/>
      </w:r>
      <w:bookmarkEnd w:id="1"/>
    </w:p>
    <w:p w14:paraId="758B0236" w14:textId="44B5F5DC" w:rsidR="003272DB" w:rsidRPr="003B4859" w:rsidRDefault="00887A60" w:rsidP="00806BD1">
      <w:pPr>
        <w:tabs>
          <w:tab w:val="left" w:pos="1110"/>
        </w:tabs>
        <w:rPr>
          <w:sz w:val="20"/>
          <w:szCs w:val="20"/>
        </w:rPr>
      </w:pPr>
      <w:r w:rsidRPr="003B4859">
        <w:rPr>
          <w:sz w:val="20"/>
          <w:szCs w:val="20"/>
        </w:rPr>
        <w:t>Lange 67036839</w:t>
      </w:r>
    </w:p>
    <w:p w14:paraId="7A85468D" w14:textId="52AE4CA5" w:rsidR="003272DB" w:rsidRPr="003272DB" w:rsidRDefault="00887A60" w:rsidP="003272DB">
      <w:pPr>
        <w:rPr>
          <w:sz w:val="20"/>
          <w:szCs w:val="20"/>
        </w:rPr>
      </w:pPr>
      <w:r w:rsidRPr="003B4859">
        <w:rPr>
          <w:sz w:val="20"/>
          <w:szCs w:val="20"/>
        </w:rPr>
        <w:t>Reizina 67046137</w:t>
      </w:r>
    </w:p>
    <w:p w14:paraId="5FC012E8" w14:textId="66A232E8" w:rsidR="003272DB" w:rsidRPr="003272DB" w:rsidRDefault="003272DB" w:rsidP="003272DB">
      <w:pPr>
        <w:rPr>
          <w:sz w:val="20"/>
          <w:szCs w:val="20"/>
        </w:rPr>
      </w:pPr>
    </w:p>
    <w:p w14:paraId="3B023799" w14:textId="465151FE" w:rsidR="00217377" w:rsidRPr="00217377" w:rsidRDefault="00217377" w:rsidP="00963931">
      <w:pPr>
        <w:tabs>
          <w:tab w:val="left" w:pos="915"/>
        </w:tabs>
        <w:rPr>
          <w:sz w:val="20"/>
          <w:szCs w:val="20"/>
        </w:rPr>
      </w:pPr>
    </w:p>
    <w:sectPr w:rsidR="00217377" w:rsidRPr="00217377" w:rsidSect="00014012">
      <w:headerReference w:type="default" r:id="rId12"/>
      <w:footerReference w:type="default" r:id="rId13"/>
      <w:headerReference w:type="first" r:id="rId14"/>
      <w:footerReference w:type="first" r:id="rId15"/>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4F50D" w14:textId="77777777" w:rsidR="00366855" w:rsidRDefault="00366855" w:rsidP="002507F5">
      <w:r>
        <w:separator/>
      </w:r>
    </w:p>
  </w:endnote>
  <w:endnote w:type="continuationSeparator" w:id="0">
    <w:p w14:paraId="47421303" w14:textId="77777777" w:rsidR="00366855" w:rsidRDefault="00366855" w:rsidP="002507F5">
      <w:r>
        <w:continuationSeparator/>
      </w:r>
    </w:p>
  </w:endnote>
  <w:endnote w:type="continuationNotice" w:id="1">
    <w:p w14:paraId="76FBEEE6" w14:textId="77777777" w:rsidR="007C2258" w:rsidRDefault="007C2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3E72" w14:textId="1F93E229" w:rsidR="002E182A" w:rsidRPr="00A06269" w:rsidRDefault="002507F5" w:rsidP="00A06269">
    <w:pPr>
      <w:pStyle w:val="Heading3"/>
      <w:shd w:val="clear" w:color="auto" w:fill="FFFFFF"/>
      <w:jc w:val="both"/>
      <w:rPr>
        <w:b w:val="0"/>
        <w:sz w:val="20"/>
        <w:szCs w:val="20"/>
      </w:rPr>
    </w:pPr>
    <w:r w:rsidRPr="00A06269">
      <w:rPr>
        <w:b w:val="0"/>
        <w:sz w:val="20"/>
        <w:szCs w:val="20"/>
      </w:rPr>
      <w:t>TMAtz_</w:t>
    </w:r>
    <w:r w:rsidR="00717079">
      <w:rPr>
        <w:b w:val="0"/>
        <w:sz w:val="20"/>
        <w:szCs w:val="20"/>
      </w:rPr>
      <w:t>0</w:t>
    </w:r>
    <w:r w:rsidR="00AA51C4">
      <w:rPr>
        <w:b w:val="0"/>
        <w:sz w:val="20"/>
        <w:szCs w:val="20"/>
      </w:rPr>
      <w:t>9</w:t>
    </w:r>
    <w:r w:rsidR="00FD7E02">
      <w:rPr>
        <w:b w:val="0"/>
        <w:sz w:val="20"/>
        <w:szCs w:val="20"/>
      </w:rPr>
      <w:t>0</w:t>
    </w:r>
    <w:r w:rsidR="00AA51C4">
      <w:rPr>
        <w:b w:val="0"/>
        <w:sz w:val="20"/>
        <w:szCs w:val="20"/>
      </w:rPr>
      <w:t>6</w:t>
    </w:r>
    <w:r w:rsidRPr="00A06269">
      <w:rPr>
        <w:b w:val="0"/>
        <w:sz w:val="20"/>
        <w:szCs w:val="20"/>
      </w:rPr>
      <w:t>20</w:t>
    </w:r>
    <w:r w:rsidR="004D043D">
      <w:rPr>
        <w:b w:val="0"/>
        <w:sz w:val="20"/>
        <w:szCs w:val="20"/>
      </w:rPr>
      <w:t>2</w:t>
    </w:r>
    <w:r w:rsidR="00FD7E02">
      <w:rPr>
        <w:b w:val="0"/>
        <w:sz w:val="20"/>
        <w:szCs w:val="20"/>
      </w:rPr>
      <w:t>1</w:t>
    </w:r>
    <w:r w:rsidRPr="00A06269">
      <w:rPr>
        <w:b w:val="0"/>
        <w:sz w:val="20"/>
        <w:szCs w:val="20"/>
      </w:rPr>
      <w:t>_</w:t>
    </w:r>
    <w:r w:rsidR="00AA51C4">
      <w:rPr>
        <w:b w:val="0"/>
        <w:sz w:val="20"/>
        <w:szCs w:val="20"/>
      </w:rPr>
      <w:t>SM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9C0F" w14:textId="28E261FB" w:rsidR="000B1FEC" w:rsidRPr="00A06269" w:rsidRDefault="002507F5" w:rsidP="00A06269">
    <w:pPr>
      <w:pStyle w:val="Heading3"/>
      <w:shd w:val="clear" w:color="auto" w:fill="FFFFFF"/>
      <w:jc w:val="both"/>
      <w:rPr>
        <w:b w:val="0"/>
        <w:sz w:val="20"/>
        <w:szCs w:val="20"/>
      </w:rPr>
    </w:pPr>
    <w:r w:rsidRPr="00A06269">
      <w:rPr>
        <w:b w:val="0"/>
        <w:sz w:val="20"/>
        <w:szCs w:val="20"/>
      </w:rPr>
      <w:t>TMAtz_</w:t>
    </w:r>
    <w:r w:rsidR="00717079">
      <w:rPr>
        <w:b w:val="0"/>
        <w:sz w:val="20"/>
        <w:szCs w:val="20"/>
      </w:rPr>
      <w:t>0</w:t>
    </w:r>
    <w:r w:rsidR="00AA51C4">
      <w:rPr>
        <w:b w:val="0"/>
        <w:sz w:val="20"/>
        <w:szCs w:val="20"/>
      </w:rPr>
      <w:t>9</w:t>
    </w:r>
    <w:r w:rsidR="00FD7E02">
      <w:rPr>
        <w:b w:val="0"/>
        <w:sz w:val="20"/>
        <w:szCs w:val="20"/>
      </w:rPr>
      <w:t>0</w:t>
    </w:r>
    <w:r w:rsidR="00AA51C4">
      <w:rPr>
        <w:b w:val="0"/>
        <w:sz w:val="20"/>
        <w:szCs w:val="20"/>
      </w:rPr>
      <w:t>6</w:t>
    </w:r>
    <w:r>
      <w:rPr>
        <w:b w:val="0"/>
        <w:sz w:val="20"/>
        <w:szCs w:val="20"/>
      </w:rPr>
      <w:t>2</w:t>
    </w:r>
    <w:r w:rsidRPr="00A06269">
      <w:rPr>
        <w:b w:val="0"/>
        <w:sz w:val="20"/>
        <w:szCs w:val="20"/>
      </w:rPr>
      <w:t>0</w:t>
    </w:r>
    <w:r w:rsidR="004D043D">
      <w:rPr>
        <w:b w:val="0"/>
        <w:sz w:val="20"/>
        <w:szCs w:val="20"/>
      </w:rPr>
      <w:t>2</w:t>
    </w:r>
    <w:r w:rsidR="00FD7E02">
      <w:rPr>
        <w:b w:val="0"/>
        <w:sz w:val="20"/>
        <w:szCs w:val="20"/>
      </w:rPr>
      <w:t>1</w:t>
    </w:r>
    <w:r w:rsidRPr="00A06269">
      <w:rPr>
        <w:b w:val="0"/>
        <w:sz w:val="20"/>
        <w:szCs w:val="20"/>
      </w:rPr>
      <w:t>_</w:t>
    </w:r>
    <w:r w:rsidR="00AA51C4">
      <w:rPr>
        <w:b w:val="0"/>
        <w:sz w:val="20"/>
        <w:szCs w:val="20"/>
      </w:rPr>
      <w:t>S</w:t>
    </w:r>
    <w:r>
      <w:rPr>
        <w:b w:val="0"/>
        <w:sz w:val="20"/>
        <w:szCs w:val="20"/>
      </w:rPr>
      <w: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D6871" w14:textId="77777777" w:rsidR="00366855" w:rsidRDefault="00366855" w:rsidP="002507F5">
      <w:r>
        <w:separator/>
      </w:r>
    </w:p>
  </w:footnote>
  <w:footnote w:type="continuationSeparator" w:id="0">
    <w:p w14:paraId="71D1339C" w14:textId="77777777" w:rsidR="00366855" w:rsidRDefault="00366855" w:rsidP="002507F5">
      <w:r>
        <w:continuationSeparator/>
      </w:r>
    </w:p>
  </w:footnote>
  <w:footnote w:type="continuationNotice" w:id="1">
    <w:p w14:paraId="24CD7565" w14:textId="77777777" w:rsidR="007C2258" w:rsidRDefault="007C2258"/>
  </w:footnote>
  <w:footnote w:id="2">
    <w:p w14:paraId="1C9A5D65" w14:textId="3E938EA0" w:rsidR="00FA46DC" w:rsidRDefault="00FA46DC" w:rsidP="00FA46DC">
      <w:pPr>
        <w:pStyle w:val="FootnoteText"/>
      </w:pPr>
      <w:r>
        <w:rPr>
          <w:rStyle w:val="FootnoteReference"/>
        </w:rPr>
        <w:footnoteRef/>
      </w:r>
      <w:r>
        <w:t xml:space="preserve"> </w:t>
      </w:r>
      <w:bookmarkStart w:id="4" w:name="_Hlk73714803"/>
      <w:r w:rsidRPr="00481648">
        <w:t xml:space="preserve">Latvijas Republikas Satversmes tiesas 2015. gada 3. jūlija sprieduma lietā Nr. 2014-12-01 </w:t>
      </w:r>
      <w:r w:rsidR="00F23E65">
        <w:t xml:space="preserve">14.1. un </w:t>
      </w:r>
      <w:r w:rsidRPr="00481648">
        <w:t>14.</w:t>
      </w:r>
      <w:r>
        <w:t>3</w:t>
      </w:r>
      <w:r w:rsidRPr="00481648">
        <w:t>. punkts.</w:t>
      </w:r>
      <w:bookmarkEnd w:id="4"/>
    </w:p>
  </w:footnote>
  <w:footnote w:id="3">
    <w:p w14:paraId="531F302F" w14:textId="72D3B3B5" w:rsidR="00F23E65" w:rsidRDefault="00F23E65" w:rsidP="00F23E65">
      <w:pPr>
        <w:pStyle w:val="FootnoteText"/>
      </w:pPr>
      <w:r>
        <w:rPr>
          <w:rStyle w:val="FootnoteReference"/>
        </w:rPr>
        <w:footnoteRef/>
      </w:r>
      <w:r>
        <w:t xml:space="preserve"> </w:t>
      </w:r>
      <w:bookmarkStart w:id="5" w:name="_Hlk73715056"/>
      <w:r w:rsidR="00225355">
        <w:t>Turpat,</w:t>
      </w:r>
      <w:r w:rsidRPr="00551DF9">
        <w:t xml:space="preserve"> 1</w:t>
      </w:r>
      <w:r>
        <w:t>5</w:t>
      </w:r>
      <w:r w:rsidRPr="00551DF9">
        <w:t>.</w:t>
      </w:r>
      <w:r w:rsidR="00AB6E25">
        <w:t>, 17. un 18. </w:t>
      </w:r>
      <w:r w:rsidRPr="00551DF9">
        <w:t>punkts.</w:t>
      </w:r>
      <w:bookmarkEnd w:id="5"/>
    </w:p>
  </w:footnote>
  <w:footnote w:id="4">
    <w:p w14:paraId="72F0024D" w14:textId="3088A96B" w:rsidR="00DE05CD" w:rsidRDefault="00DE05CD" w:rsidP="00DE05CD">
      <w:pPr>
        <w:pStyle w:val="FootnoteText"/>
      </w:pPr>
      <w:r>
        <w:rPr>
          <w:rStyle w:val="FootnoteReference"/>
        </w:rPr>
        <w:footnoteRef/>
      </w:r>
      <w:r>
        <w:t xml:space="preserve"> </w:t>
      </w:r>
      <w:bookmarkStart w:id="6" w:name="_Hlk73716682"/>
      <w:r w:rsidR="00225355">
        <w:t>Turpat,</w:t>
      </w:r>
      <w:r w:rsidRPr="00505A96">
        <w:t xml:space="preserve"> 20. punkts.</w:t>
      </w:r>
      <w:bookmarkEnd w:id="6"/>
    </w:p>
  </w:footnote>
  <w:footnote w:id="5">
    <w:p w14:paraId="1B5E8AC1" w14:textId="29EE932F" w:rsidR="00170CBE" w:rsidRDefault="00170CBE" w:rsidP="00170CBE">
      <w:pPr>
        <w:pStyle w:val="FootnoteText"/>
      </w:pPr>
      <w:r>
        <w:rPr>
          <w:rStyle w:val="FootnoteReference"/>
        </w:rPr>
        <w:footnoteRef/>
      </w:r>
      <w:r>
        <w:t xml:space="preserve"> </w:t>
      </w:r>
      <w:bookmarkStart w:id="7" w:name="_Hlk73715670"/>
      <w:bookmarkStart w:id="8" w:name="_Hlk74088843"/>
      <w:r w:rsidR="00225355">
        <w:t>Turpat,</w:t>
      </w:r>
      <w:r w:rsidRPr="001B4477">
        <w:t xml:space="preserve"> 18.</w:t>
      </w:r>
      <w:r>
        <w:t>1. </w:t>
      </w:r>
      <w:r w:rsidRPr="001B4477">
        <w:t>punkts.</w:t>
      </w:r>
      <w:bookmarkEnd w:id="7"/>
      <w:bookmarkEnd w:id="8"/>
    </w:p>
  </w:footnote>
  <w:footnote w:id="6">
    <w:p w14:paraId="22529EF3" w14:textId="77777777" w:rsidR="007911BC" w:rsidRDefault="007911BC" w:rsidP="007911BC">
      <w:pPr>
        <w:pStyle w:val="FootnoteText"/>
      </w:pPr>
      <w:r>
        <w:rPr>
          <w:rStyle w:val="FootnoteReference"/>
        </w:rPr>
        <w:footnoteRef/>
      </w:r>
      <w:r>
        <w:t xml:space="preserve"> </w:t>
      </w:r>
      <w:bookmarkStart w:id="9" w:name="_Hlk73961214"/>
      <w:r w:rsidRPr="00B04263">
        <w:t>Latvijas Republikas Satversmes tiesas 20</w:t>
      </w:r>
      <w:r>
        <w:t>20</w:t>
      </w:r>
      <w:r w:rsidRPr="00B04263">
        <w:t xml:space="preserve">. gada </w:t>
      </w:r>
      <w:r>
        <w:t>11</w:t>
      </w:r>
      <w:r w:rsidRPr="00B04263">
        <w:t xml:space="preserve">. </w:t>
      </w:r>
      <w:r>
        <w:t>decembra</w:t>
      </w:r>
      <w:r w:rsidRPr="00B04263">
        <w:t xml:space="preserve"> sprieduma lietā Nr. 20</w:t>
      </w:r>
      <w:r>
        <w:t>20</w:t>
      </w:r>
      <w:r w:rsidRPr="00B04263">
        <w:t>-</w:t>
      </w:r>
      <w:r>
        <w:t>26</w:t>
      </w:r>
      <w:r w:rsidRPr="00B04263">
        <w:t>-01</w:t>
      </w:r>
      <w:r>
        <w:t>06</w:t>
      </w:r>
      <w:r w:rsidRPr="00B04263">
        <w:t xml:space="preserve"> </w:t>
      </w:r>
      <w:r>
        <w:t>2</w:t>
      </w:r>
      <w:r w:rsidRPr="00B04263">
        <w:t>1.</w:t>
      </w:r>
      <w:r>
        <w:t>1</w:t>
      </w:r>
      <w:r w:rsidRPr="00B04263">
        <w:t>. punkts.</w:t>
      </w:r>
      <w:bookmarkEnd w:id="9"/>
    </w:p>
  </w:footnote>
  <w:footnote w:id="7">
    <w:p w14:paraId="0C521FEA" w14:textId="106B819F" w:rsidR="007911BC" w:rsidRDefault="007911BC" w:rsidP="007911BC">
      <w:pPr>
        <w:pStyle w:val="FootnoteText"/>
      </w:pPr>
      <w:r>
        <w:rPr>
          <w:rStyle w:val="FootnoteReference"/>
        </w:rPr>
        <w:footnoteRef/>
      </w:r>
      <w:r>
        <w:t xml:space="preserve"> </w:t>
      </w:r>
      <w:bookmarkStart w:id="11" w:name="_Hlk73963246"/>
      <w:r w:rsidRPr="00AE33AB">
        <w:t>Guide on Article 1 of Protocol No. 1  to the European Convention  on Human Rights</w:t>
      </w:r>
      <w:r>
        <w:t xml:space="preserve">. </w:t>
      </w:r>
      <w:r w:rsidRPr="00AE33AB">
        <w:t>Protection of property</w:t>
      </w:r>
      <w:r>
        <w:t xml:space="preserve">. </w:t>
      </w:r>
      <w:r w:rsidR="000230D5">
        <w:t>p.</w:t>
      </w:r>
      <w:r>
        <w:t xml:space="preserve">19. Pieejams: </w:t>
      </w:r>
      <w:r w:rsidRPr="00AE33AB">
        <w:t>https://www.echr.coe.int/Documents/Guide_Art_1_Protocol_1_ENG.pdf</w:t>
      </w:r>
      <w:bookmarkEnd w:id="11"/>
    </w:p>
  </w:footnote>
  <w:footnote w:id="8">
    <w:p w14:paraId="459F1BA4" w14:textId="1E8753E7" w:rsidR="007911BC" w:rsidRDefault="007911BC" w:rsidP="007911BC">
      <w:pPr>
        <w:pStyle w:val="FootnoteText"/>
      </w:pPr>
      <w:r>
        <w:rPr>
          <w:rStyle w:val="FootnoteReference"/>
        </w:rPr>
        <w:footnoteRef/>
      </w:r>
      <w:r>
        <w:t xml:space="preserve"> </w:t>
      </w:r>
      <w:bookmarkStart w:id="12" w:name="_Hlk73963319"/>
      <w:r w:rsidR="00225355">
        <w:t>Ibid,</w:t>
      </w:r>
      <w:r w:rsidRPr="009F4D5A">
        <w:t xml:space="preserve"> </w:t>
      </w:r>
      <w:r w:rsidR="006A06DB">
        <w:t>p</w:t>
      </w:r>
      <w:r w:rsidR="000230D5">
        <w:t>.</w:t>
      </w:r>
      <w:r>
        <w:t>22</w:t>
      </w:r>
      <w:r w:rsidRPr="009F4D5A">
        <w:t>.</w:t>
      </w:r>
      <w:bookmarkEnd w:id="12"/>
    </w:p>
  </w:footnote>
  <w:footnote w:id="9">
    <w:p w14:paraId="36A6D544" w14:textId="54460C2C" w:rsidR="006A06DB" w:rsidRDefault="006A06DB" w:rsidP="006A06DB">
      <w:pPr>
        <w:pStyle w:val="FootnoteText"/>
      </w:pPr>
      <w:r>
        <w:rPr>
          <w:rStyle w:val="FootnoteReference"/>
        </w:rPr>
        <w:footnoteRef/>
      </w:r>
      <w:r>
        <w:t xml:space="preserve"> </w:t>
      </w:r>
      <w:bookmarkStart w:id="13" w:name="_Hlk73963682"/>
      <w:r w:rsidR="0067639B">
        <w:t>Ibid</w:t>
      </w:r>
      <w:bookmarkEnd w:id="13"/>
      <w:r w:rsidR="00953592">
        <w:t>.</w:t>
      </w:r>
    </w:p>
  </w:footnote>
  <w:footnote w:id="10">
    <w:p w14:paraId="39506480" w14:textId="3848CBB4" w:rsidR="006A06DB" w:rsidRDefault="006A06DB" w:rsidP="006A06DB">
      <w:pPr>
        <w:pStyle w:val="FootnoteText"/>
      </w:pPr>
      <w:r>
        <w:rPr>
          <w:rStyle w:val="FootnoteReference"/>
        </w:rPr>
        <w:footnoteRef/>
      </w:r>
      <w:r>
        <w:t xml:space="preserve"> </w:t>
      </w:r>
      <w:bookmarkStart w:id="14" w:name="_Hlk73964356"/>
      <w:r w:rsidRPr="000F5B28">
        <w:t xml:space="preserve">Guide on Article 1 of Protocol No. 1  to the European Convention  on Human Rights. Protection of property. </w:t>
      </w:r>
      <w:r w:rsidR="00F13951">
        <w:t>p.</w:t>
      </w:r>
      <w:r w:rsidRPr="000F5B28">
        <w:t>2</w:t>
      </w:r>
      <w:r>
        <w:t>3</w:t>
      </w:r>
      <w:r w:rsidRPr="000F5B28">
        <w:t>.</w:t>
      </w:r>
      <w:r>
        <w:t> </w:t>
      </w:r>
      <w:r w:rsidRPr="000F5B28">
        <w:t xml:space="preserve"> Pieejams: https://www.echr.coe.int/Documents/Guide_Art_1_Protocol_1_ENG.pdf</w:t>
      </w:r>
      <w:bookmarkEnd w:id="14"/>
    </w:p>
  </w:footnote>
  <w:footnote w:id="11">
    <w:p w14:paraId="3FDD908E" w14:textId="35E3281F" w:rsidR="00D210BB" w:rsidRDefault="00D210BB" w:rsidP="00D210BB">
      <w:pPr>
        <w:pStyle w:val="FootnoteText"/>
      </w:pPr>
      <w:r>
        <w:rPr>
          <w:rStyle w:val="FootnoteReference"/>
        </w:rPr>
        <w:footnoteRef/>
      </w:r>
      <w:r>
        <w:t xml:space="preserve"> </w:t>
      </w:r>
      <w:bookmarkStart w:id="15" w:name="_Hlk73979453"/>
      <w:r w:rsidR="003F1212">
        <w:t>Ibid,</w:t>
      </w:r>
      <w:r w:rsidRPr="00E97B89">
        <w:t xml:space="preserve"> </w:t>
      </w:r>
      <w:r w:rsidR="0014784C">
        <w:t>p.</w:t>
      </w:r>
      <w:r w:rsidRPr="00E97B89">
        <w:t>2</w:t>
      </w:r>
      <w:r>
        <w:t>9</w:t>
      </w:r>
      <w:r w:rsidRPr="00E97B89">
        <w:t>.</w:t>
      </w:r>
    </w:p>
    <w:bookmarkEnd w:id="15"/>
  </w:footnote>
  <w:footnote w:id="12">
    <w:p w14:paraId="441E419A" w14:textId="597C2B44" w:rsidR="00293B1A" w:rsidRDefault="00293B1A">
      <w:pPr>
        <w:pStyle w:val="FootnoteText"/>
      </w:pPr>
      <w:r>
        <w:rPr>
          <w:rStyle w:val="FootnoteReference"/>
        </w:rPr>
        <w:footnoteRef/>
      </w:r>
      <w:r>
        <w:t xml:space="preserve"> </w:t>
      </w:r>
      <w:r w:rsidR="003F1212" w:rsidRPr="003F1212">
        <w:t>Latvijas Republikas Satversmes tiesas 2015. gada 3. jūlija sprieduma lietā Nr. 2014-12-01 14.2. punkts.</w:t>
      </w:r>
    </w:p>
  </w:footnote>
  <w:footnote w:id="13">
    <w:p w14:paraId="7A4E7A1B" w14:textId="4B0F2B31" w:rsidR="00B04263" w:rsidRDefault="00B04263">
      <w:pPr>
        <w:pStyle w:val="FootnoteText"/>
      </w:pPr>
      <w:r>
        <w:rPr>
          <w:rStyle w:val="FootnoteReference"/>
        </w:rPr>
        <w:footnoteRef/>
      </w:r>
      <w:r>
        <w:t xml:space="preserve"> </w:t>
      </w:r>
      <w:bookmarkStart w:id="16" w:name="_Hlk73961251"/>
      <w:r w:rsidRPr="00B04263">
        <w:t>Latvijas Republikas Satversmes tiesas 20</w:t>
      </w:r>
      <w:r>
        <w:t>20</w:t>
      </w:r>
      <w:r w:rsidRPr="00B04263">
        <w:t xml:space="preserve">. gada </w:t>
      </w:r>
      <w:r>
        <w:t>11</w:t>
      </w:r>
      <w:r w:rsidRPr="00B04263">
        <w:t xml:space="preserve">. </w:t>
      </w:r>
      <w:r>
        <w:t>decembra</w:t>
      </w:r>
      <w:r w:rsidRPr="00B04263">
        <w:t xml:space="preserve"> sprieduma lietā Nr. 20</w:t>
      </w:r>
      <w:r>
        <w:t>20</w:t>
      </w:r>
      <w:r w:rsidRPr="00B04263">
        <w:t>-</w:t>
      </w:r>
      <w:r>
        <w:t>26</w:t>
      </w:r>
      <w:r w:rsidRPr="00B04263">
        <w:t>-01</w:t>
      </w:r>
      <w:r>
        <w:t>06</w:t>
      </w:r>
      <w:r w:rsidRPr="00B04263">
        <w:t xml:space="preserve"> </w:t>
      </w:r>
      <w:r>
        <w:t>22</w:t>
      </w:r>
      <w:r w:rsidRPr="00B04263">
        <w:t>.</w:t>
      </w:r>
      <w:r>
        <w:t>2</w:t>
      </w:r>
      <w:r w:rsidRPr="00B04263">
        <w:t>.</w:t>
      </w:r>
      <w:r>
        <w:t>2. </w:t>
      </w:r>
      <w:r w:rsidRPr="00B04263">
        <w:t>punkts.</w:t>
      </w:r>
      <w:bookmarkEnd w:id="16"/>
    </w:p>
  </w:footnote>
  <w:footnote w:id="14">
    <w:p w14:paraId="024E963F" w14:textId="77777777" w:rsidR="00D210BB" w:rsidRDefault="00D210BB" w:rsidP="00D210BB">
      <w:pPr>
        <w:pStyle w:val="FootnoteText"/>
      </w:pPr>
      <w:r>
        <w:rPr>
          <w:rStyle w:val="FootnoteReference"/>
        </w:rPr>
        <w:footnoteRef/>
      </w:r>
      <w:r>
        <w:t xml:space="preserve"> </w:t>
      </w:r>
      <w:r w:rsidRPr="00B04263">
        <w:t>Latvijas Republikas Satversmes tiesas 2020. gada 11. decembra sprieduma lietā Nr. 2020-26-0106 22.2.</w:t>
      </w:r>
      <w:r>
        <w:t>3</w:t>
      </w:r>
      <w:r w:rsidRPr="00B04263">
        <w:t>. punkts.</w:t>
      </w:r>
    </w:p>
  </w:footnote>
  <w:footnote w:id="15">
    <w:p w14:paraId="2016AC7D" w14:textId="77777777" w:rsidR="007C1CE6" w:rsidRDefault="007C1CE6" w:rsidP="007C1CE6">
      <w:pPr>
        <w:pStyle w:val="FootnoteText"/>
      </w:pPr>
      <w:r>
        <w:rPr>
          <w:rStyle w:val="FootnoteReference"/>
        </w:rPr>
        <w:footnoteRef/>
      </w:r>
      <w:r>
        <w:t xml:space="preserve"> </w:t>
      </w:r>
      <w:bookmarkStart w:id="19" w:name="_Hlk73942980"/>
      <w:r w:rsidRPr="002819BC">
        <w:t>Latvijas Republikas Satversmes tiesa</w:t>
      </w:r>
      <w:r>
        <w:t xml:space="preserve">s </w:t>
      </w:r>
      <w:r w:rsidRPr="002819BC">
        <w:t>2009.</w:t>
      </w:r>
      <w:r>
        <w:t> </w:t>
      </w:r>
      <w:r w:rsidRPr="002819BC">
        <w:t>gada 21.</w:t>
      </w:r>
      <w:r>
        <w:t> </w:t>
      </w:r>
      <w:r w:rsidRPr="002819BC">
        <w:t>oktobr</w:t>
      </w:r>
      <w:r>
        <w:t xml:space="preserve">a sprieduma </w:t>
      </w:r>
      <w:r w:rsidRPr="002819BC">
        <w:t>lietā Nr.</w:t>
      </w:r>
      <w:r>
        <w:t> </w:t>
      </w:r>
      <w:r w:rsidRPr="002819BC">
        <w:t>2009-01-01</w:t>
      </w:r>
      <w:r>
        <w:t xml:space="preserve"> 11.3. punkts.</w:t>
      </w:r>
      <w:bookmarkEnd w:id="1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991C697" w14:textId="77777777" w:rsidR="007B3740" w:rsidRDefault="002507F5">
        <w:pPr>
          <w:pStyle w:val="Header"/>
          <w:jc w:val="center"/>
        </w:pPr>
        <w:r>
          <w:fldChar w:fldCharType="begin"/>
        </w:r>
        <w:r>
          <w:instrText>PAGE   \* MERGEFORMAT</w:instrText>
        </w:r>
        <w:r>
          <w:fldChar w:fldCharType="separate"/>
        </w:r>
        <w:r>
          <w:rPr>
            <w:noProof/>
          </w:rPr>
          <w:t>2</w:t>
        </w:r>
        <w:r>
          <w:fldChar w:fldCharType="end"/>
        </w:r>
      </w:p>
    </w:sdtContent>
  </w:sdt>
  <w:p w14:paraId="787C7534" w14:textId="77777777" w:rsidR="006C6018" w:rsidRDefault="007C2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4E87" w14:textId="77777777" w:rsidR="00A34ACB" w:rsidRDefault="007C2258" w:rsidP="00A34ACB">
    <w:pPr>
      <w:pStyle w:val="Header"/>
    </w:pPr>
  </w:p>
  <w:p w14:paraId="5E698F5F" w14:textId="77777777" w:rsidR="00A34ACB" w:rsidRDefault="002507F5" w:rsidP="00A34ACB">
    <w:pPr>
      <w:pStyle w:val="Header"/>
    </w:pPr>
    <w:r>
      <w:rPr>
        <w:noProof/>
        <w:lang w:eastAsia="lv-LV"/>
      </w:rPr>
      <w:drawing>
        <wp:anchor distT="0" distB="0" distL="114300" distR="114300" simplePos="0" relativeHeight="251658242" behindDoc="1" locked="0" layoutInCell="1" allowOverlap="1" wp14:anchorId="41DB370D" wp14:editId="11DBCB6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AE12F2" w14:textId="77777777" w:rsidR="00A34ACB" w:rsidRDefault="007C2258" w:rsidP="00A34ACB">
    <w:pPr>
      <w:pStyle w:val="Header"/>
    </w:pPr>
  </w:p>
  <w:p w14:paraId="3B1982D0" w14:textId="77777777" w:rsidR="00A34ACB" w:rsidRDefault="007C2258" w:rsidP="009F0E14">
    <w:pPr>
      <w:pStyle w:val="Header"/>
      <w:jc w:val="right"/>
    </w:pPr>
  </w:p>
  <w:p w14:paraId="5CBC488B" w14:textId="77777777" w:rsidR="00A34ACB" w:rsidRDefault="007C2258" w:rsidP="00A34ACB">
    <w:pPr>
      <w:pStyle w:val="Header"/>
    </w:pPr>
  </w:p>
  <w:p w14:paraId="3E37D450" w14:textId="77777777" w:rsidR="00A34ACB" w:rsidRDefault="007C2258" w:rsidP="00A34ACB">
    <w:pPr>
      <w:pStyle w:val="Header"/>
    </w:pPr>
  </w:p>
  <w:p w14:paraId="7ED8D667" w14:textId="77777777" w:rsidR="00A34ACB" w:rsidRDefault="007C2258" w:rsidP="00A34ACB">
    <w:pPr>
      <w:pStyle w:val="Header"/>
    </w:pPr>
  </w:p>
  <w:p w14:paraId="5FA62959" w14:textId="77777777" w:rsidR="00A34ACB" w:rsidRDefault="007C2258" w:rsidP="00A34ACB">
    <w:pPr>
      <w:pStyle w:val="Header"/>
    </w:pPr>
  </w:p>
  <w:p w14:paraId="048D25F5" w14:textId="77777777" w:rsidR="00A34ACB" w:rsidRDefault="007C2258" w:rsidP="00A34ACB">
    <w:pPr>
      <w:pStyle w:val="Header"/>
    </w:pPr>
  </w:p>
  <w:p w14:paraId="35F5EDB0" w14:textId="77777777" w:rsidR="00A34ACB" w:rsidRDefault="007C2258" w:rsidP="00A34ACB">
    <w:pPr>
      <w:pStyle w:val="Header"/>
    </w:pPr>
  </w:p>
  <w:p w14:paraId="36AC4FEE" w14:textId="77777777" w:rsidR="00A34ACB" w:rsidRPr="00815277" w:rsidRDefault="002507F5" w:rsidP="00A34ACB">
    <w:pPr>
      <w:pStyle w:val="Header"/>
    </w:pPr>
    <w:r>
      <w:rPr>
        <w:noProof/>
        <w:lang w:eastAsia="lv-LV"/>
      </w:rPr>
      <mc:AlternateContent>
        <mc:Choice Requires="wps">
          <w:drawing>
            <wp:anchor distT="0" distB="0" distL="114300" distR="114300" simplePos="0" relativeHeight="251658241" behindDoc="1" locked="0" layoutInCell="1" allowOverlap="1" wp14:anchorId="38164A64" wp14:editId="4A30A55C">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0C98B" w14:textId="77777777" w:rsidR="00A34ACB" w:rsidRPr="006C6018" w:rsidRDefault="002507F5"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F60CD2F" w14:textId="793ED2C7" w:rsidR="00A34ACB" w:rsidRPr="006C6018" w:rsidRDefault="002507F5"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9F0E14" w:rsidRPr="009F0E14">
                            <w:rPr>
                              <w:rFonts w:eastAsia="Times New Roman"/>
                              <w:sz w:val="17"/>
                              <w:szCs w:val="17"/>
                            </w:rPr>
                            <w:t>pasts@tm.gov.lv</w:t>
                          </w:r>
                          <w:r w:rsidRPr="006C6018">
                            <w:rPr>
                              <w:rFonts w:eastAsia="Times New Roman"/>
                              <w:sz w:val="17"/>
                              <w:szCs w:val="17"/>
                            </w:rPr>
                            <w:t>;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38164A64">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2507F5" w14:paraId="6CA0C98B"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A34ACB" w:rsidP="00A34ACB" w:rsidRDefault="002507F5" w14:paraId="6F60CD2F" w14:textId="793ED2C7">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9F0E14" w:rsidR="009F0E14">
                      <w:rPr>
                        <w:rFonts w:eastAsia="Times New Roman"/>
                        <w:sz w:val="17"/>
                        <w:szCs w:val="17"/>
                      </w:rPr>
                      <w:t>pasts@tm.gov.lv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anchorId="47449BC1" wp14:editId="2E181315">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513BEAC7">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B8332E2" w14:textId="77777777" w:rsidR="00AB4E8A" w:rsidRPr="00C836FF" w:rsidRDefault="002507F5" w:rsidP="00AB4E8A">
    <w:pPr>
      <w:jc w:val="center"/>
      <w:rPr>
        <w:szCs w:val="24"/>
      </w:rPr>
    </w:pPr>
    <w:r w:rsidRPr="00C836FF">
      <w:rPr>
        <w:szCs w:val="24"/>
      </w:rPr>
      <w:t>Rīgā</w:t>
    </w:r>
  </w:p>
  <w:p w14:paraId="4343BE46" w14:textId="77777777" w:rsidR="00AB4E8A" w:rsidRPr="00C836FF" w:rsidRDefault="007C2258"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63747CF" w14:textId="77777777" w:rsidTr="00A6153E">
      <w:tc>
        <w:tcPr>
          <w:tcW w:w="1810" w:type="dxa"/>
        </w:tcPr>
        <w:p w14:paraId="18E769C9" w14:textId="77777777" w:rsidR="00E11DA3" w:rsidRDefault="00035A51" w:rsidP="00E11DA3">
          <w:pPr>
            <w:pStyle w:val="Header"/>
            <w:jc w:val="center"/>
            <w:rPr>
              <w:szCs w:val="24"/>
            </w:rPr>
          </w:pPr>
          <w:r>
            <w:t>10.06.2021</w:t>
          </w:r>
        </w:p>
      </w:tc>
      <w:tc>
        <w:tcPr>
          <w:tcW w:w="420" w:type="dxa"/>
          <w:tcBorders>
            <w:bottom w:val="nil"/>
          </w:tcBorders>
        </w:tcPr>
        <w:p w14:paraId="00D1FC25" w14:textId="77777777" w:rsidR="00E11DA3" w:rsidRDefault="002507F5" w:rsidP="00E11DA3">
          <w:pPr>
            <w:pStyle w:val="Header"/>
            <w:rPr>
              <w:szCs w:val="24"/>
            </w:rPr>
          </w:pPr>
          <w:r>
            <w:rPr>
              <w:szCs w:val="24"/>
            </w:rPr>
            <w:t xml:space="preserve"> Nr.</w:t>
          </w:r>
        </w:p>
      </w:tc>
      <w:tc>
        <w:tcPr>
          <w:tcW w:w="1890" w:type="dxa"/>
        </w:tcPr>
        <w:p w14:paraId="12C2CCCB" w14:textId="77777777" w:rsidR="00E11DA3" w:rsidRDefault="00035A51" w:rsidP="00E11DA3">
          <w:pPr>
            <w:pStyle w:val="Header"/>
            <w:jc w:val="center"/>
            <w:rPr>
              <w:szCs w:val="24"/>
            </w:rPr>
          </w:pPr>
          <w:r>
            <w:t>1-9.1/654</w:t>
          </w:r>
        </w:p>
      </w:tc>
    </w:tr>
  </w:tbl>
  <w:p w14:paraId="21CAC128" w14:textId="77777777" w:rsidR="00AB4E8A" w:rsidRPr="000B1FEC" w:rsidRDefault="007C2258"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31D4"/>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7C36818"/>
    <w:multiLevelType w:val="hybridMultilevel"/>
    <w:tmpl w:val="C00C3FDC"/>
    <w:lvl w:ilvl="0" w:tplc="B1CA1958">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E9556C"/>
    <w:multiLevelType w:val="hybridMultilevel"/>
    <w:tmpl w:val="C852862A"/>
    <w:lvl w:ilvl="0" w:tplc="8502465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D284DFE"/>
    <w:multiLevelType w:val="hybridMultilevel"/>
    <w:tmpl w:val="0B7E50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8014C4"/>
    <w:multiLevelType w:val="hybridMultilevel"/>
    <w:tmpl w:val="C4743E3C"/>
    <w:lvl w:ilvl="0" w:tplc="FB06CDA4">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B028AA"/>
    <w:multiLevelType w:val="hybridMultilevel"/>
    <w:tmpl w:val="F7DA113E"/>
    <w:lvl w:ilvl="0" w:tplc="4A0C43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0ED5D29"/>
    <w:multiLevelType w:val="hybridMultilevel"/>
    <w:tmpl w:val="144AC2E2"/>
    <w:lvl w:ilvl="0" w:tplc="72324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8CE5218"/>
    <w:multiLevelType w:val="hybridMultilevel"/>
    <w:tmpl w:val="A0B239FE"/>
    <w:lvl w:ilvl="0" w:tplc="76D0AF0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C5C3801"/>
    <w:multiLevelType w:val="hybridMultilevel"/>
    <w:tmpl w:val="9BCEC2C4"/>
    <w:lvl w:ilvl="0" w:tplc="6A72F6A4">
      <w:start w:val="1"/>
      <w:numFmt w:val="decimal"/>
      <w:suff w:val="space"/>
      <w:lvlText w:val="%1."/>
      <w:lvlJc w:val="left"/>
      <w:pPr>
        <w:ind w:left="0" w:firstLine="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4E0E306A"/>
    <w:multiLevelType w:val="hybridMultilevel"/>
    <w:tmpl w:val="B712C34C"/>
    <w:lvl w:ilvl="0" w:tplc="944CBD8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1C23B9F"/>
    <w:multiLevelType w:val="hybridMultilevel"/>
    <w:tmpl w:val="F4B2F492"/>
    <w:lvl w:ilvl="0" w:tplc="32565714">
      <w:start w:val="6"/>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49350F3"/>
    <w:multiLevelType w:val="hybridMultilevel"/>
    <w:tmpl w:val="59243572"/>
    <w:lvl w:ilvl="0" w:tplc="7A8CE2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8516F3D"/>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5FAE675E"/>
    <w:multiLevelType w:val="hybridMultilevel"/>
    <w:tmpl w:val="D092EC24"/>
    <w:lvl w:ilvl="0" w:tplc="372874B6">
      <w:start w:val="7"/>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28F5D8B"/>
    <w:multiLevelType w:val="hybridMultilevel"/>
    <w:tmpl w:val="00BA5700"/>
    <w:lvl w:ilvl="0" w:tplc="F0B28A9C">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2CB64BF"/>
    <w:multiLevelType w:val="hybridMultilevel"/>
    <w:tmpl w:val="969A0E9A"/>
    <w:lvl w:ilvl="0" w:tplc="AAE6B6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3A468B1"/>
    <w:multiLevelType w:val="hybridMultilevel"/>
    <w:tmpl w:val="78921B12"/>
    <w:lvl w:ilvl="0" w:tplc="0AFCC21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59A1116"/>
    <w:multiLevelType w:val="hybridMultilevel"/>
    <w:tmpl w:val="348E7D9A"/>
    <w:lvl w:ilvl="0" w:tplc="F1726C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6157670"/>
    <w:multiLevelType w:val="hybridMultilevel"/>
    <w:tmpl w:val="8C2AC04A"/>
    <w:lvl w:ilvl="0" w:tplc="CD0025E8">
      <w:start w:val="1"/>
      <w:numFmt w:val="decimal"/>
      <w:suff w:val="space"/>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63F1F2C"/>
    <w:multiLevelType w:val="hybridMultilevel"/>
    <w:tmpl w:val="AEDEE60C"/>
    <w:lvl w:ilvl="0" w:tplc="EE165D0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6FB46DF"/>
    <w:multiLevelType w:val="hybridMultilevel"/>
    <w:tmpl w:val="7D5EEF5E"/>
    <w:lvl w:ilvl="0" w:tplc="6B5ADD4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F390153"/>
    <w:multiLevelType w:val="hybridMultilevel"/>
    <w:tmpl w:val="B712C34C"/>
    <w:lvl w:ilvl="0" w:tplc="944CBD8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4"/>
  </w:num>
  <w:num w:numId="8">
    <w:abstractNumId w:val="17"/>
  </w:num>
  <w:num w:numId="9">
    <w:abstractNumId w:val="20"/>
  </w:num>
  <w:num w:numId="10">
    <w:abstractNumId w:val="18"/>
  </w:num>
  <w:num w:numId="11">
    <w:abstractNumId w:val="11"/>
  </w:num>
  <w:num w:numId="12">
    <w:abstractNumId w:val="1"/>
  </w:num>
  <w:num w:numId="13">
    <w:abstractNumId w:val="7"/>
  </w:num>
  <w:num w:numId="14">
    <w:abstractNumId w:val="20"/>
    <w:lvlOverride w:ilvl="0">
      <w:lvl w:ilvl="0" w:tplc="6B5ADD40">
        <w:start w:val="1"/>
        <w:numFmt w:val="decimal"/>
        <w:suff w:val="space"/>
        <w:lvlText w:val="%1."/>
        <w:lvlJc w:val="left"/>
        <w:pPr>
          <w:ind w:left="0" w:firstLine="72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15">
    <w:abstractNumId w:val="8"/>
  </w:num>
  <w:num w:numId="16">
    <w:abstractNumId w:val="16"/>
  </w:num>
  <w:num w:numId="17">
    <w:abstractNumId w:val="15"/>
  </w:num>
  <w:num w:numId="18">
    <w:abstractNumId w:val="19"/>
  </w:num>
  <w:num w:numId="19">
    <w:abstractNumId w:val="4"/>
  </w:num>
  <w:num w:numId="20">
    <w:abstractNumId w:val="9"/>
  </w:num>
  <w:num w:numId="21">
    <w:abstractNumId w:val="3"/>
  </w:num>
  <w:num w:numId="22">
    <w:abstractNumId w:val="21"/>
  </w:num>
  <w:num w:numId="23">
    <w:abstractNumId w:val="1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7F5"/>
    <w:rsid w:val="00003C70"/>
    <w:rsid w:val="00007362"/>
    <w:rsid w:val="000100AC"/>
    <w:rsid w:val="00013160"/>
    <w:rsid w:val="0001458C"/>
    <w:rsid w:val="00016D76"/>
    <w:rsid w:val="000230D5"/>
    <w:rsid w:val="000233D7"/>
    <w:rsid w:val="000237AF"/>
    <w:rsid w:val="00033D29"/>
    <w:rsid w:val="00035A51"/>
    <w:rsid w:val="00037BF3"/>
    <w:rsid w:val="00052828"/>
    <w:rsid w:val="00053B99"/>
    <w:rsid w:val="00057DE4"/>
    <w:rsid w:val="00062239"/>
    <w:rsid w:val="000629AC"/>
    <w:rsid w:val="00063633"/>
    <w:rsid w:val="00066A96"/>
    <w:rsid w:val="00073239"/>
    <w:rsid w:val="0007466C"/>
    <w:rsid w:val="000754A2"/>
    <w:rsid w:val="0007732D"/>
    <w:rsid w:val="00095152"/>
    <w:rsid w:val="00095B50"/>
    <w:rsid w:val="000A0735"/>
    <w:rsid w:val="000A4CDD"/>
    <w:rsid w:val="000A74D0"/>
    <w:rsid w:val="000A76C8"/>
    <w:rsid w:val="000A7973"/>
    <w:rsid w:val="000B0F76"/>
    <w:rsid w:val="000B26AE"/>
    <w:rsid w:val="000C32CE"/>
    <w:rsid w:val="000D331A"/>
    <w:rsid w:val="000D638B"/>
    <w:rsid w:val="000D7BFC"/>
    <w:rsid w:val="000E0F16"/>
    <w:rsid w:val="000E1974"/>
    <w:rsid w:val="000E2EE0"/>
    <w:rsid w:val="000F31B3"/>
    <w:rsid w:val="000F5B28"/>
    <w:rsid w:val="000F6360"/>
    <w:rsid w:val="000F7E60"/>
    <w:rsid w:val="001151C9"/>
    <w:rsid w:val="00116D62"/>
    <w:rsid w:val="0011747A"/>
    <w:rsid w:val="00122B0A"/>
    <w:rsid w:val="00131778"/>
    <w:rsid w:val="00133E21"/>
    <w:rsid w:val="001351DD"/>
    <w:rsid w:val="00141D9A"/>
    <w:rsid w:val="00141DF7"/>
    <w:rsid w:val="00144C23"/>
    <w:rsid w:val="0014784C"/>
    <w:rsid w:val="00153684"/>
    <w:rsid w:val="0015499C"/>
    <w:rsid w:val="00161DDB"/>
    <w:rsid w:val="0016288E"/>
    <w:rsid w:val="00162EB6"/>
    <w:rsid w:val="001667E8"/>
    <w:rsid w:val="00170CBE"/>
    <w:rsid w:val="0017547F"/>
    <w:rsid w:val="00176AFB"/>
    <w:rsid w:val="001827B1"/>
    <w:rsid w:val="00186D91"/>
    <w:rsid w:val="001951E3"/>
    <w:rsid w:val="001A0228"/>
    <w:rsid w:val="001A02E4"/>
    <w:rsid w:val="001B068A"/>
    <w:rsid w:val="001B4477"/>
    <w:rsid w:val="001B6C44"/>
    <w:rsid w:val="001C5839"/>
    <w:rsid w:val="001C71C3"/>
    <w:rsid w:val="001D4A9B"/>
    <w:rsid w:val="001E05F8"/>
    <w:rsid w:val="001E3113"/>
    <w:rsid w:val="001E6587"/>
    <w:rsid w:val="001F1946"/>
    <w:rsid w:val="001F43AA"/>
    <w:rsid w:val="00201514"/>
    <w:rsid w:val="00202C35"/>
    <w:rsid w:val="00210CB9"/>
    <w:rsid w:val="002125D5"/>
    <w:rsid w:val="00212D22"/>
    <w:rsid w:val="002153A5"/>
    <w:rsid w:val="002154EF"/>
    <w:rsid w:val="00216169"/>
    <w:rsid w:val="0021617A"/>
    <w:rsid w:val="00217377"/>
    <w:rsid w:val="00225355"/>
    <w:rsid w:val="00232D73"/>
    <w:rsid w:val="00236E3A"/>
    <w:rsid w:val="002507F5"/>
    <w:rsid w:val="00261F05"/>
    <w:rsid w:val="00264D81"/>
    <w:rsid w:val="00266C0A"/>
    <w:rsid w:val="00267F35"/>
    <w:rsid w:val="00272CAF"/>
    <w:rsid w:val="00275D3F"/>
    <w:rsid w:val="00276652"/>
    <w:rsid w:val="00276E41"/>
    <w:rsid w:val="00280EB0"/>
    <w:rsid w:val="002819BC"/>
    <w:rsid w:val="00282165"/>
    <w:rsid w:val="00287CB1"/>
    <w:rsid w:val="00293B1A"/>
    <w:rsid w:val="00295AE7"/>
    <w:rsid w:val="0029733F"/>
    <w:rsid w:val="002A5480"/>
    <w:rsid w:val="002A6DC9"/>
    <w:rsid w:val="002B408B"/>
    <w:rsid w:val="002B40F2"/>
    <w:rsid w:val="002C03C4"/>
    <w:rsid w:val="002C052B"/>
    <w:rsid w:val="002C43EE"/>
    <w:rsid w:val="002C6117"/>
    <w:rsid w:val="002D4065"/>
    <w:rsid w:val="002D55A1"/>
    <w:rsid w:val="002E2D6B"/>
    <w:rsid w:val="002E49D4"/>
    <w:rsid w:val="002E53E4"/>
    <w:rsid w:val="002E591E"/>
    <w:rsid w:val="002E7168"/>
    <w:rsid w:val="002F0BBB"/>
    <w:rsid w:val="002F3C95"/>
    <w:rsid w:val="002F404A"/>
    <w:rsid w:val="002F5014"/>
    <w:rsid w:val="002F6475"/>
    <w:rsid w:val="002F7E12"/>
    <w:rsid w:val="00300C72"/>
    <w:rsid w:val="00304D9E"/>
    <w:rsid w:val="00305E08"/>
    <w:rsid w:val="003152AC"/>
    <w:rsid w:val="00315F96"/>
    <w:rsid w:val="00317942"/>
    <w:rsid w:val="003218EC"/>
    <w:rsid w:val="00324EC9"/>
    <w:rsid w:val="003265F0"/>
    <w:rsid w:val="00327168"/>
    <w:rsid w:val="003272DB"/>
    <w:rsid w:val="00334545"/>
    <w:rsid w:val="00342263"/>
    <w:rsid w:val="00344316"/>
    <w:rsid w:val="0035054E"/>
    <w:rsid w:val="00352A31"/>
    <w:rsid w:val="00357CD6"/>
    <w:rsid w:val="00366855"/>
    <w:rsid w:val="00370087"/>
    <w:rsid w:val="003717EF"/>
    <w:rsid w:val="003718D0"/>
    <w:rsid w:val="00372E9F"/>
    <w:rsid w:val="00374745"/>
    <w:rsid w:val="0037523E"/>
    <w:rsid w:val="00382354"/>
    <w:rsid w:val="0038301C"/>
    <w:rsid w:val="0039077F"/>
    <w:rsid w:val="00392958"/>
    <w:rsid w:val="003942E2"/>
    <w:rsid w:val="003964A8"/>
    <w:rsid w:val="003A7F29"/>
    <w:rsid w:val="003B1635"/>
    <w:rsid w:val="003B2B44"/>
    <w:rsid w:val="003B4859"/>
    <w:rsid w:val="003D489D"/>
    <w:rsid w:val="003E0951"/>
    <w:rsid w:val="003E30CC"/>
    <w:rsid w:val="003F0464"/>
    <w:rsid w:val="003F11B3"/>
    <w:rsid w:val="003F1212"/>
    <w:rsid w:val="003F2956"/>
    <w:rsid w:val="003F3B79"/>
    <w:rsid w:val="003F4B03"/>
    <w:rsid w:val="003F5DEC"/>
    <w:rsid w:val="00401106"/>
    <w:rsid w:val="00403B39"/>
    <w:rsid w:val="004041F6"/>
    <w:rsid w:val="00404519"/>
    <w:rsid w:val="00404F85"/>
    <w:rsid w:val="00405977"/>
    <w:rsid w:val="0040647B"/>
    <w:rsid w:val="00406BE8"/>
    <w:rsid w:val="00406D39"/>
    <w:rsid w:val="00411BDC"/>
    <w:rsid w:val="00416BE6"/>
    <w:rsid w:val="00421FD2"/>
    <w:rsid w:val="00423326"/>
    <w:rsid w:val="00426A58"/>
    <w:rsid w:val="00427305"/>
    <w:rsid w:val="0044006B"/>
    <w:rsid w:val="004434C9"/>
    <w:rsid w:val="00444BDD"/>
    <w:rsid w:val="00450D16"/>
    <w:rsid w:val="00464096"/>
    <w:rsid w:val="004658F2"/>
    <w:rsid w:val="00480E6D"/>
    <w:rsid w:val="00481648"/>
    <w:rsid w:val="004860DD"/>
    <w:rsid w:val="004902C3"/>
    <w:rsid w:val="00491DA2"/>
    <w:rsid w:val="0049542E"/>
    <w:rsid w:val="00496B2A"/>
    <w:rsid w:val="00496B44"/>
    <w:rsid w:val="004A0352"/>
    <w:rsid w:val="004A1E73"/>
    <w:rsid w:val="004A638F"/>
    <w:rsid w:val="004B3586"/>
    <w:rsid w:val="004B77F7"/>
    <w:rsid w:val="004B78D5"/>
    <w:rsid w:val="004C7764"/>
    <w:rsid w:val="004D043D"/>
    <w:rsid w:val="004D370E"/>
    <w:rsid w:val="004E2CA8"/>
    <w:rsid w:val="004F01F0"/>
    <w:rsid w:val="004F06E7"/>
    <w:rsid w:val="004F07C2"/>
    <w:rsid w:val="004F1897"/>
    <w:rsid w:val="004F2BA0"/>
    <w:rsid w:val="004F33AA"/>
    <w:rsid w:val="00503409"/>
    <w:rsid w:val="0050373F"/>
    <w:rsid w:val="00505A96"/>
    <w:rsid w:val="005103FB"/>
    <w:rsid w:val="00510993"/>
    <w:rsid w:val="00515E1F"/>
    <w:rsid w:val="005238D7"/>
    <w:rsid w:val="00527E7E"/>
    <w:rsid w:val="005307ED"/>
    <w:rsid w:val="0053209E"/>
    <w:rsid w:val="00534419"/>
    <w:rsid w:val="00534F13"/>
    <w:rsid w:val="005357B4"/>
    <w:rsid w:val="00536241"/>
    <w:rsid w:val="00540B19"/>
    <w:rsid w:val="00542153"/>
    <w:rsid w:val="00551DF9"/>
    <w:rsid w:val="00560F04"/>
    <w:rsid w:val="00562185"/>
    <w:rsid w:val="00563730"/>
    <w:rsid w:val="00564DAA"/>
    <w:rsid w:val="00565475"/>
    <w:rsid w:val="005723D1"/>
    <w:rsid w:val="00581012"/>
    <w:rsid w:val="00587FDF"/>
    <w:rsid w:val="00590800"/>
    <w:rsid w:val="0059541A"/>
    <w:rsid w:val="00596560"/>
    <w:rsid w:val="005A1039"/>
    <w:rsid w:val="005A33E0"/>
    <w:rsid w:val="005A3731"/>
    <w:rsid w:val="005A7B3F"/>
    <w:rsid w:val="005B1892"/>
    <w:rsid w:val="005B1EDE"/>
    <w:rsid w:val="005B1FD7"/>
    <w:rsid w:val="005C4EC4"/>
    <w:rsid w:val="005C6743"/>
    <w:rsid w:val="005C6F9D"/>
    <w:rsid w:val="005D109F"/>
    <w:rsid w:val="005D75E0"/>
    <w:rsid w:val="005E1911"/>
    <w:rsid w:val="005E46B5"/>
    <w:rsid w:val="005F1FE0"/>
    <w:rsid w:val="005F2B44"/>
    <w:rsid w:val="00601ACF"/>
    <w:rsid w:val="006025FF"/>
    <w:rsid w:val="0060367B"/>
    <w:rsid w:val="0060472D"/>
    <w:rsid w:val="00604C6D"/>
    <w:rsid w:val="00610F60"/>
    <w:rsid w:val="006131B7"/>
    <w:rsid w:val="00614352"/>
    <w:rsid w:val="0062355A"/>
    <w:rsid w:val="00624E97"/>
    <w:rsid w:val="00624FFA"/>
    <w:rsid w:val="00626B1C"/>
    <w:rsid w:val="00637C66"/>
    <w:rsid w:val="00641DC4"/>
    <w:rsid w:val="00644ACD"/>
    <w:rsid w:val="00644BEB"/>
    <w:rsid w:val="0064613C"/>
    <w:rsid w:val="00651E65"/>
    <w:rsid w:val="006520F3"/>
    <w:rsid w:val="006608C9"/>
    <w:rsid w:val="00663032"/>
    <w:rsid w:val="0067452C"/>
    <w:rsid w:val="006762A5"/>
    <w:rsid w:val="0067639B"/>
    <w:rsid w:val="00676B25"/>
    <w:rsid w:val="00692D2F"/>
    <w:rsid w:val="0069684B"/>
    <w:rsid w:val="006A06DB"/>
    <w:rsid w:val="006A0F98"/>
    <w:rsid w:val="006A25AB"/>
    <w:rsid w:val="006A4D1F"/>
    <w:rsid w:val="006A5237"/>
    <w:rsid w:val="006A5CC0"/>
    <w:rsid w:val="006B070B"/>
    <w:rsid w:val="006B0B24"/>
    <w:rsid w:val="006B42E2"/>
    <w:rsid w:val="006B70C2"/>
    <w:rsid w:val="006C2C79"/>
    <w:rsid w:val="006C65AE"/>
    <w:rsid w:val="006C6F63"/>
    <w:rsid w:val="006C7432"/>
    <w:rsid w:val="006E18D8"/>
    <w:rsid w:val="006E70F7"/>
    <w:rsid w:val="006F03EF"/>
    <w:rsid w:val="006F12D8"/>
    <w:rsid w:val="006F2DCE"/>
    <w:rsid w:val="006F71F2"/>
    <w:rsid w:val="007142FD"/>
    <w:rsid w:val="00717079"/>
    <w:rsid w:val="007202AB"/>
    <w:rsid w:val="00720A17"/>
    <w:rsid w:val="007227DD"/>
    <w:rsid w:val="007275FB"/>
    <w:rsid w:val="00727C0F"/>
    <w:rsid w:val="00733FC2"/>
    <w:rsid w:val="00736B73"/>
    <w:rsid w:val="00746760"/>
    <w:rsid w:val="00746F82"/>
    <w:rsid w:val="0075186D"/>
    <w:rsid w:val="00752C83"/>
    <w:rsid w:val="00755E99"/>
    <w:rsid w:val="00757DDA"/>
    <w:rsid w:val="007648F8"/>
    <w:rsid w:val="00764DB9"/>
    <w:rsid w:val="0076511B"/>
    <w:rsid w:val="00765C3C"/>
    <w:rsid w:val="007662AB"/>
    <w:rsid w:val="00766E8B"/>
    <w:rsid w:val="0077125D"/>
    <w:rsid w:val="00781856"/>
    <w:rsid w:val="007911BC"/>
    <w:rsid w:val="00792083"/>
    <w:rsid w:val="0079455C"/>
    <w:rsid w:val="007947EC"/>
    <w:rsid w:val="007A2B3A"/>
    <w:rsid w:val="007A435C"/>
    <w:rsid w:val="007A5D4B"/>
    <w:rsid w:val="007B2EC9"/>
    <w:rsid w:val="007B5252"/>
    <w:rsid w:val="007B562D"/>
    <w:rsid w:val="007B56E7"/>
    <w:rsid w:val="007B6026"/>
    <w:rsid w:val="007C1CE6"/>
    <w:rsid w:val="007C2258"/>
    <w:rsid w:val="007C33E5"/>
    <w:rsid w:val="007C55F7"/>
    <w:rsid w:val="007D188D"/>
    <w:rsid w:val="007D6A84"/>
    <w:rsid w:val="007E2263"/>
    <w:rsid w:val="007E47C4"/>
    <w:rsid w:val="007E4C56"/>
    <w:rsid w:val="007E4E16"/>
    <w:rsid w:val="007E541D"/>
    <w:rsid w:val="007F019E"/>
    <w:rsid w:val="007F5B29"/>
    <w:rsid w:val="007F74A8"/>
    <w:rsid w:val="007F7FE4"/>
    <w:rsid w:val="008025A6"/>
    <w:rsid w:val="008037F1"/>
    <w:rsid w:val="00806BD1"/>
    <w:rsid w:val="00813B48"/>
    <w:rsid w:val="008146C7"/>
    <w:rsid w:val="00821A75"/>
    <w:rsid w:val="00821B16"/>
    <w:rsid w:val="008229B2"/>
    <w:rsid w:val="00822C08"/>
    <w:rsid w:val="0082615D"/>
    <w:rsid w:val="00831595"/>
    <w:rsid w:val="00831FB0"/>
    <w:rsid w:val="00834902"/>
    <w:rsid w:val="0083571A"/>
    <w:rsid w:val="00837011"/>
    <w:rsid w:val="00841386"/>
    <w:rsid w:val="00842077"/>
    <w:rsid w:val="00844AF9"/>
    <w:rsid w:val="008508B4"/>
    <w:rsid w:val="00851E61"/>
    <w:rsid w:val="00852ABD"/>
    <w:rsid w:val="008539AA"/>
    <w:rsid w:val="0085714A"/>
    <w:rsid w:val="00857B69"/>
    <w:rsid w:val="00862B2E"/>
    <w:rsid w:val="008658BB"/>
    <w:rsid w:val="00865971"/>
    <w:rsid w:val="00870E11"/>
    <w:rsid w:val="00871231"/>
    <w:rsid w:val="00871496"/>
    <w:rsid w:val="00872BDB"/>
    <w:rsid w:val="00883237"/>
    <w:rsid w:val="008844E0"/>
    <w:rsid w:val="00885830"/>
    <w:rsid w:val="008878E1"/>
    <w:rsid w:val="00887A60"/>
    <w:rsid w:val="008912D8"/>
    <w:rsid w:val="008919D8"/>
    <w:rsid w:val="00895FE2"/>
    <w:rsid w:val="008A1122"/>
    <w:rsid w:val="008A161A"/>
    <w:rsid w:val="008A3F4D"/>
    <w:rsid w:val="008B20FF"/>
    <w:rsid w:val="008B296F"/>
    <w:rsid w:val="008C3E9A"/>
    <w:rsid w:val="008C7A44"/>
    <w:rsid w:val="008E0F66"/>
    <w:rsid w:val="008E2E34"/>
    <w:rsid w:val="008E58DA"/>
    <w:rsid w:val="008E73EF"/>
    <w:rsid w:val="008F1287"/>
    <w:rsid w:val="009028C6"/>
    <w:rsid w:val="00907593"/>
    <w:rsid w:val="00907DEB"/>
    <w:rsid w:val="00910906"/>
    <w:rsid w:val="009111DA"/>
    <w:rsid w:val="00911D84"/>
    <w:rsid w:val="00912A8B"/>
    <w:rsid w:val="00912ECE"/>
    <w:rsid w:val="00922F4A"/>
    <w:rsid w:val="00932117"/>
    <w:rsid w:val="00937673"/>
    <w:rsid w:val="00937675"/>
    <w:rsid w:val="0094304D"/>
    <w:rsid w:val="009518CA"/>
    <w:rsid w:val="00953436"/>
    <w:rsid w:val="00953592"/>
    <w:rsid w:val="00954D7F"/>
    <w:rsid w:val="00956D0C"/>
    <w:rsid w:val="00963931"/>
    <w:rsid w:val="00965BC3"/>
    <w:rsid w:val="00970BD3"/>
    <w:rsid w:val="00971E1B"/>
    <w:rsid w:val="00974BB6"/>
    <w:rsid w:val="009751BA"/>
    <w:rsid w:val="0098278D"/>
    <w:rsid w:val="009846A8"/>
    <w:rsid w:val="00984792"/>
    <w:rsid w:val="00994E94"/>
    <w:rsid w:val="009A01CC"/>
    <w:rsid w:val="009A4097"/>
    <w:rsid w:val="009A5DC8"/>
    <w:rsid w:val="009A61CB"/>
    <w:rsid w:val="009B53D2"/>
    <w:rsid w:val="009B785E"/>
    <w:rsid w:val="009C2963"/>
    <w:rsid w:val="009C6334"/>
    <w:rsid w:val="009F0E14"/>
    <w:rsid w:val="009F167D"/>
    <w:rsid w:val="009F21CE"/>
    <w:rsid w:val="009F33D3"/>
    <w:rsid w:val="009F41F7"/>
    <w:rsid w:val="009F47E4"/>
    <w:rsid w:val="009F4D5A"/>
    <w:rsid w:val="009F62BD"/>
    <w:rsid w:val="009F768B"/>
    <w:rsid w:val="00A036A5"/>
    <w:rsid w:val="00A103C0"/>
    <w:rsid w:val="00A12725"/>
    <w:rsid w:val="00A139CB"/>
    <w:rsid w:val="00A14717"/>
    <w:rsid w:val="00A1525F"/>
    <w:rsid w:val="00A17907"/>
    <w:rsid w:val="00A20450"/>
    <w:rsid w:val="00A240C3"/>
    <w:rsid w:val="00A27964"/>
    <w:rsid w:val="00A3636B"/>
    <w:rsid w:val="00A363ED"/>
    <w:rsid w:val="00A41BBF"/>
    <w:rsid w:val="00A41EB4"/>
    <w:rsid w:val="00A4259A"/>
    <w:rsid w:val="00A443D8"/>
    <w:rsid w:val="00A44A53"/>
    <w:rsid w:val="00A46CF8"/>
    <w:rsid w:val="00A503B8"/>
    <w:rsid w:val="00A54F72"/>
    <w:rsid w:val="00A55F5D"/>
    <w:rsid w:val="00A57E53"/>
    <w:rsid w:val="00A651F7"/>
    <w:rsid w:val="00A70645"/>
    <w:rsid w:val="00A72535"/>
    <w:rsid w:val="00A75CF9"/>
    <w:rsid w:val="00A81428"/>
    <w:rsid w:val="00A82DDD"/>
    <w:rsid w:val="00A84EC6"/>
    <w:rsid w:val="00A951A9"/>
    <w:rsid w:val="00A95F33"/>
    <w:rsid w:val="00AA257A"/>
    <w:rsid w:val="00AA5127"/>
    <w:rsid w:val="00AA51C4"/>
    <w:rsid w:val="00AB6E25"/>
    <w:rsid w:val="00AC52D2"/>
    <w:rsid w:val="00AD3D9E"/>
    <w:rsid w:val="00AD6D0D"/>
    <w:rsid w:val="00AE006C"/>
    <w:rsid w:val="00AE0B72"/>
    <w:rsid w:val="00AE1A8E"/>
    <w:rsid w:val="00AE33AB"/>
    <w:rsid w:val="00AF1629"/>
    <w:rsid w:val="00AF303C"/>
    <w:rsid w:val="00AF6A52"/>
    <w:rsid w:val="00AF6E21"/>
    <w:rsid w:val="00B0356E"/>
    <w:rsid w:val="00B04263"/>
    <w:rsid w:val="00B11F80"/>
    <w:rsid w:val="00B12B38"/>
    <w:rsid w:val="00B13EDE"/>
    <w:rsid w:val="00B15775"/>
    <w:rsid w:val="00B17B0D"/>
    <w:rsid w:val="00B21B96"/>
    <w:rsid w:val="00B2229F"/>
    <w:rsid w:val="00B2259E"/>
    <w:rsid w:val="00B22A2B"/>
    <w:rsid w:val="00B27C06"/>
    <w:rsid w:val="00B32908"/>
    <w:rsid w:val="00B349CB"/>
    <w:rsid w:val="00B34CB2"/>
    <w:rsid w:val="00B35915"/>
    <w:rsid w:val="00B40223"/>
    <w:rsid w:val="00B47CF3"/>
    <w:rsid w:val="00B5045E"/>
    <w:rsid w:val="00B53AF8"/>
    <w:rsid w:val="00B56200"/>
    <w:rsid w:val="00B569AB"/>
    <w:rsid w:val="00B6388B"/>
    <w:rsid w:val="00B653F3"/>
    <w:rsid w:val="00B7414D"/>
    <w:rsid w:val="00B81B3B"/>
    <w:rsid w:val="00B83DB3"/>
    <w:rsid w:val="00B87629"/>
    <w:rsid w:val="00BA1FBE"/>
    <w:rsid w:val="00BA4038"/>
    <w:rsid w:val="00BA42CB"/>
    <w:rsid w:val="00BA43EB"/>
    <w:rsid w:val="00BA6CF8"/>
    <w:rsid w:val="00BC1525"/>
    <w:rsid w:val="00BC1696"/>
    <w:rsid w:val="00BC4468"/>
    <w:rsid w:val="00BC4E8F"/>
    <w:rsid w:val="00BC6FD6"/>
    <w:rsid w:val="00BD14AF"/>
    <w:rsid w:val="00BD75EB"/>
    <w:rsid w:val="00BE7DD2"/>
    <w:rsid w:val="00C11A5D"/>
    <w:rsid w:val="00C203D6"/>
    <w:rsid w:val="00C20432"/>
    <w:rsid w:val="00C36909"/>
    <w:rsid w:val="00C408BB"/>
    <w:rsid w:val="00C40D5B"/>
    <w:rsid w:val="00C41FE2"/>
    <w:rsid w:val="00C46495"/>
    <w:rsid w:val="00C476D6"/>
    <w:rsid w:val="00C52563"/>
    <w:rsid w:val="00C543C8"/>
    <w:rsid w:val="00C5452A"/>
    <w:rsid w:val="00C562AF"/>
    <w:rsid w:val="00C637EA"/>
    <w:rsid w:val="00C66A0D"/>
    <w:rsid w:val="00C72572"/>
    <w:rsid w:val="00C76710"/>
    <w:rsid w:val="00C778DC"/>
    <w:rsid w:val="00C85B02"/>
    <w:rsid w:val="00C92D9B"/>
    <w:rsid w:val="00C93B09"/>
    <w:rsid w:val="00C9623B"/>
    <w:rsid w:val="00C96332"/>
    <w:rsid w:val="00CA1A9A"/>
    <w:rsid w:val="00CA7205"/>
    <w:rsid w:val="00CB0437"/>
    <w:rsid w:val="00CB14E9"/>
    <w:rsid w:val="00CB3D18"/>
    <w:rsid w:val="00CB4066"/>
    <w:rsid w:val="00CC0F87"/>
    <w:rsid w:val="00CC1888"/>
    <w:rsid w:val="00CC481A"/>
    <w:rsid w:val="00CC4E9D"/>
    <w:rsid w:val="00CC60E7"/>
    <w:rsid w:val="00CD2E12"/>
    <w:rsid w:val="00CD5235"/>
    <w:rsid w:val="00CE1B4A"/>
    <w:rsid w:val="00CE5A6B"/>
    <w:rsid w:val="00CF2A12"/>
    <w:rsid w:val="00D01D0E"/>
    <w:rsid w:val="00D079C4"/>
    <w:rsid w:val="00D12CC9"/>
    <w:rsid w:val="00D17E22"/>
    <w:rsid w:val="00D210BB"/>
    <w:rsid w:val="00D23D63"/>
    <w:rsid w:val="00D2678F"/>
    <w:rsid w:val="00D27A66"/>
    <w:rsid w:val="00D33918"/>
    <w:rsid w:val="00D3417A"/>
    <w:rsid w:val="00D34BB1"/>
    <w:rsid w:val="00D3787B"/>
    <w:rsid w:val="00D418AA"/>
    <w:rsid w:val="00D44750"/>
    <w:rsid w:val="00D47193"/>
    <w:rsid w:val="00D52C95"/>
    <w:rsid w:val="00D57140"/>
    <w:rsid w:val="00D63BA0"/>
    <w:rsid w:val="00D65F80"/>
    <w:rsid w:val="00D66642"/>
    <w:rsid w:val="00D66CCD"/>
    <w:rsid w:val="00D67769"/>
    <w:rsid w:val="00D703FE"/>
    <w:rsid w:val="00D745E7"/>
    <w:rsid w:val="00D755FE"/>
    <w:rsid w:val="00D80640"/>
    <w:rsid w:val="00D80ED6"/>
    <w:rsid w:val="00D90DA4"/>
    <w:rsid w:val="00D91C57"/>
    <w:rsid w:val="00D91C91"/>
    <w:rsid w:val="00D92AE1"/>
    <w:rsid w:val="00D951C3"/>
    <w:rsid w:val="00D965B2"/>
    <w:rsid w:val="00D96C22"/>
    <w:rsid w:val="00D97FAD"/>
    <w:rsid w:val="00DA1780"/>
    <w:rsid w:val="00DA458C"/>
    <w:rsid w:val="00DB4D3D"/>
    <w:rsid w:val="00DB55BF"/>
    <w:rsid w:val="00DC1437"/>
    <w:rsid w:val="00DC6792"/>
    <w:rsid w:val="00DC6CF5"/>
    <w:rsid w:val="00DD0DE7"/>
    <w:rsid w:val="00DD318B"/>
    <w:rsid w:val="00DE05CD"/>
    <w:rsid w:val="00DE4562"/>
    <w:rsid w:val="00DE791C"/>
    <w:rsid w:val="00DF3663"/>
    <w:rsid w:val="00DF4A7C"/>
    <w:rsid w:val="00E05FC7"/>
    <w:rsid w:val="00E07920"/>
    <w:rsid w:val="00E10438"/>
    <w:rsid w:val="00E124C2"/>
    <w:rsid w:val="00E219F9"/>
    <w:rsid w:val="00E24344"/>
    <w:rsid w:val="00E30D16"/>
    <w:rsid w:val="00E310C5"/>
    <w:rsid w:val="00E33298"/>
    <w:rsid w:val="00E33509"/>
    <w:rsid w:val="00E3411B"/>
    <w:rsid w:val="00E3499F"/>
    <w:rsid w:val="00E35A91"/>
    <w:rsid w:val="00E3797B"/>
    <w:rsid w:val="00E41C0A"/>
    <w:rsid w:val="00E450AE"/>
    <w:rsid w:val="00E453A7"/>
    <w:rsid w:val="00E46C3E"/>
    <w:rsid w:val="00E470CD"/>
    <w:rsid w:val="00E515E0"/>
    <w:rsid w:val="00E53123"/>
    <w:rsid w:val="00E6054F"/>
    <w:rsid w:val="00E61D22"/>
    <w:rsid w:val="00E670DB"/>
    <w:rsid w:val="00E70C04"/>
    <w:rsid w:val="00E72ADB"/>
    <w:rsid w:val="00E72BA9"/>
    <w:rsid w:val="00E833D2"/>
    <w:rsid w:val="00E918A5"/>
    <w:rsid w:val="00E97B89"/>
    <w:rsid w:val="00EA01BF"/>
    <w:rsid w:val="00EA090F"/>
    <w:rsid w:val="00EA3B64"/>
    <w:rsid w:val="00EA7489"/>
    <w:rsid w:val="00EA782A"/>
    <w:rsid w:val="00EB28DB"/>
    <w:rsid w:val="00EC32A4"/>
    <w:rsid w:val="00EC3895"/>
    <w:rsid w:val="00ED78D2"/>
    <w:rsid w:val="00EE1454"/>
    <w:rsid w:val="00EE183D"/>
    <w:rsid w:val="00EE2E31"/>
    <w:rsid w:val="00EF6D5D"/>
    <w:rsid w:val="00F02BB1"/>
    <w:rsid w:val="00F035A4"/>
    <w:rsid w:val="00F05D69"/>
    <w:rsid w:val="00F11403"/>
    <w:rsid w:val="00F13951"/>
    <w:rsid w:val="00F14472"/>
    <w:rsid w:val="00F204BE"/>
    <w:rsid w:val="00F2117C"/>
    <w:rsid w:val="00F23E65"/>
    <w:rsid w:val="00F3711D"/>
    <w:rsid w:val="00F37B07"/>
    <w:rsid w:val="00F43BCF"/>
    <w:rsid w:val="00F44CC3"/>
    <w:rsid w:val="00F475B3"/>
    <w:rsid w:val="00F52579"/>
    <w:rsid w:val="00F57BFA"/>
    <w:rsid w:val="00F61699"/>
    <w:rsid w:val="00F667E1"/>
    <w:rsid w:val="00F713E3"/>
    <w:rsid w:val="00F71DDF"/>
    <w:rsid w:val="00F71EA1"/>
    <w:rsid w:val="00F7364C"/>
    <w:rsid w:val="00F8204B"/>
    <w:rsid w:val="00F82CD1"/>
    <w:rsid w:val="00F86BF5"/>
    <w:rsid w:val="00F90144"/>
    <w:rsid w:val="00F94010"/>
    <w:rsid w:val="00F94736"/>
    <w:rsid w:val="00F97362"/>
    <w:rsid w:val="00F97E5B"/>
    <w:rsid w:val="00FA0E3E"/>
    <w:rsid w:val="00FA29F8"/>
    <w:rsid w:val="00FA2BC3"/>
    <w:rsid w:val="00FA46DC"/>
    <w:rsid w:val="00FB2F88"/>
    <w:rsid w:val="00FC46A6"/>
    <w:rsid w:val="00FC50E5"/>
    <w:rsid w:val="00FC61B3"/>
    <w:rsid w:val="00FD10E8"/>
    <w:rsid w:val="00FD24BF"/>
    <w:rsid w:val="00FD7E02"/>
    <w:rsid w:val="00FE1E5B"/>
    <w:rsid w:val="00FE2B07"/>
    <w:rsid w:val="00FE3524"/>
    <w:rsid w:val="00FE5E98"/>
    <w:rsid w:val="00FE601D"/>
    <w:rsid w:val="00FF3693"/>
    <w:rsid w:val="00FF4B8F"/>
    <w:rsid w:val="00FF6BDF"/>
    <w:rsid w:val="00FF7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39D9F8"/>
  <w15:chartTrackingRefBased/>
  <w15:docId w15:val="{3BCB51DA-B0CF-4DCE-BFD5-8BEF5ED26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F5"/>
    <w:pPr>
      <w:widowControl w:val="0"/>
      <w:spacing w:after="0" w:line="240" w:lineRule="auto"/>
      <w:jc w:val="both"/>
    </w:pPr>
    <w:rPr>
      <w:rFonts w:ascii="Times New Roman" w:eastAsia="Calibri" w:hAnsi="Times New Roman" w:cs="Times New Roman"/>
      <w:sz w:val="24"/>
    </w:rPr>
  </w:style>
  <w:style w:type="paragraph" w:styleId="Heading3">
    <w:name w:val="heading 3"/>
    <w:basedOn w:val="Normal"/>
    <w:link w:val="Heading3Char"/>
    <w:uiPriority w:val="99"/>
    <w:unhideWhenUsed/>
    <w:qFormat/>
    <w:rsid w:val="002507F5"/>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507F5"/>
    <w:rPr>
      <w:rFonts w:ascii="Times New Roman" w:eastAsia="Times New Roman" w:hAnsi="Times New Roman" w:cs="Times New Roman"/>
      <w:b/>
      <w:bCs/>
      <w:sz w:val="27"/>
      <w:szCs w:val="27"/>
      <w:lang w:eastAsia="lv-LV"/>
    </w:rPr>
  </w:style>
  <w:style w:type="paragraph" w:styleId="Header">
    <w:name w:val="header"/>
    <w:basedOn w:val="Normal"/>
    <w:link w:val="HeaderChar"/>
    <w:unhideWhenUsed/>
    <w:rsid w:val="002507F5"/>
    <w:pPr>
      <w:tabs>
        <w:tab w:val="center" w:pos="4320"/>
        <w:tab w:val="right" w:pos="8640"/>
      </w:tabs>
    </w:pPr>
  </w:style>
  <w:style w:type="character" w:customStyle="1" w:styleId="HeaderChar">
    <w:name w:val="Header Char"/>
    <w:basedOn w:val="DefaultParagraphFont"/>
    <w:link w:val="Header"/>
    <w:rsid w:val="002507F5"/>
    <w:rPr>
      <w:rFonts w:ascii="Times New Roman" w:eastAsia="Calibri" w:hAnsi="Times New Roman" w:cs="Times New Roman"/>
      <w:sz w:val="24"/>
    </w:rPr>
  </w:style>
  <w:style w:type="table" w:styleId="TableGrid">
    <w:name w:val="Table Grid"/>
    <w:basedOn w:val="TableNormal"/>
    <w:uiPriority w:val="59"/>
    <w:rsid w:val="002507F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07F5"/>
    <w:rPr>
      <w:color w:val="0000FF"/>
      <w:u w:val="single"/>
    </w:rPr>
  </w:style>
  <w:style w:type="paragraph" w:styleId="NoSpacing">
    <w:name w:val="No Spacing"/>
    <w:basedOn w:val="Normal"/>
    <w:next w:val="Normal"/>
    <w:uiPriority w:val="1"/>
    <w:qFormat/>
    <w:rsid w:val="002507F5"/>
  </w:style>
  <w:style w:type="paragraph" w:styleId="NormalWeb">
    <w:name w:val="Normal (Web)"/>
    <w:basedOn w:val="Normal"/>
    <w:uiPriority w:val="99"/>
    <w:unhideWhenUsed/>
    <w:rsid w:val="002507F5"/>
    <w:pPr>
      <w:widowControl/>
      <w:spacing w:before="75" w:after="75"/>
      <w:jc w:val="left"/>
    </w:pPr>
    <w:rPr>
      <w:rFonts w:eastAsia="Times New Roman"/>
      <w:szCs w:val="24"/>
      <w:lang w:eastAsia="lv-LV"/>
    </w:rPr>
  </w:style>
  <w:style w:type="paragraph" w:styleId="ListParagraph">
    <w:name w:val="List Paragraph"/>
    <w:basedOn w:val="Normal"/>
    <w:uiPriority w:val="34"/>
    <w:qFormat/>
    <w:rsid w:val="002507F5"/>
    <w:pPr>
      <w:ind w:left="720"/>
      <w:contextualSpacing/>
    </w:pPr>
  </w:style>
  <w:style w:type="paragraph" w:styleId="Footer">
    <w:name w:val="footer"/>
    <w:basedOn w:val="Normal"/>
    <w:link w:val="FooterChar"/>
    <w:uiPriority w:val="99"/>
    <w:unhideWhenUsed/>
    <w:rsid w:val="002507F5"/>
    <w:pPr>
      <w:tabs>
        <w:tab w:val="center" w:pos="4153"/>
        <w:tab w:val="right" w:pos="8306"/>
      </w:tabs>
    </w:pPr>
  </w:style>
  <w:style w:type="character" w:customStyle="1" w:styleId="FooterChar">
    <w:name w:val="Footer Char"/>
    <w:basedOn w:val="DefaultParagraphFont"/>
    <w:link w:val="Footer"/>
    <w:uiPriority w:val="99"/>
    <w:rsid w:val="002507F5"/>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7B56E7"/>
    <w:rPr>
      <w:color w:val="605E5C"/>
      <w:shd w:val="clear" w:color="auto" w:fill="E1DFDD"/>
    </w:rPr>
  </w:style>
  <w:style w:type="paragraph" w:styleId="FootnoteText">
    <w:name w:val="footnote text"/>
    <w:basedOn w:val="Normal"/>
    <w:link w:val="FootnoteTextChar"/>
    <w:uiPriority w:val="99"/>
    <w:semiHidden/>
    <w:unhideWhenUsed/>
    <w:rsid w:val="006A25AB"/>
    <w:rPr>
      <w:sz w:val="20"/>
      <w:szCs w:val="20"/>
    </w:rPr>
  </w:style>
  <w:style w:type="character" w:customStyle="1" w:styleId="FootnoteTextChar">
    <w:name w:val="Footnote Text Char"/>
    <w:basedOn w:val="DefaultParagraphFont"/>
    <w:link w:val="FootnoteText"/>
    <w:uiPriority w:val="99"/>
    <w:semiHidden/>
    <w:rsid w:val="006A25AB"/>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A25AB"/>
    <w:rPr>
      <w:vertAlign w:val="superscript"/>
    </w:rPr>
  </w:style>
  <w:style w:type="character" w:styleId="CommentReference">
    <w:name w:val="annotation reference"/>
    <w:basedOn w:val="DefaultParagraphFont"/>
    <w:uiPriority w:val="99"/>
    <w:semiHidden/>
    <w:unhideWhenUsed/>
    <w:rsid w:val="00E918A5"/>
    <w:rPr>
      <w:sz w:val="16"/>
      <w:szCs w:val="16"/>
    </w:rPr>
  </w:style>
  <w:style w:type="paragraph" w:styleId="CommentText">
    <w:name w:val="annotation text"/>
    <w:basedOn w:val="Normal"/>
    <w:link w:val="CommentTextChar"/>
    <w:uiPriority w:val="99"/>
    <w:semiHidden/>
    <w:unhideWhenUsed/>
    <w:rsid w:val="00E918A5"/>
    <w:rPr>
      <w:sz w:val="20"/>
      <w:szCs w:val="20"/>
    </w:rPr>
  </w:style>
  <w:style w:type="character" w:customStyle="1" w:styleId="CommentTextChar">
    <w:name w:val="Comment Text Char"/>
    <w:basedOn w:val="DefaultParagraphFont"/>
    <w:link w:val="CommentText"/>
    <w:uiPriority w:val="99"/>
    <w:semiHidden/>
    <w:rsid w:val="00E918A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18A5"/>
    <w:rPr>
      <w:b/>
      <w:bCs/>
    </w:rPr>
  </w:style>
  <w:style w:type="character" w:customStyle="1" w:styleId="CommentSubjectChar">
    <w:name w:val="Comment Subject Char"/>
    <w:basedOn w:val="CommentTextChar"/>
    <w:link w:val="CommentSubject"/>
    <w:uiPriority w:val="99"/>
    <w:semiHidden/>
    <w:rsid w:val="00E918A5"/>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E918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8A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70268">
      <w:bodyDiv w:val="1"/>
      <w:marLeft w:val="0"/>
      <w:marRight w:val="0"/>
      <w:marTop w:val="0"/>
      <w:marBottom w:val="0"/>
      <w:divBdr>
        <w:top w:val="none" w:sz="0" w:space="0" w:color="auto"/>
        <w:left w:val="none" w:sz="0" w:space="0" w:color="auto"/>
        <w:bottom w:val="none" w:sz="0" w:space="0" w:color="auto"/>
        <w:right w:val="none" w:sz="0" w:space="0" w:color="auto"/>
      </w:divBdr>
      <w:divsChild>
        <w:div w:id="771052760">
          <w:marLeft w:val="0"/>
          <w:marRight w:val="0"/>
          <w:marTop w:val="0"/>
          <w:marBottom w:val="0"/>
          <w:divBdr>
            <w:top w:val="none" w:sz="0" w:space="0" w:color="auto"/>
            <w:left w:val="none" w:sz="0" w:space="0" w:color="auto"/>
            <w:bottom w:val="none" w:sz="0" w:space="0" w:color="auto"/>
            <w:right w:val="none" w:sz="0" w:space="0" w:color="auto"/>
          </w:divBdr>
          <w:divsChild>
            <w:div w:id="1433669104">
              <w:marLeft w:val="0"/>
              <w:marRight w:val="0"/>
              <w:marTop w:val="0"/>
              <w:marBottom w:val="0"/>
              <w:divBdr>
                <w:top w:val="none" w:sz="0" w:space="0" w:color="auto"/>
                <w:left w:val="none" w:sz="0" w:space="0" w:color="auto"/>
                <w:bottom w:val="none" w:sz="0" w:space="0" w:color="auto"/>
                <w:right w:val="none" w:sz="0" w:space="0" w:color="auto"/>
              </w:divBdr>
              <w:divsChild>
                <w:div w:id="1069428111">
                  <w:marLeft w:val="0"/>
                  <w:marRight w:val="0"/>
                  <w:marTop w:val="0"/>
                  <w:marBottom w:val="0"/>
                  <w:divBdr>
                    <w:top w:val="none" w:sz="0" w:space="0" w:color="auto"/>
                    <w:left w:val="none" w:sz="0" w:space="0" w:color="auto"/>
                    <w:bottom w:val="none" w:sz="0" w:space="0" w:color="auto"/>
                    <w:right w:val="none" w:sz="0" w:space="0" w:color="auto"/>
                  </w:divBdr>
                  <w:divsChild>
                    <w:div w:id="1163083832">
                      <w:marLeft w:val="0"/>
                      <w:marRight w:val="0"/>
                      <w:marTop w:val="0"/>
                      <w:marBottom w:val="0"/>
                      <w:divBdr>
                        <w:top w:val="none" w:sz="0" w:space="0" w:color="auto"/>
                        <w:left w:val="none" w:sz="0" w:space="0" w:color="auto"/>
                        <w:bottom w:val="none" w:sz="0" w:space="0" w:color="auto"/>
                        <w:right w:val="none" w:sz="0" w:space="0" w:color="auto"/>
                      </w:divBdr>
                      <w:divsChild>
                        <w:div w:id="1193691546">
                          <w:marLeft w:val="0"/>
                          <w:marRight w:val="0"/>
                          <w:marTop w:val="0"/>
                          <w:marBottom w:val="0"/>
                          <w:divBdr>
                            <w:top w:val="none" w:sz="0" w:space="0" w:color="auto"/>
                            <w:left w:val="none" w:sz="0" w:space="0" w:color="auto"/>
                            <w:bottom w:val="none" w:sz="0" w:space="0" w:color="auto"/>
                            <w:right w:val="none" w:sz="0" w:space="0" w:color="auto"/>
                          </w:divBdr>
                          <w:divsChild>
                            <w:div w:id="131853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79519">
      <w:bodyDiv w:val="1"/>
      <w:marLeft w:val="0"/>
      <w:marRight w:val="0"/>
      <w:marTop w:val="0"/>
      <w:marBottom w:val="0"/>
      <w:divBdr>
        <w:top w:val="none" w:sz="0" w:space="0" w:color="auto"/>
        <w:left w:val="none" w:sz="0" w:space="0" w:color="auto"/>
        <w:bottom w:val="none" w:sz="0" w:space="0" w:color="auto"/>
        <w:right w:val="none" w:sz="0" w:space="0" w:color="auto"/>
      </w:divBdr>
    </w:div>
    <w:div w:id="820119562">
      <w:bodyDiv w:val="1"/>
      <w:marLeft w:val="0"/>
      <w:marRight w:val="0"/>
      <w:marTop w:val="0"/>
      <w:marBottom w:val="0"/>
      <w:divBdr>
        <w:top w:val="none" w:sz="0" w:space="0" w:color="auto"/>
        <w:left w:val="none" w:sz="0" w:space="0" w:color="auto"/>
        <w:bottom w:val="none" w:sz="0" w:space="0" w:color="auto"/>
        <w:right w:val="none" w:sz="0" w:space="0" w:color="auto"/>
      </w:divBdr>
    </w:div>
    <w:div w:id="836771215">
      <w:bodyDiv w:val="1"/>
      <w:marLeft w:val="0"/>
      <w:marRight w:val="0"/>
      <w:marTop w:val="0"/>
      <w:marBottom w:val="0"/>
      <w:divBdr>
        <w:top w:val="none" w:sz="0" w:space="0" w:color="auto"/>
        <w:left w:val="none" w:sz="0" w:space="0" w:color="auto"/>
        <w:bottom w:val="none" w:sz="0" w:space="0" w:color="auto"/>
        <w:right w:val="none" w:sz="0" w:space="0" w:color="auto"/>
      </w:divBdr>
    </w:div>
    <w:div w:id="1168981023">
      <w:bodyDiv w:val="1"/>
      <w:marLeft w:val="0"/>
      <w:marRight w:val="0"/>
      <w:marTop w:val="0"/>
      <w:marBottom w:val="0"/>
      <w:divBdr>
        <w:top w:val="none" w:sz="0" w:space="0" w:color="auto"/>
        <w:left w:val="none" w:sz="0" w:space="0" w:color="auto"/>
        <w:bottom w:val="none" w:sz="0" w:space="0" w:color="auto"/>
        <w:right w:val="none" w:sz="0" w:space="0" w:color="auto"/>
      </w:divBdr>
    </w:div>
    <w:div w:id="1172406081">
      <w:bodyDiv w:val="1"/>
      <w:marLeft w:val="0"/>
      <w:marRight w:val="0"/>
      <w:marTop w:val="0"/>
      <w:marBottom w:val="0"/>
      <w:divBdr>
        <w:top w:val="none" w:sz="0" w:space="0" w:color="auto"/>
        <w:left w:val="none" w:sz="0" w:space="0" w:color="auto"/>
        <w:bottom w:val="none" w:sz="0" w:space="0" w:color="auto"/>
        <w:right w:val="none" w:sz="0" w:space="0" w:color="auto"/>
      </w:divBdr>
    </w:div>
    <w:div w:id="1279605478">
      <w:bodyDiv w:val="1"/>
      <w:marLeft w:val="0"/>
      <w:marRight w:val="0"/>
      <w:marTop w:val="0"/>
      <w:marBottom w:val="0"/>
      <w:divBdr>
        <w:top w:val="none" w:sz="0" w:space="0" w:color="auto"/>
        <w:left w:val="none" w:sz="0" w:space="0" w:color="auto"/>
        <w:bottom w:val="none" w:sz="0" w:space="0" w:color="auto"/>
        <w:right w:val="none" w:sz="0" w:space="0" w:color="auto"/>
      </w:divBdr>
    </w:div>
    <w:div w:id="1612587888">
      <w:bodyDiv w:val="1"/>
      <w:marLeft w:val="0"/>
      <w:marRight w:val="0"/>
      <w:marTop w:val="0"/>
      <w:marBottom w:val="0"/>
      <w:divBdr>
        <w:top w:val="none" w:sz="0" w:space="0" w:color="auto"/>
        <w:left w:val="none" w:sz="0" w:space="0" w:color="auto"/>
        <w:bottom w:val="none" w:sz="0" w:space="0" w:color="auto"/>
        <w:right w:val="none" w:sz="0" w:space="0" w:color="auto"/>
      </w:divBdr>
    </w:div>
    <w:div w:id="1915628779">
      <w:bodyDiv w:val="1"/>
      <w:marLeft w:val="0"/>
      <w:marRight w:val="0"/>
      <w:marTop w:val="0"/>
      <w:marBottom w:val="0"/>
      <w:divBdr>
        <w:top w:val="none" w:sz="0" w:space="0" w:color="auto"/>
        <w:left w:val="none" w:sz="0" w:space="0" w:color="auto"/>
        <w:bottom w:val="none" w:sz="0" w:space="0" w:color="auto"/>
        <w:right w:val="none" w:sz="0" w:space="0" w:color="auto"/>
      </w:divBdr>
    </w:div>
    <w:div w:id="1926449379">
      <w:bodyDiv w:val="1"/>
      <w:marLeft w:val="0"/>
      <w:marRight w:val="0"/>
      <w:marTop w:val="0"/>
      <w:marBottom w:val="0"/>
      <w:divBdr>
        <w:top w:val="none" w:sz="0" w:space="0" w:color="auto"/>
        <w:left w:val="none" w:sz="0" w:space="0" w:color="auto"/>
        <w:bottom w:val="none" w:sz="0" w:space="0" w:color="auto"/>
        <w:right w:val="none" w:sz="0" w:space="0" w:color="auto"/>
      </w:divBdr>
    </w:div>
    <w:div w:id="20084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va.Deksne@t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2" ma:contentTypeDescription="Create a new document." ma:contentTypeScope="" ma:versionID="dae50f4f569373d209ad48ac5c6dc454">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65a76e89386c469aa1f88f2c156bf8f7"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107A0-A7DC-47E5-B464-68DBD8A8CE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35D53A-8C35-4239-9A33-A45AEA1E25DE}">
  <ds:schemaRefs>
    <ds:schemaRef ds:uri="http://schemas.openxmlformats.org/officeDocument/2006/bibliography"/>
  </ds:schemaRefs>
</ds:datastoreItem>
</file>

<file path=customXml/itemProps3.xml><?xml version="1.0" encoding="utf-8"?>
<ds:datastoreItem xmlns:ds="http://schemas.openxmlformats.org/officeDocument/2006/customXml" ds:itemID="{F4400B1D-9503-45AB-AC3D-ABB2A6E0409C}">
  <ds:schemaRefs>
    <ds:schemaRef ds:uri="http://schemas.microsoft.com/sharepoint/v3/contenttype/forms"/>
  </ds:schemaRefs>
</ds:datastoreItem>
</file>

<file path=customXml/itemProps4.xml><?xml version="1.0" encoding="utf-8"?>
<ds:datastoreItem xmlns:ds="http://schemas.openxmlformats.org/officeDocument/2006/customXml" ds:itemID="{AEBCBE3F-632F-4BD0-AA38-ACD254BA9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1</Pages>
  <Words>17060</Words>
  <Characters>9725</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konceptuālā ziņojuma "Par nepieciešamajām izmaiņām tiesiskajā regulējumā Rail Baltica projekta īstenošanas paātrināšanai" projektu</vt:lpstr>
      <vt:lpstr>Atzinums par konceptuālā ziņojuma "Par nepieciešamajām izmaiņām tiesiskajā regulējumā Rail Baltica projekta īstenošanas paātrināšanai" projektu</vt:lpstr>
    </vt:vector>
  </TitlesOfParts>
  <Company>Tieslietu ministrija</Company>
  <LinksUpToDate>false</LinksUpToDate>
  <CharactersWithSpaces>26732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konceptuālā ziņojuma "Par nepieciešamajām izmaiņām tiesiskajā regulējumā Rail Baltica projekta īstenošanas paātrināšanai" projektu</dc:title>
  <dc:subject>Atzinums</dc:subject>
  <dc:creator>Ieva Deksne</dc:creator>
  <cp:keywords/>
  <dc:description/>
  <cp:lastModifiedBy>Zane Valtere</cp:lastModifiedBy>
  <cp:revision>196</cp:revision>
  <cp:lastPrinted>2019-09-05T06:37:00Z</cp:lastPrinted>
  <dcterms:created xsi:type="dcterms:W3CDTF">2021-06-07T17:21:00Z</dcterms:created>
  <dcterms:modified xsi:type="dcterms:W3CDTF">2021-08-04T12:53:00Z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