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2D8EA" w14:textId="5C221A62" w:rsidR="00094180" w:rsidRDefault="00094180" w:rsidP="009708BB">
      <w:pPr>
        <w:pStyle w:val="H2"/>
        <w:tabs>
          <w:tab w:val="center" w:pos="4535"/>
          <w:tab w:val="left" w:pos="8250"/>
        </w:tabs>
        <w:spacing w:after="360"/>
      </w:pPr>
      <w:r w:rsidRPr="00DD3C60">
        <w:t xml:space="preserve">5.3. </w:t>
      </w:r>
      <w:bookmarkStart w:id="0" w:name="_Hlk84663571"/>
      <w:r w:rsidR="00902810" w:rsidRPr="00902810">
        <w:t>Izdevumu politikas virzienu un izdevumu atbilstoši funkcionālajām un ekonomiskajām kategorijām kopsavilkums</w:t>
      </w:r>
      <w:bookmarkEnd w:id="0"/>
    </w:p>
    <w:p w14:paraId="26BF4C15" w14:textId="6914CABA" w:rsidR="00C15687" w:rsidRDefault="00C15687" w:rsidP="00C15687">
      <w:pPr>
        <w:spacing w:after="0"/>
        <w:ind w:firstLine="720"/>
      </w:pPr>
      <w:r w:rsidRPr="00087E96">
        <w:rPr>
          <w:b/>
        </w:rPr>
        <w:t>Valsts budžeta izdevumi</w:t>
      </w:r>
      <w:r w:rsidRPr="00087E96">
        <w:t xml:space="preserve"> 2024. gadā plānoti 16 212,2 milj. </w:t>
      </w:r>
      <w:proofErr w:type="spellStart"/>
      <w:r w:rsidRPr="00087E96">
        <w:rPr>
          <w:i/>
        </w:rPr>
        <w:t>euro</w:t>
      </w:r>
      <w:proofErr w:type="spellEnd"/>
      <w:r w:rsidRPr="00087E96">
        <w:t xml:space="preserve"> apmērā. Izdevumu palielinājums, salīdzinot ar 2023. gada plānu, ir 10,</w:t>
      </w:r>
      <w:r w:rsidR="00E51521">
        <w:t>5</w:t>
      </w:r>
      <w:r w:rsidRPr="00087E96">
        <w:t xml:space="preserve">% jeb 1 538,5 milj. </w:t>
      </w:r>
      <w:proofErr w:type="spellStart"/>
      <w:r w:rsidRPr="00087E96">
        <w:rPr>
          <w:i/>
        </w:rPr>
        <w:t>euro</w:t>
      </w:r>
      <w:proofErr w:type="spellEnd"/>
      <w:r w:rsidRPr="00087E96">
        <w:t>.</w:t>
      </w:r>
    </w:p>
    <w:p w14:paraId="13D67C9A" w14:textId="77777777" w:rsidR="00C15687" w:rsidRPr="00594E0B" w:rsidRDefault="00C15687" w:rsidP="00C15687">
      <w:pPr>
        <w:spacing w:before="120" w:after="240"/>
        <w:ind w:firstLine="0"/>
        <w:jc w:val="center"/>
        <w:rPr>
          <w:b/>
          <w:i/>
        </w:rPr>
      </w:pPr>
      <w:r w:rsidRPr="00796BE7">
        <w:rPr>
          <w:b/>
          <w:i/>
        </w:rPr>
        <w:t>5.</w:t>
      </w:r>
      <w:r>
        <w:rPr>
          <w:b/>
          <w:i/>
        </w:rPr>
        <w:t>1</w:t>
      </w:r>
      <w:r w:rsidRPr="00796BE7">
        <w:rPr>
          <w:b/>
          <w:i/>
        </w:rPr>
        <w:t>.</w:t>
      </w:r>
      <w:r>
        <w:rPr>
          <w:b/>
          <w:i/>
        </w:rPr>
        <w:t xml:space="preserve"> </w:t>
      </w:r>
      <w:r w:rsidRPr="00796BE7">
        <w:rPr>
          <w:b/>
          <w:i/>
        </w:rPr>
        <w:t>attēls</w:t>
      </w:r>
      <w:r w:rsidRPr="00C25F3A">
        <w:rPr>
          <w:b/>
          <w:i/>
        </w:rPr>
        <w:t xml:space="preserve"> </w:t>
      </w:r>
      <w:r w:rsidRPr="00796BE7">
        <w:rPr>
          <w:b/>
        </w:rPr>
        <w:t>Valsts budžeta izdevumi atbilstoši funkcionālajām kategorijām no 202</w:t>
      </w:r>
      <w:r>
        <w:rPr>
          <w:b/>
        </w:rPr>
        <w:t>3</w:t>
      </w:r>
      <w:r w:rsidRPr="00796BE7">
        <w:rPr>
          <w:b/>
        </w:rPr>
        <w:t>. līdz 202</w:t>
      </w:r>
      <w:r>
        <w:rPr>
          <w:b/>
        </w:rPr>
        <w:t>6</w:t>
      </w:r>
      <w:r w:rsidRPr="00796BE7">
        <w:rPr>
          <w:b/>
        </w:rPr>
        <w:t>.</w:t>
      </w:r>
      <w:r>
        <w:rPr>
          <w:b/>
        </w:rPr>
        <w:t xml:space="preserve"> </w:t>
      </w:r>
      <w:r w:rsidRPr="00796BE7">
        <w:rPr>
          <w:b/>
        </w:rPr>
        <w:t>gadam, milj.</w:t>
      </w:r>
      <w:r w:rsidRPr="00AD4223">
        <w:rPr>
          <w:b/>
          <w:i/>
        </w:rPr>
        <w:t xml:space="preserve"> </w:t>
      </w:r>
      <w:proofErr w:type="spellStart"/>
      <w:r w:rsidRPr="00AD4223">
        <w:rPr>
          <w:b/>
          <w:i/>
        </w:rPr>
        <w:t>euro</w:t>
      </w:r>
      <w:proofErr w:type="spellEnd"/>
    </w:p>
    <w:p w14:paraId="2676D18D" w14:textId="77777777" w:rsidR="00C15687" w:rsidRDefault="00C15687" w:rsidP="00C15687">
      <w:pPr>
        <w:ind w:right="28" w:firstLine="0"/>
        <w:jc w:val="left"/>
        <w:rPr>
          <w:i/>
        </w:rPr>
      </w:pPr>
      <w:r>
        <w:rPr>
          <w:noProof/>
          <w:lang w:eastAsia="lv-LV"/>
        </w:rPr>
        <w:drawing>
          <wp:inline distT="0" distB="0" distL="0" distR="0" wp14:anchorId="1FA05752" wp14:editId="223384C8">
            <wp:extent cx="5760085" cy="3322320"/>
            <wp:effectExtent l="0" t="0" r="12065" b="11430"/>
            <wp:docPr id="2" name="Chart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751CB24" w14:textId="77777777" w:rsidR="00C15687" w:rsidRPr="003740C3" w:rsidRDefault="00C15687" w:rsidP="00C15687">
      <w:pPr>
        <w:ind w:right="28" w:firstLine="720"/>
      </w:pPr>
      <w:r w:rsidRPr="003740C3">
        <w:rPr>
          <w:i/>
        </w:rPr>
        <w:t xml:space="preserve">Saskaņā ar izdevumu klasifikāciju atbilstoši funkcionālajām kategorijām </w:t>
      </w:r>
      <w:r w:rsidRPr="003740C3">
        <w:t>202</w:t>
      </w:r>
      <w:r>
        <w:t>4</w:t>
      </w:r>
      <w:r w:rsidRPr="003740C3">
        <w:t>. gadā no kopējiem valsts budžeta izdevumiem novirzīti:</w:t>
      </w:r>
    </w:p>
    <w:p w14:paraId="57EAF167" w14:textId="54BC86B5" w:rsidR="00C15687" w:rsidRPr="00582948" w:rsidRDefault="00C15687" w:rsidP="00C15687">
      <w:pPr>
        <w:ind w:firstLine="720"/>
        <w:rPr>
          <w:lang w:eastAsia="lv-LV"/>
        </w:rPr>
      </w:pPr>
      <w:r w:rsidRPr="00BE038B">
        <w:rPr>
          <w:i/>
        </w:rPr>
        <w:t xml:space="preserve">vispārējiem valdības dienestiem </w:t>
      </w:r>
      <w:r w:rsidRPr="00BE038B">
        <w:t xml:space="preserve">1 939,1 milj. </w:t>
      </w:r>
      <w:proofErr w:type="spellStart"/>
      <w:r w:rsidRPr="00BE038B">
        <w:rPr>
          <w:i/>
        </w:rPr>
        <w:t>euro</w:t>
      </w:r>
      <w:proofErr w:type="spellEnd"/>
      <w:r w:rsidRPr="00BE038B">
        <w:rPr>
          <w:i/>
        </w:rPr>
        <w:t xml:space="preserve"> </w:t>
      </w:r>
      <w:r w:rsidRPr="00BE038B">
        <w:t>jeb</w:t>
      </w:r>
      <w:r w:rsidRPr="00BE038B">
        <w:rPr>
          <w:i/>
        </w:rPr>
        <w:t xml:space="preserve"> </w:t>
      </w:r>
      <w:r w:rsidRPr="00BE038B">
        <w:t xml:space="preserve">12,0%, kas salīdzinājumā ar 2023. gadā plānoto ir par 216,4 milj. </w:t>
      </w:r>
      <w:proofErr w:type="spellStart"/>
      <w:r w:rsidRPr="00BE038B">
        <w:rPr>
          <w:i/>
        </w:rPr>
        <w:t>euro</w:t>
      </w:r>
      <w:proofErr w:type="spellEnd"/>
      <w:r w:rsidRPr="00BE038B">
        <w:t xml:space="preserve"> jeb 12,6% vairāk. Izdevumu palielinājums saistīts ar izdevumu pieaugumu valsts parāda vadībai, </w:t>
      </w:r>
      <w:r w:rsidRPr="00BE038B">
        <w:rPr>
          <w:lang w:eastAsia="lv-LV"/>
        </w:rPr>
        <w:t xml:space="preserve">iemaksām EK budžetā, nacionālo un ES normatīvo aktu prasību izpildei, tai skaitā IT sistēmu pielāgošanai, Oglekļa </w:t>
      </w:r>
      <w:proofErr w:type="spellStart"/>
      <w:r w:rsidRPr="00BE038B">
        <w:rPr>
          <w:lang w:eastAsia="lv-LV"/>
        </w:rPr>
        <w:t>ievedkorekcijas</w:t>
      </w:r>
      <w:proofErr w:type="spellEnd"/>
      <w:r w:rsidRPr="00BE038B">
        <w:rPr>
          <w:lang w:eastAsia="lv-LV"/>
        </w:rPr>
        <w:t xml:space="preserve"> mehānisma piemērošanai Latvijā, atlīdzībai </w:t>
      </w:r>
      <w:r>
        <w:rPr>
          <w:lang w:eastAsia="lv-LV"/>
        </w:rPr>
        <w:t>VID</w:t>
      </w:r>
      <w:r w:rsidRPr="00BE038B">
        <w:rPr>
          <w:lang w:eastAsia="lv-LV"/>
        </w:rPr>
        <w:t xml:space="preserve"> nodarbinātajiem, Eiropas Savienības noteikto sankciju pārkāpšanas kontroles funkciju īstenošanai, </w:t>
      </w:r>
      <w:r>
        <w:rPr>
          <w:lang w:eastAsia="lv-LV"/>
        </w:rPr>
        <w:t>VID</w:t>
      </w:r>
      <w:r w:rsidRPr="00BE038B">
        <w:rPr>
          <w:lang w:eastAsia="lv-LV"/>
        </w:rPr>
        <w:t xml:space="preserve"> IT sistēmu pielāgošanai un komunikācijas kampaņai vispārējas deklarēšanas nodrošināšanai, Vienotā pakalpojumu centra izveidei, valsts tiešās pārvaldes iestādēs nodarbināto atalgojuma palielināšanai, Valsts prezidenta kancelejai Latvijas ekonomiskās konkurētspējas veicināšanai (vizītēm ar uzņēmēju līdzdalību un lobija kampaņai Latvijas kandidatūrai uz ANO</w:t>
      </w:r>
      <w:r w:rsidRPr="00087E96">
        <w:rPr>
          <w:lang w:eastAsia="lv-LV"/>
        </w:rPr>
        <w:t xml:space="preserve"> DP nepastāvīgās dalībvalstu vietu), valsts attīstības un politikas plānošanas sistēmas pilnveidei, pilsoniskā dialoga platformas izveidei, stiprinot </w:t>
      </w:r>
      <w:r>
        <w:rPr>
          <w:lang w:eastAsia="lv-LV"/>
        </w:rPr>
        <w:t>NVO</w:t>
      </w:r>
      <w:r w:rsidRPr="00087E96">
        <w:rPr>
          <w:lang w:eastAsia="lv-LV"/>
        </w:rPr>
        <w:t xml:space="preserve"> un </w:t>
      </w:r>
      <w:r>
        <w:rPr>
          <w:lang w:eastAsia="lv-LV"/>
        </w:rPr>
        <w:t>MK</w:t>
      </w:r>
      <w:r w:rsidRPr="00087E96">
        <w:rPr>
          <w:lang w:eastAsia="lv-LV"/>
        </w:rPr>
        <w:t xml:space="preserve"> sadarbības memoranda īstenošanas padomes darbību, NVO atbalsta un sabiedrības saliedētības programmai, Latvijas publiskās diplomātijas aktivitāšu nodrošināšanai, tai skaitā pārstāvniecībās, Latvijas ārvalstu pārstāvniecību vietējās kapacitātes stiprināšanai, Latvijas dalības </w:t>
      </w:r>
      <w:r>
        <w:rPr>
          <w:lang w:eastAsia="lv-LV"/>
        </w:rPr>
        <w:t>ES</w:t>
      </w:r>
      <w:r w:rsidRPr="00087E96">
        <w:rPr>
          <w:lang w:eastAsia="lv-LV"/>
        </w:rPr>
        <w:t xml:space="preserve"> </w:t>
      </w:r>
      <w:proofErr w:type="spellStart"/>
      <w:r w:rsidRPr="00087E96">
        <w:rPr>
          <w:lang w:eastAsia="lv-LV"/>
        </w:rPr>
        <w:t>divdesmitgades</w:t>
      </w:r>
      <w:proofErr w:type="spellEnd"/>
      <w:r w:rsidRPr="00087E96">
        <w:rPr>
          <w:lang w:eastAsia="lv-LV"/>
        </w:rPr>
        <w:t xml:space="preserve"> atzīmēšanai, nomas maksas pieaugumam, </w:t>
      </w:r>
      <w:proofErr w:type="spellStart"/>
      <w:r w:rsidRPr="00087E96">
        <w:rPr>
          <w:rFonts w:eastAsia="Calibri"/>
          <w:bCs/>
          <w:szCs w:val="24"/>
        </w:rPr>
        <w:t>Tiesībsarga</w:t>
      </w:r>
      <w:proofErr w:type="spellEnd"/>
      <w:r w:rsidRPr="00087E96">
        <w:rPr>
          <w:rFonts w:eastAsia="Calibri"/>
          <w:bCs/>
          <w:szCs w:val="24"/>
        </w:rPr>
        <w:t xml:space="preserve"> biroja kapacitātes stiprināšanai, diskriminācijas novēršanas struktūrvienības izveidei atbilstoši Nacionālajai pozīcijai, Valsts kontroles kapacitātes stiprināšanai publiskā sektora revīzijās, stiprinot </w:t>
      </w:r>
      <w:proofErr w:type="spellStart"/>
      <w:r w:rsidRPr="00087E96">
        <w:rPr>
          <w:rFonts w:eastAsia="Calibri"/>
          <w:bCs/>
          <w:szCs w:val="24"/>
        </w:rPr>
        <w:t>cilvēkkapitālu</w:t>
      </w:r>
      <w:proofErr w:type="spellEnd"/>
      <w:r w:rsidRPr="00087E96">
        <w:rPr>
          <w:rFonts w:eastAsia="Calibri"/>
          <w:bCs/>
          <w:szCs w:val="24"/>
        </w:rPr>
        <w:t xml:space="preserve">, Eiropas Parlamenta vēlēšanām, tai skaitā vēlēšanu komisiju atalgojuma </w:t>
      </w:r>
      <w:r w:rsidRPr="00087E96">
        <w:rPr>
          <w:rFonts w:eastAsia="Calibri"/>
          <w:bCs/>
          <w:szCs w:val="24"/>
        </w:rPr>
        <w:lastRenderedPageBreak/>
        <w:t xml:space="preserve">un ēdināšanas izdevumu kompensācijas nodrošināšanai, </w:t>
      </w:r>
      <w:r w:rsidRPr="00087E96">
        <w:rPr>
          <w:szCs w:val="24"/>
          <w:lang w:eastAsia="lv-LV"/>
        </w:rPr>
        <w:t>Latvijas dalības nodrošināšana</w:t>
      </w:r>
      <w:r>
        <w:rPr>
          <w:szCs w:val="24"/>
          <w:lang w:eastAsia="lv-LV"/>
        </w:rPr>
        <w:t>i</w:t>
      </w:r>
      <w:r w:rsidRPr="00087E96">
        <w:rPr>
          <w:szCs w:val="24"/>
          <w:lang w:eastAsia="lv-LV"/>
        </w:rPr>
        <w:t xml:space="preserve"> Eiropas Kodolpētījumu organizācijā (CERN) </w:t>
      </w:r>
      <w:proofErr w:type="spellStart"/>
      <w:r w:rsidRPr="00087E96">
        <w:rPr>
          <w:szCs w:val="24"/>
          <w:lang w:eastAsia="lv-LV"/>
        </w:rPr>
        <w:t>pirmsiestāšanās</w:t>
      </w:r>
      <w:proofErr w:type="spellEnd"/>
      <w:r w:rsidRPr="00087E96">
        <w:rPr>
          <w:szCs w:val="24"/>
          <w:lang w:eastAsia="lv-LV"/>
        </w:rPr>
        <w:t xml:space="preserve"> dalībvalsts statusā</w:t>
      </w:r>
      <w:r w:rsidRPr="00087E96">
        <w:rPr>
          <w:sz w:val="22"/>
          <w:szCs w:val="22"/>
          <w:lang w:eastAsia="lv-LV"/>
        </w:rPr>
        <w:t xml:space="preserve">. </w:t>
      </w:r>
      <w:r w:rsidRPr="00087E96">
        <w:rPr>
          <w:rFonts w:eastAsia="Calibri"/>
          <w:bCs/>
          <w:iCs/>
          <w:szCs w:val="24"/>
        </w:rPr>
        <w:t xml:space="preserve">Uz funkciju “Vispārējie valdības dienesti” attiecināts arī budžeta resora “74.Gadskārtējā valsts budžeta izpildes procesā pārdalāmais finansējums” (turpmāk – budžeta 74. resors) 02.00.00 programmā “Līdzekļi neparedzētiem gadījumiem”, 09.00.00 programmā “Valsts nozīmes reformas īstenošanai”, 17.00.00 programmā “Finansējums Ukrainas civiliedzīvotāju atbalsta likumā noteikto pasākumu īstenošanai”, 19.00.00 programmā “Finansējums energoresursu un ēdināšanas izdevumu pieauguma kompensēšanai” plānotais finansējums </w:t>
      </w:r>
      <w:r w:rsidRPr="00087E96">
        <w:rPr>
          <w:bCs/>
          <w:szCs w:val="24"/>
        </w:rPr>
        <w:t>u.c.</w:t>
      </w:r>
      <w:r w:rsidRPr="00087E96">
        <w:rPr>
          <w:bCs/>
          <w:szCs w:val="24"/>
          <w:lang w:eastAsia="lv-LV"/>
        </w:rPr>
        <w:t>;</w:t>
      </w:r>
      <w:r w:rsidRPr="003740C3">
        <w:rPr>
          <w:bCs/>
          <w:szCs w:val="24"/>
        </w:rPr>
        <w:t xml:space="preserve"> </w:t>
      </w:r>
    </w:p>
    <w:p w14:paraId="6B3BE7A3" w14:textId="77777777" w:rsidR="00C15687" w:rsidRPr="003740C3" w:rsidRDefault="00C15687" w:rsidP="00C15687">
      <w:pPr>
        <w:ind w:firstLine="720"/>
        <w:rPr>
          <w:szCs w:val="24"/>
        </w:rPr>
      </w:pPr>
      <w:r w:rsidRPr="00087E96">
        <w:rPr>
          <w:i/>
        </w:rPr>
        <w:t xml:space="preserve">aizsardzībai </w:t>
      </w:r>
      <w:r w:rsidRPr="00087E96">
        <w:t xml:space="preserve">1 513,0 milj. </w:t>
      </w:r>
      <w:proofErr w:type="spellStart"/>
      <w:r w:rsidRPr="00087E96">
        <w:rPr>
          <w:i/>
        </w:rPr>
        <w:t>euro</w:t>
      </w:r>
      <w:proofErr w:type="spellEnd"/>
      <w:r w:rsidRPr="00087E96">
        <w:rPr>
          <w:i/>
        </w:rPr>
        <w:t xml:space="preserve"> </w:t>
      </w:r>
      <w:r w:rsidRPr="00087E96">
        <w:t xml:space="preserve">jeb 9,3%, kas salīdzinājumā ar 2023. gadā plānoto ir par 236,6 milj. </w:t>
      </w:r>
      <w:proofErr w:type="spellStart"/>
      <w:r w:rsidRPr="00087E96">
        <w:rPr>
          <w:i/>
        </w:rPr>
        <w:t>euro</w:t>
      </w:r>
      <w:proofErr w:type="spellEnd"/>
      <w:r w:rsidRPr="00087E96">
        <w:t xml:space="preserve"> jeb 18,5% vairāk. </w:t>
      </w:r>
      <w:r w:rsidRPr="00087E96">
        <w:rPr>
          <w:szCs w:val="24"/>
          <w:lang w:eastAsia="lv-LV"/>
        </w:rPr>
        <w:t>Palielināti izdevumi, nodrošinot pakāpenisku Aizsardzības ministrijas budžeta izdevumu apjoma palielinājumu līdz 3% no IKP 2027. gadā</w:t>
      </w:r>
      <w:r w:rsidRPr="003740C3">
        <w:rPr>
          <w:szCs w:val="24"/>
          <w:lang w:eastAsia="lv-LV"/>
        </w:rPr>
        <w:t xml:space="preserve"> </w:t>
      </w:r>
      <w:r w:rsidRPr="006A2BB4">
        <w:rPr>
          <w:szCs w:val="24"/>
          <w:lang w:eastAsia="lv-LV"/>
        </w:rPr>
        <w:t>(2,4% no IKP 2024. gadā, 2,5% no IKP 2025. gadā un 2,75% no IKP 2026. gadā).</w:t>
      </w:r>
      <w:r w:rsidRPr="003740C3">
        <w:rPr>
          <w:szCs w:val="24"/>
          <w:lang w:eastAsia="lv-LV"/>
        </w:rPr>
        <w:t xml:space="preserve"> </w:t>
      </w:r>
      <w:r w:rsidRPr="00087E96">
        <w:rPr>
          <w:szCs w:val="24"/>
          <w:lang w:eastAsia="lv-LV"/>
        </w:rPr>
        <w:t xml:space="preserve">Uz funkciju “Aizsardzība” attiecinātais budžeta 74. resora 18.00.00 programmā “Finansējums valsts drošības stiprināšanas pasākumiem” plānotais finansējums daļēji paredzēts arī ar valsts iekšējo drošību saistītiem pasākumiem (ārējās robežas tehniskās infrastruktūras izveidei, </w:t>
      </w:r>
      <w:proofErr w:type="spellStart"/>
      <w:r w:rsidRPr="00087E96">
        <w:rPr>
          <w:szCs w:val="24"/>
          <w:lang w:eastAsia="lv-LV"/>
        </w:rPr>
        <w:t>kiberdrošības</w:t>
      </w:r>
      <w:proofErr w:type="spellEnd"/>
      <w:r w:rsidRPr="00087E96">
        <w:rPr>
          <w:szCs w:val="24"/>
          <w:lang w:eastAsia="lv-LV"/>
        </w:rPr>
        <w:t xml:space="preserve"> stiprināšanai u.c.)</w:t>
      </w:r>
      <w:r w:rsidRPr="00087E96">
        <w:rPr>
          <w:szCs w:val="24"/>
        </w:rPr>
        <w:t>;</w:t>
      </w:r>
      <w:r w:rsidRPr="003740C3">
        <w:rPr>
          <w:szCs w:val="24"/>
        </w:rPr>
        <w:t xml:space="preserve"> </w:t>
      </w:r>
    </w:p>
    <w:p w14:paraId="743255A4" w14:textId="77777777" w:rsidR="00C15687" w:rsidRDefault="00C15687" w:rsidP="00C15687">
      <w:pPr>
        <w:ind w:firstLine="720"/>
        <w:rPr>
          <w:szCs w:val="18"/>
          <w:lang w:eastAsia="lv-LV"/>
        </w:rPr>
      </w:pPr>
      <w:r w:rsidRPr="00BE038B">
        <w:rPr>
          <w:i/>
        </w:rPr>
        <w:t>sabiedriskai kārtībai un drošībai</w:t>
      </w:r>
      <w:r w:rsidRPr="00BE038B">
        <w:t xml:space="preserve"> 1 062,6 milj. </w:t>
      </w:r>
      <w:proofErr w:type="spellStart"/>
      <w:r w:rsidRPr="00BE038B">
        <w:rPr>
          <w:i/>
        </w:rPr>
        <w:t>euro</w:t>
      </w:r>
      <w:proofErr w:type="spellEnd"/>
      <w:r w:rsidRPr="00BE038B">
        <w:t xml:space="preserve"> jeb 6,6%, kas salīdzinājumā ar 2023. gadā plānoto ir par 179,5 milj. </w:t>
      </w:r>
      <w:proofErr w:type="spellStart"/>
      <w:r w:rsidRPr="00BE038B">
        <w:rPr>
          <w:i/>
        </w:rPr>
        <w:t>euro</w:t>
      </w:r>
      <w:proofErr w:type="spellEnd"/>
      <w:r w:rsidRPr="00BE038B">
        <w:t xml:space="preserve"> jeb 20,3% vairāk.</w:t>
      </w:r>
      <w:r w:rsidRPr="00BE038B">
        <w:rPr>
          <w:szCs w:val="18"/>
          <w:lang w:eastAsia="lv-LV"/>
        </w:rPr>
        <w:t xml:space="preserve"> </w:t>
      </w:r>
      <w:r w:rsidRPr="00BE038B">
        <w:t>Palielinājums galvenokārt saistīts ar papildus piešķirto finansējumu</w:t>
      </w:r>
      <w:r w:rsidRPr="00BE038B">
        <w:rPr>
          <w:szCs w:val="18"/>
          <w:lang w:eastAsia="lv-LV"/>
        </w:rPr>
        <w:t xml:space="preserve"> atlīdzībai </w:t>
      </w:r>
      <w:proofErr w:type="spellStart"/>
      <w:r w:rsidRPr="00BE038B">
        <w:rPr>
          <w:szCs w:val="18"/>
          <w:lang w:eastAsia="lv-LV"/>
        </w:rPr>
        <w:t>Iekšlietu</w:t>
      </w:r>
      <w:proofErr w:type="spellEnd"/>
      <w:r w:rsidRPr="00BE038B">
        <w:rPr>
          <w:szCs w:val="18"/>
          <w:lang w:eastAsia="lv-LV"/>
        </w:rPr>
        <w:t xml:space="preserve"> ministrijas un Tieslietu ministrijas institūcijās nodarbinātajiem, tai skaitā Probācijas dienestam, vienreizējam pabalstam Korupcijas novēršanas un apkarošanas biroja amatpersonām, Valsts drošības dienesta pamatfunkciju kapacitātes stiprināšanai, Valsts ugunsdzēsības un glābšanas dienesta struktūrvienību dzīvības glābšanas spēju stiprināšanas nodrošināšanai, par Eiropas Savienības tiesību aktos atļautajiem izņēmumiem sankciju piemērošanā un Latvijas kompetentajām iestādēm šo izņēmumu piemērošanā, </w:t>
      </w:r>
      <w:r w:rsidRPr="00BE038B">
        <w:rPr>
          <w:lang w:eastAsia="lv-LV"/>
        </w:rPr>
        <w:t>valsts tiešās pārvaldes iestādēs nodarbināto atalgojuma palielināšanai, ēdināšanas pakalpojumu cenu sadārdzinājuma segšanai, konkurētspējīga atalgojuma nodrošināšanai tiesās, tiesu darbības nodrošināšanai</w:t>
      </w:r>
      <w:r w:rsidRPr="00087E96">
        <w:rPr>
          <w:lang w:eastAsia="lv-LV"/>
        </w:rPr>
        <w:t xml:space="preserve"> un infrastruktūras uzturēšanas izdevumu segšanai, </w:t>
      </w:r>
      <w:proofErr w:type="spellStart"/>
      <w:r w:rsidRPr="00087E96">
        <w:rPr>
          <w:lang w:eastAsia="lv-LV"/>
        </w:rPr>
        <w:t>eZīmoga</w:t>
      </w:r>
      <w:proofErr w:type="spellEnd"/>
      <w:r w:rsidRPr="00087E96">
        <w:rPr>
          <w:lang w:eastAsia="lv-LV"/>
        </w:rPr>
        <w:t xml:space="preserve"> tehniskā risinājuma ieviešanai, tiesas sēžu zāļu stacionāro datoru nomaiņai, </w:t>
      </w:r>
      <w:proofErr w:type="spellStart"/>
      <w:r w:rsidRPr="00087E96">
        <w:rPr>
          <w:lang w:eastAsia="lv-LV"/>
        </w:rPr>
        <w:t>apsūudzētā</w:t>
      </w:r>
      <w:proofErr w:type="spellEnd"/>
      <w:r w:rsidRPr="00087E96">
        <w:rPr>
          <w:lang w:eastAsia="lv-LV"/>
        </w:rPr>
        <w:t xml:space="preserve"> tiesību uz būtisku dokumentu rakstveida tulkojumu nodrošināšanai kriminālprocesā, Latvijas Republikas kapacitātes un lomas stiprināšanai starptautisko tiesību jautājumos, tostarp Ukrainas tiesiskam atbalstam, Latvijas tiesību speciālistu ataudzes nodrošināšanai un to starptautiskās konkurētspējas veicināšanai, Datu valsts inspekcijas nodarbināto mēnešalgu palielinājumam, </w:t>
      </w:r>
      <w:r w:rsidRPr="00087E96">
        <w:rPr>
          <w:szCs w:val="18"/>
          <w:lang w:eastAsia="lv-LV"/>
        </w:rPr>
        <w:t xml:space="preserve">konkurētspējīgas Augstākās tiesas darbinieku atalgojuma sistēmas uzturēšanai, Augstākās tiesas informācijas tehnoloģiju infrastruktūras uzturēšanas pasākumu nodrošināšanai, </w:t>
      </w:r>
      <w:proofErr w:type="spellStart"/>
      <w:r w:rsidRPr="00087E96">
        <w:rPr>
          <w:szCs w:val="18"/>
          <w:lang w:eastAsia="lv-LV"/>
        </w:rPr>
        <w:t>Satvesmes</w:t>
      </w:r>
      <w:proofErr w:type="spellEnd"/>
      <w:r w:rsidRPr="00087E96">
        <w:rPr>
          <w:szCs w:val="18"/>
          <w:lang w:eastAsia="lv-LV"/>
        </w:rPr>
        <w:t xml:space="preserve"> tiesas darbinieku atlīdzības palielināšanai, Satversmes tiesas tiesnešu atlaišanas pabalstu un neizmantoto atvaļinājumu kompensāciju nodrošināšanai, Prokuratūras darbinieku atalgojuma palielināšanai, plānoto finansējumu speciālo ugunsdzēsības un glābšanas transportlīdzekļu iegādei, jauna cietuma būvniecībai Liepājā.  </w:t>
      </w:r>
      <w:r w:rsidRPr="00087E96">
        <w:rPr>
          <w:szCs w:val="24"/>
          <w:lang w:eastAsia="lv-LV"/>
        </w:rPr>
        <w:t>Uz funkciju “Sabiedriskā kārtība un drošība” attiecināts budžeta 74. resora 22.00.00 programmā “Valsts ārējās robežas drošības pasākumu nodrošināšana” plānotais finansējums u.c.;</w:t>
      </w:r>
    </w:p>
    <w:p w14:paraId="4A0C777A" w14:textId="2B541539" w:rsidR="00C15687" w:rsidRPr="00BE038B" w:rsidRDefault="00C15687" w:rsidP="00C15687">
      <w:pPr>
        <w:ind w:firstLine="720"/>
        <w:rPr>
          <w:szCs w:val="24"/>
        </w:rPr>
      </w:pPr>
      <w:r w:rsidRPr="00087E96">
        <w:rPr>
          <w:i/>
        </w:rPr>
        <w:t>ekonomiskai darbībai</w:t>
      </w:r>
      <w:r w:rsidRPr="00087E96">
        <w:t xml:space="preserve"> 3 124,8 milj. </w:t>
      </w:r>
      <w:proofErr w:type="spellStart"/>
      <w:r w:rsidRPr="00087E96">
        <w:rPr>
          <w:i/>
        </w:rPr>
        <w:t>euro</w:t>
      </w:r>
      <w:proofErr w:type="spellEnd"/>
      <w:r w:rsidRPr="00087E96">
        <w:t xml:space="preserve"> jeb 19,3%, kas salīdzinājumā ar 2023. gadā plānoto ir par 343,0 milj. </w:t>
      </w:r>
      <w:proofErr w:type="spellStart"/>
      <w:r w:rsidRPr="00087E96">
        <w:rPr>
          <w:i/>
        </w:rPr>
        <w:t>euro</w:t>
      </w:r>
      <w:proofErr w:type="spellEnd"/>
      <w:r w:rsidRPr="00087E96">
        <w:t xml:space="preserve"> jeb 12,3% vairāk. Paredzēts papildu finansējums dotācijai zaudējumu segšanai sabiedriskā transporta pakalpojumu sniedzējiem, dzelzceļa publiskās infrastruktūras uzturēšanai, precizēts finansējums jauno elektrovilcienu projekta īstenošanai saistībā ar projekta īstenošanas grafika izmaiņām, satiksmes nozares pārvaldības un finansēšanas modeļa reformai, braukšanas maksas atvieglojumiem bērniem bāreņiem un bez vecāku gādības palikušiem bērniem, kuri atrodas audžuģimenēs, aizbildnībā, bērnu aprūpes </w:t>
      </w:r>
      <w:proofErr w:type="spellStart"/>
      <w:r w:rsidRPr="00087E96">
        <w:t>instirūcijās</w:t>
      </w:r>
      <w:proofErr w:type="spellEnd"/>
      <w:r w:rsidRPr="00087E96">
        <w:t xml:space="preserve"> vai mācās vispārējās un profesionālajās izglītības iestādēs, kā arī augstskolās un koledžās līdz 24 gadu vecuma sasniegšanai, </w:t>
      </w:r>
      <w:proofErr w:type="spellStart"/>
      <w:r w:rsidRPr="00380EA3">
        <w:t>valstspilsētu</w:t>
      </w:r>
      <w:proofErr w:type="spellEnd"/>
      <w:r w:rsidRPr="00087E96">
        <w:t xml:space="preserve"> pašvaldību organizētajos pārvadājumos, SIA “</w:t>
      </w:r>
      <w:proofErr w:type="spellStart"/>
      <w:r w:rsidRPr="00087E96">
        <w:t>Tet</w:t>
      </w:r>
      <w:proofErr w:type="spellEnd"/>
      <w:r w:rsidRPr="00087E96">
        <w:t xml:space="preserve">” 2022. gadā sniegtā universālā pakalpojuma saistību izpildes radīto </w:t>
      </w:r>
      <w:r w:rsidRPr="00087E96">
        <w:lastRenderedPageBreak/>
        <w:t xml:space="preserve">zaudējumu kompensācijai, </w:t>
      </w:r>
      <w:r w:rsidRPr="00087E96">
        <w:rPr>
          <w:szCs w:val="24"/>
          <w:lang w:eastAsia="lv-LV"/>
        </w:rPr>
        <w:t>atbalstam lauksaimniecības ekonomiskās dzīvotspējas stiprināšanai un krīzes radīto seko novēršanai, Investīciju atbalsts augļkopības un dārzeņkopības saimniecību konkurētspējas stiprināšanai un eksportspējas veicināšanai, Zivju resursu mākslīgās atražošanas plāna 2021.</w:t>
      </w:r>
      <w:r w:rsidRPr="00C15687">
        <w:rPr>
          <w:rFonts w:eastAsia="Calibri"/>
          <w:bCs/>
        </w:rPr>
        <w:t xml:space="preserve"> </w:t>
      </w:r>
      <w:r>
        <w:rPr>
          <w:rFonts w:eastAsia="Calibri"/>
          <w:bCs/>
        </w:rPr>
        <w:t xml:space="preserve">– </w:t>
      </w:r>
      <w:r w:rsidRPr="00087E96">
        <w:rPr>
          <w:szCs w:val="24"/>
          <w:lang w:eastAsia="lv-LV"/>
        </w:rPr>
        <w:t xml:space="preserve">2024. gadam īstenošanai un pielietojamo pētījumu izstrādei akvakultūrā, kā arī informācijas sniegšanai un atzinumu sagatavošanai pēc valsts un pašvaldību iestāžu pieprasījumiem, Vienotas informācijas sistēmas izveidei un </w:t>
      </w:r>
      <w:r w:rsidRPr="00BE038B">
        <w:rPr>
          <w:szCs w:val="24"/>
          <w:lang w:eastAsia="lv-LV"/>
        </w:rPr>
        <w:t xml:space="preserve">pilnveidošanai, izmantojot jaunākos tehniskos risinājumus un </w:t>
      </w:r>
      <w:proofErr w:type="spellStart"/>
      <w:r w:rsidRPr="00BE038B">
        <w:rPr>
          <w:szCs w:val="24"/>
          <w:lang w:eastAsia="lv-LV"/>
        </w:rPr>
        <w:t>digitalizācijas</w:t>
      </w:r>
      <w:proofErr w:type="spellEnd"/>
      <w:r w:rsidRPr="00BE038B">
        <w:rPr>
          <w:szCs w:val="24"/>
          <w:lang w:eastAsia="lv-LV"/>
        </w:rPr>
        <w:t xml:space="preserve"> iespējas, īstenojot Eiropas Zaļā kursa mērķu ieviešanu, </w:t>
      </w:r>
      <w:r w:rsidRPr="00BE038B">
        <w:rPr>
          <w:lang w:eastAsia="lv-LV"/>
        </w:rPr>
        <w:t>valsts tiešās pārvaldes iestādēs nodarbināto atalgojuma palielināšanai,</w:t>
      </w:r>
      <w:r w:rsidRPr="00BE038B">
        <w:rPr>
          <w:szCs w:val="24"/>
        </w:rPr>
        <w:t xml:space="preserve"> </w:t>
      </w:r>
      <w:r w:rsidRPr="00BE038B">
        <w:t xml:space="preserve">Patērētāju tiesību aizsardzības centram un Centrālajai statistikas pārvaldei regulu prasību izpildei, </w:t>
      </w:r>
      <w:proofErr w:type="spellStart"/>
      <w:r w:rsidRPr="00BE038B">
        <w:t>jaunuzņēmumu</w:t>
      </w:r>
      <w:proofErr w:type="spellEnd"/>
      <w:r w:rsidRPr="00BE038B">
        <w:t xml:space="preserve"> atbalstam, </w:t>
      </w:r>
      <w:r w:rsidRPr="00BE038B">
        <w:rPr>
          <w:rFonts w:eastAsia="Calibri"/>
          <w:bCs/>
        </w:rPr>
        <w:t xml:space="preserve">Konkurences padomes kapacitātes stiprināšanai, nodrošinot iespēju efektīvāk izpildīt konkurences noteikumus un uzraudzīt iekšējā tirgus pienācīgu darbību, atbalsta nodrošināšanai </w:t>
      </w:r>
      <w:r>
        <w:rPr>
          <w:rFonts w:eastAsia="Calibri"/>
          <w:bCs/>
        </w:rPr>
        <w:t>EK</w:t>
      </w:r>
      <w:r w:rsidRPr="00BE038B">
        <w:rPr>
          <w:rFonts w:eastAsia="Calibri"/>
          <w:bCs/>
        </w:rPr>
        <w:t xml:space="preserve">, </w:t>
      </w:r>
      <w:proofErr w:type="spellStart"/>
      <w:r w:rsidRPr="00BE038B">
        <w:rPr>
          <w:rFonts w:eastAsia="Calibri"/>
          <w:bCs/>
        </w:rPr>
        <w:t>izmaklējot</w:t>
      </w:r>
      <w:proofErr w:type="spellEnd"/>
      <w:r w:rsidRPr="00BE038B">
        <w:rPr>
          <w:rFonts w:eastAsia="Calibri"/>
          <w:bCs/>
        </w:rPr>
        <w:t xml:space="preserve"> digitālo platformu izraisītos konkurences ierobežojumus, atbalsta sniegšanai publiskajiem pasūtītājiem karteļa vienošanās rezultātā nodarīto zaudējumu atgūšanā u.c.;</w:t>
      </w:r>
    </w:p>
    <w:p w14:paraId="5B5069BF" w14:textId="77777777" w:rsidR="00C15687" w:rsidRPr="008F60B8" w:rsidRDefault="00C15687" w:rsidP="00C15687">
      <w:pPr>
        <w:ind w:firstLine="720"/>
        <w:rPr>
          <w:szCs w:val="24"/>
        </w:rPr>
      </w:pPr>
      <w:r w:rsidRPr="00BE038B">
        <w:rPr>
          <w:i/>
          <w:szCs w:val="24"/>
        </w:rPr>
        <w:t>vides aizsardzībai</w:t>
      </w:r>
      <w:r w:rsidRPr="00BE038B">
        <w:rPr>
          <w:szCs w:val="24"/>
        </w:rPr>
        <w:t xml:space="preserve"> 73,3 milj. </w:t>
      </w:r>
      <w:proofErr w:type="spellStart"/>
      <w:r w:rsidRPr="00BE038B">
        <w:rPr>
          <w:i/>
          <w:szCs w:val="24"/>
        </w:rPr>
        <w:t>euro</w:t>
      </w:r>
      <w:proofErr w:type="spellEnd"/>
      <w:r w:rsidRPr="00BE038B">
        <w:rPr>
          <w:szCs w:val="24"/>
        </w:rPr>
        <w:t xml:space="preserve"> jeb 0,5%, kas salīdzinājumā ar 2023. gadā plānoto ir par 0,7 milj. </w:t>
      </w:r>
      <w:proofErr w:type="spellStart"/>
      <w:r w:rsidRPr="00BE038B">
        <w:rPr>
          <w:i/>
          <w:szCs w:val="24"/>
        </w:rPr>
        <w:t>euro</w:t>
      </w:r>
      <w:proofErr w:type="spellEnd"/>
      <w:r w:rsidRPr="00BE038B">
        <w:rPr>
          <w:szCs w:val="24"/>
        </w:rPr>
        <w:t xml:space="preserve"> jeb 0,9% vairāk. Pieaugums galvenokārt saistīts ar papildu piešķirto finansējumu </w:t>
      </w:r>
      <w:r w:rsidRPr="00BE038B">
        <w:rPr>
          <w:szCs w:val="24"/>
          <w:lang w:eastAsia="lv-LV"/>
        </w:rPr>
        <w:t xml:space="preserve">EK regulas Nr.2023/138, ar ko nosaka konkrētu augstvērtīgu datu kopu sarakstu un to publicēšanas un </w:t>
      </w:r>
      <w:proofErr w:type="spellStart"/>
      <w:r w:rsidRPr="00BE038B">
        <w:rPr>
          <w:szCs w:val="24"/>
          <w:lang w:eastAsia="lv-LV"/>
        </w:rPr>
        <w:t>atkalizmantošanas</w:t>
      </w:r>
      <w:proofErr w:type="spellEnd"/>
      <w:r w:rsidRPr="00BE038B">
        <w:rPr>
          <w:szCs w:val="24"/>
          <w:lang w:eastAsia="lv-LV"/>
        </w:rPr>
        <w:t xml:space="preserve"> kārtību, prasību izpildei, kapacitātes stiprināšanai gatavībai un rīcībai radiācijas avārijās, direktīvas 2020/2184 par dzeramā ūdens kvalitāti prasību ieviešanai, </w:t>
      </w:r>
      <w:r w:rsidRPr="00BE038B">
        <w:rPr>
          <w:lang w:eastAsia="lv-LV"/>
        </w:rPr>
        <w:t>valsts tiešās pārvaldes iestādēs nodarbināto atalgojuma palielināšanai</w:t>
      </w:r>
      <w:r w:rsidRPr="00BE038B">
        <w:rPr>
          <w:szCs w:val="24"/>
          <w:lang w:eastAsia="lv-LV"/>
        </w:rPr>
        <w:t xml:space="preserve">. Vienlaikus </w:t>
      </w:r>
      <w:r w:rsidRPr="00BE038B">
        <w:t>samazināts finansējums ES politiku instrumentu un pārējās ārvalstu finanšu palīdzības līdzfinansēto projektu un pasākumu īstenošanai;</w:t>
      </w:r>
    </w:p>
    <w:p w14:paraId="36F5A9D7" w14:textId="77777777" w:rsidR="00C15687" w:rsidRPr="00087E96" w:rsidRDefault="00C15687" w:rsidP="00C15687">
      <w:pPr>
        <w:ind w:firstLine="720"/>
      </w:pPr>
      <w:r w:rsidRPr="003740C3">
        <w:t xml:space="preserve"> </w:t>
      </w:r>
      <w:r w:rsidRPr="00087E96">
        <w:rPr>
          <w:i/>
        </w:rPr>
        <w:t>teritoriju un mājokļu apsaimniekošanai</w:t>
      </w:r>
      <w:r w:rsidRPr="00087E96">
        <w:t xml:space="preserve"> 23,9 milj. </w:t>
      </w:r>
      <w:proofErr w:type="spellStart"/>
      <w:r w:rsidRPr="00087E96">
        <w:rPr>
          <w:i/>
        </w:rPr>
        <w:t>euro</w:t>
      </w:r>
      <w:proofErr w:type="spellEnd"/>
      <w:r w:rsidRPr="00087E96">
        <w:t xml:space="preserve"> jeb 0,1%, kas salīdzinājumā ar 2023. gadā plānoto ir par 3,0 milj. </w:t>
      </w:r>
      <w:proofErr w:type="spellStart"/>
      <w:r w:rsidRPr="00087E96">
        <w:rPr>
          <w:i/>
        </w:rPr>
        <w:t>euro</w:t>
      </w:r>
      <w:proofErr w:type="spellEnd"/>
      <w:r w:rsidRPr="00087E96">
        <w:t xml:space="preserve"> jeb 14,2% vairāk, kas galvenokārt saistīts ar paredzēto finansējumu </w:t>
      </w:r>
      <w:r w:rsidRPr="00BE038B">
        <w:rPr>
          <w:szCs w:val="24"/>
          <w:lang w:eastAsia="lv-LV"/>
        </w:rPr>
        <w:t xml:space="preserve">valsts IKT </w:t>
      </w:r>
      <w:proofErr w:type="spellStart"/>
      <w:r w:rsidRPr="00BE038B">
        <w:rPr>
          <w:szCs w:val="24"/>
          <w:lang w:eastAsia="lv-LV"/>
        </w:rPr>
        <w:t>profesionalizācijai</w:t>
      </w:r>
      <w:proofErr w:type="spellEnd"/>
      <w:r w:rsidRPr="00BE038B">
        <w:rPr>
          <w:szCs w:val="24"/>
          <w:lang w:eastAsia="lv-LV"/>
        </w:rPr>
        <w:t xml:space="preserve"> - Valsts digitālajai attīstībai,</w:t>
      </w:r>
      <w:r>
        <w:rPr>
          <w:szCs w:val="24"/>
          <w:lang w:eastAsia="lv-LV"/>
        </w:rPr>
        <w:t xml:space="preserve"> i</w:t>
      </w:r>
      <w:r w:rsidRPr="00BE038B">
        <w:rPr>
          <w:szCs w:val="24"/>
          <w:lang w:eastAsia="lv-LV"/>
        </w:rPr>
        <w:t>nterešu konflikta automātiskai pārbaudei publiskajos iepirkumos, izveidojot VRAA Elektronisko iepirkumu sistēmā pilnveidoto tehnisko risinājumu (VARAM),</w:t>
      </w:r>
      <w:r>
        <w:rPr>
          <w:szCs w:val="24"/>
          <w:lang w:eastAsia="lv-LV"/>
        </w:rPr>
        <w:t xml:space="preserve"> </w:t>
      </w:r>
      <w:r w:rsidRPr="00087E96">
        <w:t>Atveseļošanas un noturības mehānisma projektiem un pasākumiem u.c.;</w:t>
      </w:r>
    </w:p>
    <w:p w14:paraId="098174B3" w14:textId="77777777" w:rsidR="00C15687" w:rsidRPr="00087E96" w:rsidRDefault="00C15687" w:rsidP="00C15687">
      <w:pPr>
        <w:ind w:firstLine="720"/>
        <w:rPr>
          <w:szCs w:val="24"/>
        </w:rPr>
      </w:pPr>
      <w:r w:rsidRPr="00087E96">
        <w:rPr>
          <w:i/>
          <w:szCs w:val="24"/>
        </w:rPr>
        <w:t>veselībai</w:t>
      </w:r>
      <w:r w:rsidRPr="00087E96">
        <w:rPr>
          <w:szCs w:val="24"/>
        </w:rPr>
        <w:t xml:space="preserve"> 1 841,5 milj. </w:t>
      </w:r>
      <w:proofErr w:type="spellStart"/>
      <w:r w:rsidRPr="00087E96">
        <w:rPr>
          <w:i/>
          <w:szCs w:val="24"/>
        </w:rPr>
        <w:t>euro</w:t>
      </w:r>
      <w:proofErr w:type="spellEnd"/>
      <w:r w:rsidRPr="00087E96">
        <w:rPr>
          <w:szCs w:val="24"/>
        </w:rPr>
        <w:t xml:space="preserve"> jeb 11,4% no kopējiem valsts budžeta izdevumiem, kas salīdzinājumā ar 2023. gadā plānoto ir par 228,0 milj. </w:t>
      </w:r>
      <w:proofErr w:type="spellStart"/>
      <w:r w:rsidRPr="00087E96">
        <w:rPr>
          <w:i/>
          <w:szCs w:val="24"/>
        </w:rPr>
        <w:t>euro</w:t>
      </w:r>
      <w:proofErr w:type="spellEnd"/>
      <w:r w:rsidRPr="00087E96">
        <w:rPr>
          <w:szCs w:val="24"/>
        </w:rPr>
        <w:t xml:space="preserve"> jeb 14,1% vairāk, kas galvenokārt saistīts ar paredzēto p</w:t>
      </w:r>
      <w:r w:rsidRPr="00087E96">
        <w:rPr>
          <w:szCs w:val="24"/>
          <w:lang w:eastAsia="lv-LV"/>
        </w:rPr>
        <w:t>apildu finansējumu budžeta 74. resora 2</w:t>
      </w:r>
      <w:r>
        <w:rPr>
          <w:szCs w:val="24"/>
          <w:lang w:eastAsia="lv-LV"/>
        </w:rPr>
        <w:t>0</w:t>
      </w:r>
      <w:r w:rsidRPr="00087E96">
        <w:rPr>
          <w:szCs w:val="24"/>
          <w:lang w:eastAsia="lv-LV"/>
        </w:rPr>
        <w:t>.00.00 programmā “Veselības aprūpes pasākumu īstenošana”</w:t>
      </w:r>
      <w:r>
        <w:rPr>
          <w:szCs w:val="24"/>
          <w:lang w:eastAsia="lv-LV"/>
        </w:rPr>
        <w:t xml:space="preserve"> veselības aprūpes pakalpojumu pieejamības un kvalitātes uzlabošanai, </w:t>
      </w:r>
      <w:r w:rsidRPr="00087E96">
        <w:rPr>
          <w:szCs w:val="24"/>
          <w:lang w:eastAsia="lv-LV"/>
        </w:rPr>
        <w:t xml:space="preserve">valsts apmaksātu veselības aprūpes pakalpojumu pieejamības paaugstināšanai </w:t>
      </w:r>
      <w:proofErr w:type="spellStart"/>
      <w:r w:rsidRPr="00087E96">
        <w:rPr>
          <w:szCs w:val="24"/>
          <w:lang w:eastAsia="lv-LV"/>
        </w:rPr>
        <w:t>Iekšlietu</w:t>
      </w:r>
      <w:proofErr w:type="spellEnd"/>
      <w:r w:rsidRPr="00087E96">
        <w:rPr>
          <w:szCs w:val="24"/>
          <w:lang w:eastAsia="lv-LV"/>
        </w:rPr>
        <w:t xml:space="preserve"> ministrijas sistēmas iestāžu un Ieslodzījuma vietu pārvaldes amatpersonām ar speciālajām dienesta pakāpēm, </w:t>
      </w:r>
      <w:r w:rsidRPr="00087E96">
        <w:rPr>
          <w:lang w:eastAsia="lv-LV"/>
        </w:rPr>
        <w:t>valsts tiešās pārvaldes iestādēs nodarbināto atalgojuma palielināšanai, publisko personu nomas maksas sadārdzinājumam;</w:t>
      </w:r>
    </w:p>
    <w:p w14:paraId="4666B777" w14:textId="77777777" w:rsidR="00C15687" w:rsidRDefault="00C15687" w:rsidP="00C15687">
      <w:pPr>
        <w:ind w:firstLine="720"/>
      </w:pPr>
      <w:r w:rsidRPr="00BE038B">
        <w:rPr>
          <w:i/>
        </w:rPr>
        <w:t>atpūtai, kultūrai un reliģijai</w:t>
      </w:r>
      <w:r w:rsidRPr="00BE038B">
        <w:t xml:space="preserve"> 231,7 milj. </w:t>
      </w:r>
      <w:proofErr w:type="spellStart"/>
      <w:r w:rsidRPr="00BE038B">
        <w:rPr>
          <w:i/>
        </w:rPr>
        <w:t>euro</w:t>
      </w:r>
      <w:proofErr w:type="spellEnd"/>
      <w:r w:rsidRPr="00BE038B">
        <w:rPr>
          <w:i/>
        </w:rPr>
        <w:t xml:space="preserve"> </w:t>
      </w:r>
      <w:r w:rsidRPr="00BE038B">
        <w:t xml:space="preserve">jeb 1,4%, kas salīdzinājumā ar 2023. gadā plānoto ir par 5,7 milj. </w:t>
      </w:r>
      <w:proofErr w:type="spellStart"/>
      <w:r w:rsidRPr="00BE038B">
        <w:rPr>
          <w:i/>
        </w:rPr>
        <w:t>euro</w:t>
      </w:r>
      <w:proofErr w:type="spellEnd"/>
      <w:r w:rsidRPr="00BE038B">
        <w:t xml:space="preserve"> jeb 2,4% mazāk, kas galvenokārt saistīts ar samazināto finansējumu ES politiku instrumentu un pārējās ārvalstu finanšu palīdzības līdzfinansēto projektu un pasākumu īstenošanai. Vienlaikus paredzēts papildu finansējums kultūras nozares cilvēkresursu kapacitātes celšanai, Latvijas skolas somas pieejamības paplašināšanai, nacionālā kino saglabāšanai, latviešu valodas stiprināšanai caur lasītprasmi, </w:t>
      </w:r>
      <w:r w:rsidRPr="00BE038B">
        <w:rPr>
          <w:lang w:eastAsia="lv-LV"/>
        </w:rPr>
        <w:t xml:space="preserve">valsts tiešās pārvaldes iestādēs nodarbināto atalgojuma palielināšanai, </w:t>
      </w:r>
      <w:r w:rsidRPr="00BE038B">
        <w:t>sabiedriskā pasūtījuma nodrošināšanai un attīstībai sabiedriskajos medijos, sabiedrisko elektronisko plašsaziņas līdzekļu apvienošanas procesa sagatavošanai un īstenošanai, Sabiedrisko elektronisko plašsaziņas līdzekļu padomes</w:t>
      </w:r>
      <w:r w:rsidRPr="00087E96">
        <w:t xml:space="preserve"> kapacitātes stiprināšanai, NEPLP monitoringa kapacitātes stiprināšanai, pētījumam par Latvijas iedzīvotāju </w:t>
      </w:r>
      <w:proofErr w:type="spellStart"/>
      <w:r w:rsidRPr="00087E96">
        <w:t>medijpratību</w:t>
      </w:r>
      <w:proofErr w:type="spellEnd"/>
      <w:r w:rsidRPr="00087E96">
        <w:t>, Latvijas informatīvās telpas aizsardzības un NEPLP administratīvās kapacitātes stiprināšanai, aktuāliem informatīvās telpas drošības pasākumiem (</w:t>
      </w:r>
      <w:proofErr w:type="spellStart"/>
      <w:r w:rsidRPr="00087E96">
        <w:t>Mākoņtehnoloģiju</w:t>
      </w:r>
      <w:proofErr w:type="spellEnd"/>
      <w:r w:rsidRPr="00087E96">
        <w:t xml:space="preserve"> pakalpojumam un sistēmām) u.c.</w:t>
      </w:r>
      <w:r>
        <w:t xml:space="preserve"> </w:t>
      </w:r>
    </w:p>
    <w:p w14:paraId="6D993229" w14:textId="77777777" w:rsidR="00C15687" w:rsidRPr="00087E96" w:rsidRDefault="00C15687" w:rsidP="00C15687">
      <w:pPr>
        <w:ind w:firstLine="720"/>
        <w:rPr>
          <w:szCs w:val="24"/>
          <w:lang w:eastAsia="lv-LV"/>
        </w:rPr>
      </w:pPr>
      <w:r w:rsidRPr="00087E96">
        <w:rPr>
          <w:i/>
        </w:rPr>
        <w:lastRenderedPageBreak/>
        <w:t>izglītībai</w:t>
      </w:r>
      <w:r w:rsidRPr="00087E96">
        <w:t xml:space="preserve"> 1 155,2 milj. </w:t>
      </w:r>
      <w:proofErr w:type="spellStart"/>
      <w:r w:rsidRPr="00087E96">
        <w:rPr>
          <w:i/>
        </w:rPr>
        <w:t>euro</w:t>
      </w:r>
      <w:proofErr w:type="spellEnd"/>
      <w:r w:rsidRPr="00087E96">
        <w:t xml:space="preserve"> jeb 7,1%, kas salīdzinājumā ar 2023. gadā plānoto ir par 97,4 milj. </w:t>
      </w:r>
      <w:proofErr w:type="spellStart"/>
      <w:r w:rsidRPr="00087E96">
        <w:rPr>
          <w:i/>
        </w:rPr>
        <w:t>euro</w:t>
      </w:r>
      <w:proofErr w:type="spellEnd"/>
      <w:r w:rsidRPr="00087E96">
        <w:t xml:space="preserve"> jeb 9,2% vairāk. </w:t>
      </w:r>
      <w:r w:rsidRPr="00087E96">
        <w:rPr>
          <w:szCs w:val="24"/>
        </w:rPr>
        <w:t>Paredzēts papildu finansējums</w:t>
      </w:r>
      <w:r w:rsidRPr="00087E96">
        <w:rPr>
          <w:szCs w:val="24"/>
          <w:lang w:eastAsia="lv-LV"/>
        </w:rPr>
        <w:t xml:space="preserve"> pedagogu zemākās darba samaksas likmes pieauguma grafika laikposmam no 2023.</w:t>
      </w:r>
      <w:r>
        <w:rPr>
          <w:szCs w:val="24"/>
          <w:lang w:eastAsia="lv-LV"/>
        </w:rPr>
        <w:t xml:space="preserve"> </w:t>
      </w:r>
      <w:r w:rsidRPr="00087E96">
        <w:rPr>
          <w:szCs w:val="24"/>
          <w:lang w:eastAsia="lv-LV"/>
        </w:rPr>
        <w:t>gada 1.</w:t>
      </w:r>
      <w:r>
        <w:rPr>
          <w:szCs w:val="24"/>
          <w:lang w:eastAsia="lv-LV"/>
        </w:rPr>
        <w:t xml:space="preserve"> </w:t>
      </w:r>
      <w:r w:rsidRPr="00087E96">
        <w:rPr>
          <w:szCs w:val="24"/>
          <w:lang w:eastAsia="lv-LV"/>
        </w:rPr>
        <w:t>septembra līdz 2025.</w:t>
      </w:r>
      <w:r>
        <w:rPr>
          <w:szCs w:val="24"/>
          <w:lang w:eastAsia="lv-LV"/>
        </w:rPr>
        <w:t xml:space="preserve"> </w:t>
      </w:r>
      <w:r w:rsidRPr="00087E96">
        <w:rPr>
          <w:szCs w:val="24"/>
          <w:lang w:eastAsia="lv-LV"/>
        </w:rPr>
        <w:t>gada 31.</w:t>
      </w:r>
      <w:r>
        <w:rPr>
          <w:szCs w:val="24"/>
          <w:lang w:eastAsia="lv-LV"/>
        </w:rPr>
        <w:t xml:space="preserve"> </w:t>
      </w:r>
      <w:r w:rsidRPr="00087E96">
        <w:rPr>
          <w:szCs w:val="24"/>
          <w:lang w:eastAsia="lv-LV"/>
        </w:rPr>
        <w:t>decembrim 1.</w:t>
      </w:r>
      <w:r>
        <w:rPr>
          <w:szCs w:val="24"/>
          <w:lang w:eastAsia="lv-LV"/>
        </w:rPr>
        <w:t xml:space="preserve"> </w:t>
      </w:r>
      <w:r w:rsidRPr="00087E96">
        <w:rPr>
          <w:szCs w:val="24"/>
          <w:lang w:eastAsia="lv-LV"/>
        </w:rPr>
        <w:t>soļa īstenošanai, pedagogu darba samaksas pieauguma grafika īstenošanas 2.</w:t>
      </w:r>
      <w:r>
        <w:rPr>
          <w:szCs w:val="24"/>
          <w:lang w:eastAsia="lv-LV"/>
        </w:rPr>
        <w:t> </w:t>
      </w:r>
      <w:r w:rsidRPr="00087E96">
        <w:rPr>
          <w:szCs w:val="24"/>
          <w:lang w:eastAsia="lv-LV"/>
        </w:rPr>
        <w:t>solim no 2024.</w:t>
      </w:r>
      <w:r>
        <w:rPr>
          <w:szCs w:val="24"/>
          <w:lang w:eastAsia="lv-LV"/>
        </w:rPr>
        <w:t xml:space="preserve"> </w:t>
      </w:r>
      <w:r w:rsidRPr="00087E96">
        <w:rPr>
          <w:szCs w:val="24"/>
          <w:lang w:eastAsia="lv-LV"/>
        </w:rPr>
        <w:t>gada 1.janvāra, pirmsskolas pedagogu algu izlīdzināšanai atbilstoši Satversmes tiesas spriedumam</w:t>
      </w:r>
      <w:r w:rsidRPr="00087E96">
        <w:rPr>
          <w:szCs w:val="24"/>
        </w:rPr>
        <w:t>, valsts augstskolu padomju darbības nodrošināšanai</w:t>
      </w:r>
      <w:r w:rsidRPr="00087E96">
        <w:t xml:space="preserve">, mācību līdzekļu iegādei un digitālo mācību līdzekļu un platformu izstrādei un uzturēšanai, </w:t>
      </w:r>
      <w:r w:rsidRPr="00087E96">
        <w:rPr>
          <w:rFonts w:eastAsia="Calibri"/>
          <w:szCs w:val="24"/>
        </w:rPr>
        <w:t xml:space="preserve">STEM skolotāju sagatavošanas programmai 3 gadiem un inovatīvas valsts digitālās pārvaldības zinātniskās un mācību kompetences attīstībai ar </w:t>
      </w:r>
      <w:proofErr w:type="spellStart"/>
      <w:r w:rsidRPr="00087E96">
        <w:rPr>
          <w:rFonts w:eastAsia="Calibri"/>
          <w:szCs w:val="24"/>
        </w:rPr>
        <w:t>tenūras</w:t>
      </w:r>
      <w:proofErr w:type="spellEnd"/>
      <w:r w:rsidRPr="00087E96">
        <w:rPr>
          <w:rFonts w:eastAsia="Calibri"/>
          <w:szCs w:val="24"/>
        </w:rPr>
        <w:t xml:space="preserve"> modeli un studiju programmu, </w:t>
      </w:r>
      <w:r w:rsidRPr="00087E96">
        <w:rPr>
          <w:szCs w:val="24"/>
          <w:lang w:eastAsia="lv-LV"/>
        </w:rPr>
        <w:t xml:space="preserve">Latvijas </w:t>
      </w:r>
      <w:proofErr w:type="spellStart"/>
      <w:r w:rsidRPr="00087E96">
        <w:rPr>
          <w:szCs w:val="24"/>
          <w:lang w:eastAsia="lv-LV"/>
        </w:rPr>
        <w:t>Biozinātņu</w:t>
      </w:r>
      <w:proofErr w:type="spellEnd"/>
      <w:r w:rsidRPr="00087E96">
        <w:rPr>
          <w:szCs w:val="24"/>
          <w:lang w:eastAsia="lv-LV"/>
        </w:rPr>
        <w:t xml:space="preserve"> un tehnoloģiju universitātes pārvaldīšanā esošo ēku ugunsdrošības prasību atbilstības nodrošināšanai un ēku tehniskās apsekošanas un </w:t>
      </w:r>
      <w:proofErr w:type="spellStart"/>
      <w:r w:rsidRPr="00087E96">
        <w:rPr>
          <w:szCs w:val="24"/>
          <w:lang w:eastAsia="lv-LV"/>
        </w:rPr>
        <w:t>energosertifikācijas</w:t>
      </w:r>
      <w:proofErr w:type="spellEnd"/>
      <w:r w:rsidRPr="00087E96">
        <w:rPr>
          <w:szCs w:val="24"/>
          <w:lang w:eastAsia="lv-LV"/>
        </w:rPr>
        <w:t xml:space="preserve"> veikšanai un Malnavas koledžai saistību izpildei, </w:t>
      </w:r>
      <w:r w:rsidRPr="00087E96">
        <w:rPr>
          <w:lang w:eastAsia="lv-LV"/>
        </w:rPr>
        <w:t>valsts tiešās pārvaldes iestādēs nodarbināto atalgojuma palielināšanai</w:t>
      </w:r>
      <w:r w:rsidRPr="00087E96">
        <w:rPr>
          <w:rFonts w:eastAsia="Calibri"/>
          <w:szCs w:val="24"/>
        </w:rPr>
        <w:t xml:space="preserve"> </w:t>
      </w:r>
      <w:r w:rsidRPr="00087E96">
        <w:t>u.c.;</w:t>
      </w:r>
    </w:p>
    <w:p w14:paraId="2926383F" w14:textId="77777777" w:rsidR="00C15687" w:rsidRPr="003740C3" w:rsidRDefault="00C15687" w:rsidP="00C15687">
      <w:pPr>
        <w:ind w:firstLine="720"/>
        <w:rPr>
          <w:szCs w:val="24"/>
          <w:lang w:eastAsia="lv-LV"/>
        </w:rPr>
      </w:pPr>
      <w:r w:rsidRPr="00087E96">
        <w:rPr>
          <w:i/>
          <w:szCs w:val="24"/>
        </w:rPr>
        <w:t xml:space="preserve">sociālajai aizsardzībai </w:t>
      </w:r>
      <w:r w:rsidRPr="00087E96">
        <w:rPr>
          <w:szCs w:val="24"/>
        </w:rPr>
        <w:t xml:space="preserve">5 247,2 milj. </w:t>
      </w:r>
      <w:proofErr w:type="spellStart"/>
      <w:r w:rsidRPr="00087E96">
        <w:rPr>
          <w:i/>
          <w:szCs w:val="24"/>
        </w:rPr>
        <w:t>euro</w:t>
      </w:r>
      <w:proofErr w:type="spellEnd"/>
      <w:r w:rsidRPr="00087E96">
        <w:rPr>
          <w:szCs w:val="24"/>
        </w:rPr>
        <w:t xml:space="preserve"> jeb 32,4%, kas salīdzinājumā ar 2023. gadā plānoto ir par 239,5 milj. </w:t>
      </w:r>
      <w:proofErr w:type="spellStart"/>
      <w:r w:rsidRPr="00087E96">
        <w:rPr>
          <w:i/>
          <w:szCs w:val="24"/>
        </w:rPr>
        <w:t>euro</w:t>
      </w:r>
      <w:proofErr w:type="spellEnd"/>
      <w:r w:rsidRPr="00087E96">
        <w:rPr>
          <w:i/>
          <w:szCs w:val="24"/>
        </w:rPr>
        <w:t xml:space="preserve"> </w:t>
      </w:r>
      <w:r w:rsidRPr="00087E96">
        <w:rPr>
          <w:szCs w:val="24"/>
        </w:rPr>
        <w:t xml:space="preserve">jeb 4,8% vairāk. Palielinājums galvenokārt saistīts ar papildu finansējuma piešķiršanu paliatīvās aprūpes sistēmas pilnveidošanai, atbalsta pasākumiem ģimenēm ar bērniem, </w:t>
      </w:r>
      <w:r>
        <w:rPr>
          <w:szCs w:val="24"/>
          <w:lang w:eastAsia="lv-LV"/>
        </w:rPr>
        <w:t>“</w:t>
      </w:r>
      <w:r w:rsidRPr="00087E96">
        <w:rPr>
          <w:szCs w:val="24"/>
          <w:lang w:eastAsia="lv-LV"/>
        </w:rPr>
        <w:t>Bērna mājas</w:t>
      </w:r>
      <w:r>
        <w:rPr>
          <w:szCs w:val="24"/>
          <w:lang w:eastAsia="lv-LV"/>
        </w:rPr>
        <w:t>”</w:t>
      </w:r>
      <w:r w:rsidRPr="00087E96">
        <w:rPr>
          <w:szCs w:val="24"/>
          <w:lang w:eastAsia="lv-LV"/>
        </w:rPr>
        <w:t xml:space="preserve"> pakalpojuma pastāvīgas darbības  nodrošināšanai, pensiju, pabalstu un atlīdzīb</w:t>
      </w:r>
      <w:r>
        <w:rPr>
          <w:szCs w:val="24"/>
          <w:lang w:eastAsia="lv-LV"/>
        </w:rPr>
        <w:t>u</w:t>
      </w:r>
      <w:r w:rsidRPr="00087E96">
        <w:rPr>
          <w:szCs w:val="24"/>
          <w:lang w:eastAsia="lv-LV"/>
        </w:rPr>
        <w:t xml:space="preserve"> piegādes saņēmēja dzīvesvietā samaksas pieauguma kompensēšanai,</w:t>
      </w:r>
      <w:r w:rsidRPr="00087E96">
        <w:rPr>
          <w:szCs w:val="24"/>
        </w:rPr>
        <w:t xml:space="preserve"> </w:t>
      </w:r>
      <w:r w:rsidRPr="00087E96">
        <w:rPr>
          <w:rFonts w:eastAsia="Calibri"/>
          <w:szCs w:val="24"/>
        </w:rPr>
        <w:t>personu ar invaliditāti</w:t>
      </w:r>
      <w:r w:rsidRPr="00087E96">
        <w:rPr>
          <w:szCs w:val="24"/>
          <w:lang w:eastAsia="lv-LV"/>
        </w:rPr>
        <w:t xml:space="preserve"> asistentu un pavadoņu atlīdzības apmēra paaugstināšanai, labklājības nozares sniegto pakalpojumu pieejamības nodrošināšanai, bērnu aizsardzības un atbalsta sistēmas pilnveidei, ēdināšanas izdevumu sadārdzinājuma segšanai, </w:t>
      </w:r>
      <w:r w:rsidRPr="00087E96">
        <w:rPr>
          <w:lang w:eastAsia="lv-LV"/>
        </w:rPr>
        <w:t>valsts tiešās pārvaldes iestādēs nodarbināto atalgojuma palielināšanai,</w:t>
      </w:r>
      <w:r w:rsidRPr="00087E96">
        <w:rPr>
          <w:szCs w:val="24"/>
          <w:lang w:eastAsia="lv-LV"/>
        </w:rPr>
        <w:t xml:space="preserve"> </w:t>
      </w:r>
      <w:r w:rsidRPr="00087E96">
        <w:rPr>
          <w:szCs w:val="24"/>
        </w:rPr>
        <w:t>piemaksu pie vecuma un invaliditātes pensijas saņēmēju loka un apmēra paplašināšanai</w:t>
      </w:r>
      <w:r>
        <w:rPr>
          <w:szCs w:val="24"/>
        </w:rPr>
        <w:t>.</w:t>
      </w:r>
      <w:r w:rsidRPr="00087E96">
        <w:rPr>
          <w:szCs w:val="24"/>
        </w:rPr>
        <w:t xml:space="preserve"> </w:t>
      </w:r>
      <w:r w:rsidRPr="00DC45D1">
        <w:rPr>
          <w:szCs w:val="24"/>
        </w:rPr>
        <w:t>Izdevumu palielinājums izdienas pensijas izmaksām</w:t>
      </w:r>
      <w:r>
        <w:rPr>
          <w:szCs w:val="24"/>
        </w:rPr>
        <w:t xml:space="preserve"> no pamatbudžeta</w:t>
      </w:r>
      <w:r w:rsidRPr="00DC45D1">
        <w:rPr>
          <w:szCs w:val="24"/>
        </w:rPr>
        <w:t xml:space="preserve"> saistībā ar pensiju saņēmēju skaita un pensijas vidējā apmēra mēnesī prognozēto palielināšanos, piemaksas pie vecuma pensijām izmaksām saistībā ar piemaksas vidējā apmēra mēnesī prognozēto palielināšanos</w:t>
      </w:r>
      <w:r>
        <w:rPr>
          <w:szCs w:val="24"/>
        </w:rPr>
        <w:t xml:space="preserve">, </w:t>
      </w:r>
      <w:r>
        <w:t>valsts sociālā nodrošinājuma pabalsta izmaksām</w:t>
      </w:r>
      <w:r w:rsidRPr="000567EA">
        <w:t xml:space="preserve"> </w:t>
      </w:r>
      <w:r>
        <w:t>saistībā ar pabalsta saņēmēju skaita un pabalsta vidējā apmēra mēnesī prognozēto palielināšanos</w:t>
      </w:r>
      <w:r w:rsidRPr="00DC45D1">
        <w:rPr>
          <w:szCs w:val="24"/>
        </w:rPr>
        <w:t>,</w:t>
      </w:r>
      <w:r w:rsidRPr="00087E96">
        <w:rPr>
          <w:szCs w:val="24"/>
        </w:rPr>
        <w:t xml:space="preserve"> vecuma pensijas </w:t>
      </w:r>
      <w:r w:rsidRPr="00087E96">
        <w:t>izmaksām saistībā ar vecuma pensijas vidējā apmēra mēnesī prognozēto palielināšanos, pensijas apgādnieka zaudējuma gadījumā izmaksām saistībā ar pensijas saņēmēju skaita un pensijas vidējā apmēra mēnesī prognozēto palielināšanos, apbedīšanas pabalsta izmaksām saistībā ar pabalsta vidējā apmēra mēnesī prognozēto palielināšanos, pabalsta pensijas saņēmēja nāves gadījumā pārdzīvojušam laulātajam izmaksām saistībā ar pabalsta vidējā apmēra mēnesī prognozēto palielināšanos, bezdarbnieka pabalsta izmaksām saistībā ar pabalsta vidējā apmēra mēnesī prognozēto palielināšanos</w:t>
      </w:r>
      <w:r w:rsidRPr="00087E96">
        <w:rPr>
          <w:szCs w:val="24"/>
        </w:rPr>
        <w:t xml:space="preserve">, </w:t>
      </w:r>
      <w:r w:rsidRPr="00087E96">
        <w:rPr>
          <w:szCs w:val="24"/>
          <w:lang w:eastAsia="lv-LV"/>
        </w:rPr>
        <w:t xml:space="preserve">atlīdzības par darbspēju zaudējumu izmaksām saistībā ar atlīdzības saņēmēju skaita un atlīdzības vidējā apmēra mēnesī prognozēto palielināšanos, </w:t>
      </w:r>
      <w:r w:rsidRPr="00087E96">
        <w:rPr>
          <w:szCs w:val="24"/>
        </w:rPr>
        <w:t xml:space="preserve">vecāku pabalsta </w:t>
      </w:r>
      <w:r w:rsidRPr="00087E96">
        <w:rPr>
          <w:szCs w:val="24"/>
          <w:lang w:eastAsia="lv-LV"/>
        </w:rPr>
        <w:t xml:space="preserve">izmaksām saistībā ar vecāku pabalsta vidējā apmēra mēnesī prognozēto palielināšanos </w:t>
      </w:r>
      <w:r w:rsidRPr="00087E96">
        <w:rPr>
          <w:szCs w:val="24"/>
        </w:rPr>
        <w:t xml:space="preserve">u.c. Savukārt, paredzēts samazinājums </w:t>
      </w:r>
      <w:r w:rsidRPr="00087E96">
        <w:rPr>
          <w:szCs w:val="24"/>
          <w:lang w:eastAsia="lv-LV"/>
        </w:rPr>
        <w:t xml:space="preserve">slimības pabalsta </w:t>
      </w:r>
      <w:r>
        <w:rPr>
          <w:szCs w:val="24"/>
          <w:lang w:eastAsia="lv-LV"/>
        </w:rPr>
        <w:t xml:space="preserve">vispārējā gadījumā </w:t>
      </w:r>
      <w:r w:rsidRPr="00087E96">
        <w:rPr>
          <w:szCs w:val="24"/>
          <w:lang w:eastAsia="lv-LV"/>
        </w:rPr>
        <w:t>izmaksām saistībā ar slimības pabalsta saņēmēju skaita prognozēto samazināšanos.</w:t>
      </w:r>
    </w:p>
    <w:p w14:paraId="3A488B59" w14:textId="77777777" w:rsidR="00C15687" w:rsidRPr="00087E96" w:rsidRDefault="00C15687" w:rsidP="00C15687">
      <w:pPr>
        <w:ind w:firstLine="720"/>
        <w:rPr>
          <w:lang w:eastAsia="lv-LV"/>
        </w:rPr>
      </w:pPr>
      <w:r w:rsidRPr="00087E96">
        <w:rPr>
          <w:i/>
        </w:rPr>
        <w:t>Saskaņā ar izdevumu klasifikāciju atbilstoši ekonomiskajām kategorijām</w:t>
      </w:r>
      <w:r w:rsidRPr="00087E96">
        <w:t xml:space="preserve"> valsts budžeta izdevumu finansēšanai 2024. gadā 1 816,8 milj. </w:t>
      </w:r>
      <w:proofErr w:type="spellStart"/>
      <w:r w:rsidRPr="00087E96">
        <w:rPr>
          <w:i/>
        </w:rPr>
        <w:t>euro</w:t>
      </w:r>
      <w:proofErr w:type="spellEnd"/>
      <w:r w:rsidRPr="00087E96">
        <w:t xml:space="preserve"> jeb 11,2% no kopējiem izdevumiem paredzēts novirzīt </w:t>
      </w:r>
      <w:r w:rsidRPr="00087E96">
        <w:rPr>
          <w:i/>
        </w:rPr>
        <w:t>atlīdzībai</w:t>
      </w:r>
      <w:r w:rsidRPr="00087E96">
        <w:t xml:space="preserve">. Salīdzinot ar 2023. gadu, izdevumi atlīdzībai palielinās par 11,2% jeb 183,6 milj. </w:t>
      </w:r>
      <w:proofErr w:type="spellStart"/>
      <w:r w:rsidRPr="00087E96">
        <w:rPr>
          <w:i/>
        </w:rPr>
        <w:t>euro</w:t>
      </w:r>
      <w:proofErr w:type="spellEnd"/>
      <w:r w:rsidRPr="00087E96">
        <w:t xml:space="preserve">. </w:t>
      </w:r>
      <w:r w:rsidRPr="00087E96">
        <w:rPr>
          <w:szCs w:val="24"/>
        </w:rPr>
        <w:t xml:space="preserve">Izdevumi atlīdzībai palielināti saistībā </w:t>
      </w:r>
      <w:r w:rsidRPr="00087E96">
        <w:t>papildus piešķirto finansējumu</w:t>
      </w:r>
      <w:r w:rsidRPr="00087E96">
        <w:rPr>
          <w:szCs w:val="18"/>
          <w:lang w:eastAsia="lv-LV"/>
        </w:rPr>
        <w:t xml:space="preserve"> atlīdzībai </w:t>
      </w:r>
      <w:proofErr w:type="spellStart"/>
      <w:r w:rsidRPr="00087E96">
        <w:rPr>
          <w:szCs w:val="18"/>
          <w:lang w:eastAsia="lv-LV"/>
        </w:rPr>
        <w:t>Iekšlietu</w:t>
      </w:r>
      <w:proofErr w:type="spellEnd"/>
      <w:r w:rsidRPr="00087E96">
        <w:rPr>
          <w:szCs w:val="18"/>
          <w:lang w:eastAsia="lv-LV"/>
        </w:rPr>
        <w:t xml:space="preserve"> ministrijas un Tieslietu ministrijas institūcijās nodarbinātajiem, tai skaitā Probācijas dienestam, </w:t>
      </w:r>
      <w:r w:rsidRPr="00087E96">
        <w:rPr>
          <w:lang w:eastAsia="lv-LV"/>
        </w:rPr>
        <w:t xml:space="preserve">valsts tiešās pārvaldes iestādēs nodarbināto atalgojuma palielināšanai, atlīdzībai Valsts ieņēmumu dienesta nodarbinātajiem, konkurētspējīga atalgojuma nodrošināšanai tiesās, Datu valsts inspekcijas nodarbināto mēnešalgu palielinājumam, </w:t>
      </w:r>
      <w:r w:rsidRPr="00087E96">
        <w:rPr>
          <w:szCs w:val="18"/>
          <w:lang w:eastAsia="lv-LV"/>
        </w:rPr>
        <w:t>konkurētspējīgas Augstākās tiesas darbinieku atalgojuma sistēmas uzturēšanai,</w:t>
      </w:r>
      <w:r w:rsidRPr="00087E96">
        <w:rPr>
          <w:rFonts w:eastAsia="Calibri"/>
          <w:bCs/>
          <w:szCs w:val="24"/>
        </w:rPr>
        <w:t xml:space="preserve"> </w:t>
      </w:r>
      <w:proofErr w:type="spellStart"/>
      <w:r w:rsidRPr="00087E96">
        <w:rPr>
          <w:rFonts w:eastAsia="Calibri"/>
          <w:bCs/>
          <w:szCs w:val="24"/>
        </w:rPr>
        <w:t>Tiesībsarga</w:t>
      </w:r>
      <w:proofErr w:type="spellEnd"/>
      <w:r w:rsidRPr="00087E96">
        <w:rPr>
          <w:rFonts w:eastAsia="Calibri"/>
          <w:bCs/>
          <w:szCs w:val="24"/>
        </w:rPr>
        <w:t xml:space="preserve"> biroja kapacitātes stiprināšanai, Valsts kontroles kapacitātes stiprināšanai publiskā sektora revīzijās, stiprinot </w:t>
      </w:r>
      <w:proofErr w:type="spellStart"/>
      <w:r w:rsidRPr="00087E96">
        <w:rPr>
          <w:rFonts w:eastAsia="Calibri"/>
          <w:bCs/>
          <w:szCs w:val="24"/>
        </w:rPr>
        <w:t>cilvēkkapitālu</w:t>
      </w:r>
      <w:proofErr w:type="spellEnd"/>
      <w:r w:rsidRPr="00087E96">
        <w:rPr>
          <w:rFonts w:eastAsia="Calibri"/>
          <w:bCs/>
          <w:szCs w:val="24"/>
        </w:rPr>
        <w:t>,</w:t>
      </w:r>
      <w:r w:rsidRPr="00087E96">
        <w:rPr>
          <w:szCs w:val="18"/>
          <w:lang w:eastAsia="lv-LV"/>
        </w:rPr>
        <w:t xml:space="preserve"> </w:t>
      </w:r>
      <w:proofErr w:type="spellStart"/>
      <w:r w:rsidRPr="00087E96">
        <w:rPr>
          <w:szCs w:val="18"/>
          <w:lang w:eastAsia="lv-LV"/>
        </w:rPr>
        <w:t>Satvesmes</w:t>
      </w:r>
      <w:proofErr w:type="spellEnd"/>
      <w:r w:rsidRPr="00087E96">
        <w:rPr>
          <w:szCs w:val="18"/>
          <w:lang w:eastAsia="lv-LV"/>
        </w:rPr>
        <w:t xml:space="preserve"> tiesas darbinieku atlīdzības palielināšanai, </w:t>
      </w:r>
      <w:r w:rsidRPr="00087E96">
        <w:rPr>
          <w:szCs w:val="18"/>
          <w:lang w:eastAsia="lv-LV"/>
        </w:rPr>
        <w:lastRenderedPageBreak/>
        <w:t>Satversmes tiesas tiesnešu atlaišanas pabalstu un neizmantoto atvaļinājumu kompensāciju nodrošināšanai, Prokuratūras darbinieku atalgojuma palielināšanai,</w:t>
      </w:r>
      <w:r w:rsidRPr="00087E96">
        <w:rPr>
          <w:lang w:eastAsia="lv-LV"/>
        </w:rPr>
        <w:t xml:space="preserve"> </w:t>
      </w:r>
      <w:r w:rsidRPr="00087E96">
        <w:t>Aizsardzības ministrijai starptautisko operāciju un Nacionālo bruņoto spēku personālsastāva centralizētajam atalgojumam</w:t>
      </w:r>
      <w:r w:rsidRPr="00087E96">
        <w:rPr>
          <w:szCs w:val="24"/>
        </w:rPr>
        <w:t xml:space="preserve"> u.c.;</w:t>
      </w:r>
    </w:p>
    <w:p w14:paraId="0C16B398" w14:textId="77777777" w:rsidR="00C15687" w:rsidRPr="00087E96" w:rsidRDefault="00C15687" w:rsidP="00C15687">
      <w:pPr>
        <w:ind w:firstLine="720"/>
      </w:pPr>
      <w:r w:rsidRPr="00087E96">
        <w:t xml:space="preserve">Izdevumi </w:t>
      </w:r>
      <w:r w:rsidRPr="00087E96">
        <w:rPr>
          <w:i/>
        </w:rPr>
        <w:t>precēm un pakalpojumiem</w:t>
      </w:r>
      <w:r w:rsidRPr="00087E96">
        <w:t xml:space="preserve"> 2024. gadā paredzēti 993,4 milj. </w:t>
      </w:r>
      <w:proofErr w:type="spellStart"/>
      <w:r w:rsidRPr="00087E96">
        <w:rPr>
          <w:i/>
        </w:rPr>
        <w:t>euro</w:t>
      </w:r>
      <w:proofErr w:type="spellEnd"/>
      <w:r w:rsidRPr="00087E96">
        <w:t xml:space="preserve"> jeb 6,1% no kopējiem izdevumiem. Salīdzinot ar 2023. gadu, izdevumi precēm un pakalpojumiem samazināti par 11,0% jeb 122,9 milj. </w:t>
      </w:r>
      <w:proofErr w:type="spellStart"/>
      <w:r w:rsidRPr="00087E96">
        <w:rPr>
          <w:i/>
        </w:rPr>
        <w:t>euro</w:t>
      </w:r>
      <w:proofErr w:type="spellEnd"/>
      <w:r w:rsidRPr="00087E96">
        <w:t>. Samazinājums galvenokārt saistīts ar samazināto finansējumu naftas produktu rezervju uzturēšanai, izdevumiem ES politiku instrumentu un pārējās ārvalstu finanšu palīdzības līdzfinansēto projektu un pasākumu īstenošanai u.c.;</w:t>
      </w:r>
    </w:p>
    <w:p w14:paraId="5DF49506" w14:textId="77777777" w:rsidR="00C15687" w:rsidRPr="00087E96" w:rsidRDefault="00C15687" w:rsidP="00C15687">
      <w:pPr>
        <w:ind w:firstLine="720"/>
      </w:pPr>
      <w:r w:rsidRPr="00087E96">
        <w:rPr>
          <w:i/>
        </w:rPr>
        <w:t>Procentu izdevumiem</w:t>
      </w:r>
      <w:r w:rsidRPr="00087E96">
        <w:t xml:space="preserve"> 2024. gadā paredzēti 361,4 milj. </w:t>
      </w:r>
      <w:proofErr w:type="spellStart"/>
      <w:r w:rsidRPr="00087E96">
        <w:rPr>
          <w:i/>
        </w:rPr>
        <w:t>euro</w:t>
      </w:r>
      <w:proofErr w:type="spellEnd"/>
      <w:r w:rsidRPr="00087E96">
        <w:t xml:space="preserve">. Salīdzinot ar 2023. gadu, to apjoms palielinājies par 160,3 milj. </w:t>
      </w:r>
      <w:proofErr w:type="spellStart"/>
      <w:r w:rsidRPr="00087E96">
        <w:rPr>
          <w:i/>
        </w:rPr>
        <w:t>euro</w:t>
      </w:r>
      <w:proofErr w:type="spellEnd"/>
      <w:r w:rsidRPr="00087E96">
        <w:t xml:space="preserve"> jeb 79,8%, palielinot finansējumu valsts parāda vadībai un procentu maksājumiem studiju un studējošo kreditēšanas normatīvā regulējuma ietvaros;</w:t>
      </w:r>
    </w:p>
    <w:p w14:paraId="0B05F9F9" w14:textId="77777777" w:rsidR="00C15687" w:rsidRPr="00087E96" w:rsidRDefault="00C15687" w:rsidP="00C15687">
      <w:pPr>
        <w:ind w:firstLine="720"/>
      </w:pPr>
      <w:r w:rsidRPr="00087E96">
        <w:rPr>
          <w:i/>
        </w:rPr>
        <w:t>Subsīdijām un dotācijām</w:t>
      </w:r>
      <w:r w:rsidRPr="00087E96">
        <w:t xml:space="preserve"> 2024. gadā paredzēti 5 301,8 milj. </w:t>
      </w:r>
      <w:proofErr w:type="spellStart"/>
      <w:r w:rsidRPr="00087E96">
        <w:rPr>
          <w:i/>
        </w:rPr>
        <w:t>euro</w:t>
      </w:r>
      <w:proofErr w:type="spellEnd"/>
      <w:r w:rsidRPr="00087E96">
        <w:t xml:space="preserve"> jeb 32,7% no kopējiem izdevumiem. Salīdzinot ar 2023. gadu, to apjoms palielināts par 726,2 milj. </w:t>
      </w:r>
      <w:proofErr w:type="spellStart"/>
      <w:r w:rsidRPr="00087E96">
        <w:rPr>
          <w:i/>
        </w:rPr>
        <w:t>euro</w:t>
      </w:r>
      <w:proofErr w:type="spellEnd"/>
      <w:r w:rsidRPr="00087E96">
        <w:t xml:space="preserve"> jeb 15,9%. Palielinājums galvenokārt saistīts ar plānoto finansējumu budžeta 74. resora 02.00.00 programmā “Līdzekļi neparedzētiem gadījumiem”, 09.00.00 programmā “Valsts nozīmes reformas īstenošanai”, 16.00.00 programmā </w:t>
      </w:r>
      <w:r w:rsidRPr="00087E96">
        <w:rPr>
          <w:rFonts w:eastAsia="Calibri"/>
          <w:bCs/>
          <w:iCs/>
          <w:szCs w:val="24"/>
        </w:rPr>
        <w:t>“Finansējums Krievijas militārās agresijas ietekmes mazināšanas atbalsta instrumentiem”, 18.00.00 programmā “Finansējums valsts drošības stiprināšanas pasākumiem”, 19.00.00 programmā “Finansējums energoresursu un ēdināšanas izdevumu pieauguma kompensēšanai”</w:t>
      </w:r>
      <w:r w:rsidRPr="00087E96">
        <w:t xml:space="preserve">, 20.00.00 programmā “Veselības aprūpes pasākumu īstenošana”, 22.00.00 programmā “Valsts ārējās robežas drošības pasākumu nodrošināšana”, 23.00.00 programmā “Valsts atbalsta programmas”, 80.00.00 programmā “Nesadalītais finansējums Eiropas Savienības politiku instrumentu un pārējās ārvalstu finanšu palīdzības līdzfinansēto projektu un pasākumu īstenošanai” u.c.; </w:t>
      </w:r>
    </w:p>
    <w:p w14:paraId="7F53836B" w14:textId="77777777" w:rsidR="00C15687" w:rsidRPr="00087E96" w:rsidRDefault="00C15687" w:rsidP="00C15687">
      <w:pPr>
        <w:ind w:firstLine="720"/>
        <w:rPr>
          <w:szCs w:val="24"/>
          <w:lang w:eastAsia="lv-LV"/>
        </w:rPr>
      </w:pPr>
      <w:r w:rsidRPr="00087E96">
        <w:rPr>
          <w:i/>
        </w:rPr>
        <w:t xml:space="preserve">Sociāla rakstura maksājumiem un kompensācijām </w:t>
      </w:r>
      <w:r w:rsidRPr="00087E96">
        <w:t xml:space="preserve">2024. gadā paredzēti 4 942,1 milj. </w:t>
      </w:r>
      <w:proofErr w:type="spellStart"/>
      <w:r w:rsidRPr="00087E96">
        <w:rPr>
          <w:i/>
        </w:rPr>
        <w:t>euro</w:t>
      </w:r>
      <w:proofErr w:type="spellEnd"/>
      <w:r w:rsidRPr="00087E96">
        <w:t xml:space="preserve"> jeb 30,5% no kopējiem izdevumiem. Salīdzinot ar 2023. gadu, to apjoms palielinājies par 295,5 milj. </w:t>
      </w:r>
      <w:proofErr w:type="spellStart"/>
      <w:r w:rsidRPr="00087E96">
        <w:rPr>
          <w:i/>
        </w:rPr>
        <w:t>euro</w:t>
      </w:r>
      <w:proofErr w:type="spellEnd"/>
      <w:r w:rsidRPr="00087E96">
        <w:rPr>
          <w:i/>
        </w:rPr>
        <w:t xml:space="preserve"> </w:t>
      </w:r>
      <w:r w:rsidRPr="00087E96">
        <w:t xml:space="preserve">jeb 6,4%. </w:t>
      </w:r>
      <w:r w:rsidRPr="00087E96">
        <w:rPr>
          <w:szCs w:val="24"/>
          <w:lang w:eastAsia="lv-LV"/>
        </w:rPr>
        <w:t>Izdevumu palielinājums</w:t>
      </w:r>
      <w:r w:rsidRPr="00087E96">
        <w:t xml:space="preserve"> </w:t>
      </w:r>
      <w:r>
        <w:t xml:space="preserve">izdienas pensijas izmaksām no pamatbudžeta </w:t>
      </w:r>
      <w:bookmarkStart w:id="1" w:name="_Hlk148978187"/>
      <w:r>
        <w:t>saistībā ar pensiju saņēmēju skaita un pensijas vidējā apmēra mēnesī prognozēto palielināšanos</w:t>
      </w:r>
      <w:bookmarkEnd w:id="1"/>
      <w:r>
        <w:t xml:space="preserve">, </w:t>
      </w:r>
      <w:bookmarkStart w:id="2" w:name="_Hlk148978259"/>
      <w:r>
        <w:t>valsts sociālā nodrošinājuma pabalsta izmaksām</w:t>
      </w:r>
      <w:r w:rsidRPr="000567EA">
        <w:t xml:space="preserve"> </w:t>
      </w:r>
      <w:r>
        <w:t>saistībā ar pabalsta saņēmēju skaita un pabalsta vidējā apmēra mēnesī prognozēto palielināšanos</w:t>
      </w:r>
      <w:bookmarkEnd w:id="2"/>
      <w:r>
        <w:t xml:space="preserve">, </w:t>
      </w:r>
      <w:r w:rsidRPr="00087E96">
        <w:rPr>
          <w:szCs w:val="24"/>
        </w:rPr>
        <w:t xml:space="preserve">piemaksu pie vecuma un invaliditātes pensijas saņēmēju loka un apmēra paplašināšanai, vecuma pensijas </w:t>
      </w:r>
      <w:r w:rsidRPr="00087E96">
        <w:t>izmaksām saistībā ar vecuma pensijas vidējā apmēra mēnesī prognozēto palielināšanos, pensijas apgādnieka zaudējuma gadījumā izmaksām saistībā ar pensijas saņēmēju skaita un pensijas vidējā apmēra mēnesī prognozēto palielināšanos, apbedīšanas pabalsta izmaksām saistībā ar pabalsta vidējā apmēra mēnesī prognozēto palielināšanos, pabalsta pensijas saņēmēja nāves gadījumā pārdzīvojušam laulātajam izmaksām saistībā ar pabalsta vidējā apmēra mēnesī prognozēto palielināšanos, bezdarbnieka pabalsta izmaksām saistībā ar pabalsta vidējā apmēra mēnesī prognozēto palielināšanos</w:t>
      </w:r>
      <w:r w:rsidRPr="00087E96">
        <w:rPr>
          <w:szCs w:val="24"/>
        </w:rPr>
        <w:t xml:space="preserve">, </w:t>
      </w:r>
      <w:r w:rsidRPr="00087E96">
        <w:rPr>
          <w:szCs w:val="24"/>
          <w:lang w:eastAsia="lv-LV"/>
        </w:rPr>
        <w:t xml:space="preserve">atlīdzības par darbspēju zaudējumu izmaksām saistībā ar atlīdzības saņēmēju skaita un atlīdzības vidējā apmēra mēnesī prognozēto palielināšanos, </w:t>
      </w:r>
      <w:r w:rsidRPr="00087E96">
        <w:rPr>
          <w:szCs w:val="24"/>
        </w:rPr>
        <w:t xml:space="preserve">vecāku pabalsta </w:t>
      </w:r>
      <w:r w:rsidRPr="00087E96">
        <w:rPr>
          <w:szCs w:val="24"/>
          <w:lang w:eastAsia="lv-LV"/>
        </w:rPr>
        <w:t xml:space="preserve">izmaksām saistībā ar vecāku pabalsta vidējā apmēra mēnesī prognozēto palielināšanos </w:t>
      </w:r>
      <w:r w:rsidRPr="00087E96">
        <w:rPr>
          <w:szCs w:val="24"/>
        </w:rPr>
        <w:t>u.c.</w:t>
      </w:r>
      <w:r w:rsidRPr="00087E96">
        <w:rPr>
          <w:szCs w:val="24"/>
          <w:lang w:eastAsia="lv-LV"/>
        </w:rPr>
        <w:t>;</w:t>
      </w:r>
    </w:p>
    <w:p w14:paraId="41E5A864" w14:textId="77777777" w:rsidR="00C15687" w:rsidRPr="00F812BD" w:rsidRDefault="00C15687" w:rsidP="00C15687">
      <w:pPr>
        <w:ind w:firstLine="720"/>
      </w:pPr>
      <w:r w:rsidRPr="00087E96">
        <w:rPr>
          <w:i/>
        </w:rPr>
        <w:t>Kārtējie maksājumi Eiropas Savienības budžetā un izdevumi starptautiskajai sadarbībai</w:t>
      </w:r>
      <w:r w:rsidRPr="00087E96">
        <w:t xml:space="preserve"> 2024. gadā plānoti 463,8 milj. </w:t>
      </w:r>
      <w:proofErr w:type="spellStart"/>
      <w:r w:rsidRPr="00087E96">
        <w:rPr>
          <w:i/>
        </w:rPr>
        <w:t>euro</w:t>
      </w:r>
      <w:proofErr w:type="spellEnd"/>
      <w:r w:rsidRPr="00087E96">
        <w:t xml:space="preserve"> apmērā jeb 2,9% no kopējiem izdevumiem. Salīdzinot ar 2023. gadu, to apjoms palielināts par 5,9% jeb 25,7 milj. </w:t>
      </w:r>
      <w:proofErr w:type="spellStart"/>
      <w:r w:rsidRPr="00087E96">
        <w:rPr>
          <w:i/>
        </w:rPr>
        <w:t>euro</w:t>
      </w:r>
      <w:proofErr w:type="spellEnd"/>
      <w:r w:rsidRPr="00087E96">
        <w:t>. Palielinājums paredzēts kārtējiem maksājumiem ES budžetā atbilstoši precizētajām prognozēm u.c.;</w:t>
      </w:r>
    </w:p>
    <w:p w14:paraId="5EACC6EA" w14:textId="77777777" w:rsidR="00C15687" w:rsidRDefault="00C15687" w:rsidP="00C15687">
      <w:pPr>
        <w:ind w:firstLine="0"/>
        <w:jc w:val="center"/>
        <w:rPr>
          <w:b/>
          <w:i/>
        </w:rPr>
      </w:pPr>
    </w:p>
    <w:p w14:paraId="2279DC5F" w14:textId="53BEED91" w:rsidR="00C15687" w:rsidRPr="001C6737" w:rsidRDefault="00C15687" w:rsidP="00C15687">
      <w:pPr>
        <w:ind w:firstLine="0"/>
        <w:jc w:val="center"/>
        <w:rPr>
          <w:b/>
          <w:i/>
        </w:rPr>
      </w:pPr>
      <w:r>
        <w:rPr>
          <w:b/>
          <w:i/>
        </w:rPr>
        <w:lastRenderedPageBreak/>
        <w:t>5.2</w:t>
      </w:r>
      <w:r w:rsidRPr="00602581">
        <w:rPr>
          <w:b/>
          <w:i/>
        </w:rPr>
        <w:t>. attēls</w:t>
      </w:r>
      <w:r w:rsidRPr="00325DFA">
        <w:rPr>
          <w:b/>
          <w:i/>
        </w:rPr>
        <w:t xml:space="preserve"> </w:t>
      </w:r>
      <w:r w:rsidRPr="00602581">
        <w:rPr>
          <w:b/>
        </w:rPr>
        <w:t>Valsts budžeta izdevumi atbilstoši ekonomiskajām kategorijām no 202</w:t>
      </w:r>
      <w:r>
        <w:rPr>
          <w:b/>
        </w:rPr>
        <w:t>3</w:t>
      </w:r>
      <w:r w:rsidRPr="00602581">
        <w:rPr>
          <w:b/>
        </w:rPr>
        <w:t>. līdz 202</w:t>
      </w:r>
      <w:r>
        <w:rPr>
          <w:b/>
        </w:rPr>
        <w:t>6</w:t>
      </w:r>
      <w:r w:rsidRPr="00602581">
        <w:rPr>
          <w:b/>
        </w:rPr>
        <w:t>. gadam, milj.</w:t>
      </w:r>
      <w:r w:rsidRPr="007B244F">
        <w:rPr>
          <w:b/>
          <w:i/>
        </w:rPr>
        <w:t xml:space="preserve"> </w:t>
      </w:r>
      <w:proofErr w:type="spellStart"/>
      <w:r w:rsidRPr="007B244F">
        <w:rPr>
          <w:b/>
          <w:i/>
        </w:rPr>
        <w:t>euro</w:t>
      </w:r>
      <w:proofErr w:type="spellEnd"/>
    </w:p>
    <w:p w14:paraId="3807EC66" w14:textId="77777777" w:rsidR="00C15687" w:rsidRDefault="00C15687" w:rsidP="00C15687">
      <w:pPr>
        <w:ind w:firstLine="0"/>
        <w:rPr>
          <w:i/>
          <w:szCs w:val="24"/>
        </w:rPr>
      </w:pPr>
      <w:r>
        <w:rPr>
          <w:noProof/>
          <w:lang w:eastAsia="lv-LV"/>
        </w:rPr>
        <w:drawing>
          <wp:inline distT="0" distB="0" distL="0" distR="0" wp14:anchorId="4AC08D5F" wp14:editId="31B8EBEA">
            <wp:extent cx="5760085" cy="4143870"/>
            <wp:effectExtent l="0" t="0" r="12065" b="9525"/>
            <wp:docPr id="1" name="Chart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304CE43" w14:textId="77777777" w:rsidR="00C15687" w:rsidRPr="00087E96" w:rsidRDefault="00C15687" w:rsidP="00C15687">
      <w:pPr>
        <w:ind w:firstLine="720"/>
        <w:rPr>
          <w:szCs w:val="24"/>
          <w:lang w:eastAsia="lv-LV"/>
        </w:rPr>
      </w:pPr>
      <w:proofErr w:type="spellStart"/>
      <w:r w:rsidRPr="00087E96">
        <w:rPr>
          <w:i/>
          <w:szCs w:val="24"/>
        </w:rPr>
        <w:t>Transfertiem</w:t>
      </w:r>
      <w:proofErr w:type="spellEnd"/>
      <w:r w:rsidRPr="00087E96">
        <w:rPr>
          <w:i/>
          <w:szCs w:val="24"/>
        </w:rPr>
        <w:t xml:space="preserve"> viena budžeta ietvaros un uzturēšanas izdevumu</w:t>
      </w:r>
      <w:r w:rsidRPr="00087E96">
        <w:rPr>
          <w:szCs w:val="24"/>
        </w:rPr>
        <w:t xml:space="preserve"> </w:t>
      </w:r>
      <w:proofErr w:type="spellStart"/>
      <w:r w:rsidRPr="00087E96">
        <w:rPr>
          <w:i/>
          <w:szCs w:val="24"/>
        </w:rPr>
        <w:t>transfertiem</w:t>
      </w:r>
      <w:proofErr w:type="spellEnd"/>
      <w:r w:rsidRPr="00087E96">
        <w:rPr>
          <w:i/>
          <w:szCs w:val="24"/>
        </w:rPr>
        <w:t xml:space="preserve"> starp budžeta veidiem</w:t>
      </w:r>
      <w:r w:rsidRPr="00087E96">
        <w:rPr>
          <w:szCs w:val="24"/>
        </w:rPr>
        <w:t xml:space="preserve"> </w:t>
      </w:r>
      <w:r w:rsidRPr="00087E96">
        <w:t xml:space="preserve">2024. gadā </w:t>
      </w:r>
      <w:r w:rsidRPr="00087E96">
        <w:rPr>
          <w:szCs w:val="24"/>
        </w:rPr>
        <w:t xml:space="preserve">paredzēti 1 260,9 milj. </w:t>
      </w:r>
      <w:proofErr w:type="spellStart"/>
      <w:r w:rsidRPr="00087E96">
        <w:rPr>
          <w:i/>
          <w:szCs w:val="24"/>
        </w:rPr>
        <w:t>euro</w:t>
      </w:r>
      <w:proofErr w:type="spellEnd"/>
      <w:r w:rsidRPr="00087E96">
        <w:rPr>
          <w:i/>
          <w:szCs w:val="24"/>
        </w:rPr>
        <w:t xml:space="preserve"> </w:t>
      </w:r>
      <w:r w:rsidRPr="00087E96">
        <w:rPr>
          <w:szCs w:val="24"/>
        </w:rPr>
        <w:t xml:space="preserve">jeb 7,8% no kopējiem izdevumiem. Salīdzinot ar 2023. gadu, to apjoms palielināts par 58,5 milj. </w:t>
      </w:r>
      <w:proofErr w:type="spellStart"/>
      <w:r w:rsidRPr="00087E96">
        <w:rPr>
          <w:i/>
          <w:szCs w:val="24"/>
        </w:rPr>
        <w:t>euro</w:t>
      </w:r>
      <w:proofErr w:type="spellEnd"/>
      <w:r w:rsidRPr="00087E96">
        <w:rPr>
          <w:szCs w:val="24"/>
        </w:rPr>
        <w:t xml:space="preserve"> jeb 4,9%. Tai skaitā paredzēts papildu finansējums</w:t>
      </w:r>
      <w:r w:rsidRPr="00087E96">
        <w:rPr>
          <w:szCs w:val="24"/>
          <w:lang w:eastAsia="lv-LV"/>
        </w:rPr>
        <w:t xml:space="preserve"> mērķdotācijām pašvaldībām, pedagogu zemākās darba samaksas likmes pieauguma grafika laikposmam no 2023.</w:t>
      </w:r>
      <w:r>
        <w:rPr>
          <w:szCs w:val="24"/>
          <w:lang w:eastAsia="lv-LV"/>
        </w:rPr>
        <w:t xml:space="preserve"> </w:t>
      </w:r>
      <w:r w:rsidRPr="00087E96">
        <w:rPr>
          <w:szCs w:val="24"/>
          <w:lang w:eastAsia="lv-LV"/>
        </w:rPr>
        <w:t>gada 1.</w:t>
      </w:r>
      <w:r>
        <w:rPr>
          <w:szCs w:val="24"/>
          <w:lang w:eastAsia="lv-LV"/>
        </w:rPr>
        <w:t xml:space="preserve"> </w:t>
      </w:r>
      <w:r w:rsidRPr="00087E96">
        <w:rPr>
          <w:szCs w:val="24"/>
          <w:lang w:eastAsia="lv-LV"/>
        </w:rPr>
        <w:t>septembra līdz 2025.</w:t>
      </w:r>
      <w:r>
        <w:rPr>
          <w:szCs w:val="24"/>
          <w:lang w:eastAsia="lv-LV"/>
        </w:rPr>
        <w:t xml:space="preserve"> </w:t>
      </w:r>
      <w:r w:rsidRPr="00087E96">
        <w:rPr>
          <w:szCs w:val="24"/>
          <w:lang w:eastAsia="lv-LV"/>
        </w:rPr>
        <w:t>gada 31.</w:t>
      </w:r>
      <w:r>
        <w:rPr>
          <w:szCs w:val="24"/>
          <w:lang w:eastAsia="lv-LV"/>
        </w:rPr>
        <w:t xml:space="preserve"> </w:t>
      </w:r>
      <w:r w:rsidRPr="00087E96">
        <w:rPr>
          <w:szCs w:val="24"/>
          <w:lang w:eastAsia="lv-LV"/>
        </w:rPr>
        <w:t>decembrim 1.soļa īstenošanai, pedagogu darba samaksas pieauguma grafika īstenošanas 2.</w:t>
      </w:r>
      <w:r>
        <w:rPr>
          <w:szCs w:val="24"/>
          <w:lang w:eastAsia="lv-LV"/>
        </w:rPr>
        <w:t xml:space="preserve"> </w:t>
      </w:r>
      <w:r w:rsidRPr="00087E96">
        <w:rPr>
          <w:szCs w:val="24"/>
          <w:lang w:eastAsia="lv-LV"/>
        </w:rPr>
        <w:t>solim no 2024.</w:t>
      </w:r>
      <w:r>
        <w:rPr>
          <w:szCs w:val="24"/>
          <w:lang w:eastAsia="lv-LV"/>
        </w:rPr>
        <w:t> </w:t>
      </w:r>
      <w:r w:rsidRPr="00087E96">
        <w:rPr>
          <w:szCs w:val="24"/>
          <w:lang w:eastAsia="lv-LV"/>
        </w:rPr>
        <w:t>gada 1.</w:t>
      </w:r>
      <w:r>
        <w:rPr>
          <w:szCs w:val="24"/>
          <w:lang w:eastAsia="lv-LV"/>
        </w:rPr>
        <w:t xml:space="preserve"> </w:t>
      </w:r>
      <w:r w:rsidRPr="00087E96">
        <w:rPr>
          <w:szCs w:val="24"/>
          <w:lang w:eastAsia="lv-LV"/>
        </w:rPr>
        <w:t>janvāra, pirmsskolas pedagogu algu izlīdzināšanai atbilstoši Satversmes tiesas spriedumam</w:t>
      </w:r>
      <w:r w:rsidRPr="00087E96">
        <w:rPr>
          <w:szCs w:val="24"/>
        </w:rPr>
        <w:t xml:space="preserve"> </w:t>
      </w:r>
      <w:r w:rsidRPr="00087E96">
        <w:rPr>
          <w:szCs w:val="24"/>
          <w:lang w:eastAsia="lv-LV"/>
        </w:rPr>
        <w:t>u.c.;</w:t>
      </w:r>
    </w:p>
    <w:p w14:paraId="0A69A594" w14:textId="77777777" w:rsidR="00C15687" w:rsidRDefault="00C15687" w:rsidP="00C15687">
      <w:pPr>
        <w:ind w:firstLine="720"/>
      </w:pPr>
      <w:r w:rsidRPr="00087E96">
        <w:rPr>
          <w:i/>
        </w:rPr>
        <w:t>Kapitālajiem izdevumiem</w:t>
      </w:r>
      <w:r w:rsidRPr="00087E96">
        <w:t xml:space="preserve"> 2024. gadā paredzēti 1 072,0 milj. </w:t>
      </w:r>
      <w:proofErr w:type="spellStart"/>
      <w:r w:rsidRPr="00087E96">
        <w:rPr>
          <w:i/>
        </w:rPr>
        <w:t>euro</w:t>
      </w:r>
      <w:proofErr w:type="spellEnd"/>
      <w:r w:rsidRPr="00087E96">
        <w:rPr>
          <w:i/>
        </w:rPr>
        <w:t xml:space="preserve"> </w:t>
      </w:r>
      <w:r w:rsidRPr="00087E96">
        <w:t xml:space="preserve">jeb 6,6% no kopējiem izdevumiem. Salīdzinot ar 2023. gadu, tie palielināti par 211,5 milj. </w:t>
      </w:r>
      <w:proofErr w:type="spellStart"/>
      <w:r w:rsidRPr="00087E96">
        <w:rPr>
          <w:i/>
        </w:rPr>
        <w:t>euro</w:t>
      </w:r>
      <w:proofErr w:type="spellEnd"/>
      <w:r w:rsidRPr="00087E96">
        <w:t xml:space="preserve"> jeb 24,6%, kas galvenokārt saistīts ar finansējuma palielinājumu izdevumiem Nacionālo bruņoto spēku ilgtermiņa līgumiem, jauna cietuma būvniecībai Liepājā</w:t>
      </w:r>
      <w:r w:rsidRPr="00087E96">
        <w:rPr>
          <w:i/>
          <w:szCs w:val="18"/>
          <w:lang w:eastAsia="lv-LV"/>
        </w:rPr>
        <w:t xml:space="preserve"> </w:t>
      </w:r>
      <w:r w:rsidRPr="00087E96">
        <w:t>u.c.</w:t>
      </w:r>
      <w:r>
        <w:t xml:space="preserve"> </w:t>
      </w:r>
    </w:p>
    <w:p w14:paraId="1201CBF3" w14:textId="77777777" w:rsidR="00C15687" w:rsidRPr="00807A6A" w:rsidRDefault="00C15687" w:rsidP="00C15687">
      <w:pPr>
        <w:spacing w:before="240" w:after="240"/>
        <w:ind w:firstLine="0"/>
        <w:rPr>
          <w:b/>
          <w:u w:val="single"/>
        </w:rPr>
      </w:pPr>
      <w:r w:rsidRPr="00807A6A">
        <w:rPr>
          <w:b/>
          <w:u w:val="single"/>
        </w:rPr>
        <w:t>I. Valsts pamatbudžeta un speciālā budžeta izdevumu kopsavilkums</w:t>
      </w:r>
    </w:p>
    <w:p w14:paraId="69F9F10E" w14:textId="77777777" w:rsidR="00C15687" w:rsidRPr="00F93548" w:rsidRDefault="00C15687" w:rsidP="00C15687">
      <w:pPr>
        <w:ind w:firstLineChars="295" w:firstLine="708"/>
      </w:pPr>
      <w:r w:rsidRPr="00F93548">
        <w:t xml:space="preserve">Valsts budžets sastāv no </w:t>
      </w:r>
      <w:r w:rsidRPr="00F93548">
        <w:rPr>
          <w:b/>
        </w:rPr>
        <w:t>pamatbudžeta</w:t>
      </w:r>
      <w:r w:rsidRPr="00F93548">
        <w:t xml:space="preserve"> un </w:t>
      </w:r>
      <w:r w:rsidRPr="00F93548">
        <w:rPr>
          <w:b/>
        </w:rPr>
        <w:t>speciālā budžeta</w:t>
      </w:r>
      <w:r w:rsidRPr="00F93548">
        <w:t xml:space="preserve">. </w:t>
      </w:r>
    </w:p>
    <w:p w14:paraId="34A1A6BD" w14:textId="77777777" w:rsidR="00C15687" w:rsidRPr="00F93548" w:rsidRDefault="00C15687" w:rsidP="00C15687">
      <w:pPr>
        <w:ind w:firstLine="708"/>
      </w:pPr>
      <w:r w:rsidRPr="00F93548">
        <w:t xml:space="preserve">Lai nodrošinātu sabiedrībai uzskatāmu priekštatu par to, kādi resursi ir iesaistīti valsts pamatfunkciju īstenošanā un kādi </w:t>
      </w:r>
      <w:r>
        <w:t>ES</w:t>
      </w:r>
      <w:r w:rsidRPr="00F93548">
        <w:t xml:space="preserve"> un citu ārvalstu politiku instrumentu pasākumu ieviešanā, visi gadskārtējā valsts budžeta izdevumi tiek nodalīti šādās sadaļās:</w:t>
      </w:r>
    </w:p>
    <w:p w14:paraId="388675C8" w14:textId="77777777" w:rsidR="00C15687" w:rsidRPr="00F93548" w:rsidRDefault="00C15687" w:rsidP="00C15687">
      <w:pPr>
        <w:pStyle w:val="ListParagraph"/>
        <w:numPr>
          <w:ilvl w:val="0"/>
          <w:numId w:val="50"/>
        </w:numPr>
        <w:ind w:left="714" w:hanging="357"/>
        <w:contextualSpacing w:val="0"/>
      </w:pPr>
      <w:r w:rsidRPr="00F93548">
        <w:t>valsts pamatfunkciju īstenošana;</w:t>
      </w:r>
    </w:p>
    <w:p w14:paraId="19613A52" w14:textId="77777777" w:rsidR="00C15687" w:rsidRPr="00F93548" w:rsidRDefault="00C15687" w:rsidP="00C15687">
      <w:pPr>
        <w:pStyle w:val="ListParagraph"/>
        <w:numPr>
          <w:ilvl w:val="0"/>
          <w:numId w:val="50"/>
        </w:numPr>
        <w:ind w:left="714" w:hanging="357"/>
        <w:contextualSpacing w:val="0"/>
      </w:pPr>
      <w:r>
        <w:t>ES</w:t>
      </w:r>
      <w:r w:rsidRPr="00F93548">
        <w:t xml:space="preserve"> politiku instrumentu un pārējās ārvalstu finanšu palīdzības līdzfinansēto un finansēto projektu un pasākumu īstenošana.</w:t>
      </w:r>
    </w:p>
    <w:p w14:paraId="42072C43" w14:textId="77777777" w:rsidR="00C15687" w:rsidRPr="00087E96" w:rsidRDefault="00C15687" w:rsidP="00C15687">
      <w:r w:rsidRPr="00087E96">
        <w:rPr>
          <w:b/>
        </w:rPr>
        <w:lastRenderedPageBreak/>
        <w:t xml:space="preserve">Valsts pamatbudžeta izdevumi </w:t>
      </w:r>
      <w:r w:rsidRPr="00087E96">
        <w:t xml:space="preserve">2024. gadā plānoti 12 147,9 milj. </w:t>
      </w:r>
      <w:proofErr w:type="spellStart"/>
      <w:r w:rsidRPr="00087E96">
        <w:rPr>
          <w:i/>
        </w:rPr>
        <w:t>euro</w:t>
      </w:r>
      <w:proofErr w:type="spellEnd"/>
      <w:r w:rsidRPr="00087E96">
        <w:t xml:space="preserve"> apmērā. Izdevumu palielinājums, salīdzinot ar 2023. gada plānu, ir 11,8% jeb 1 285,7 milj. </w:t>
      </w:r>
      <w:proofErr w:type="spellStart"/>
      <w:r w:rsidRPr="00087E96">
        <w:rPr>
          <w:i/>
        </w:rPr>
        <w:t>euro</w:t>
      </w:r>
      <w:proofErr w:type="spellEnd"/>
      <w:r w:rsidRPr="00087E96">
        <w:t>.</w:t>
      </w:r>
    </w:p>
    <w:p w14:paraId="2839E354" w14:textId="77777777" w:rsidR="00C15687" w:rsidRDefault="00C15687" w:rsidP="00C15687">
      <w:r w:rsidRPr="00087E96">
        <w:t xml:space="preserve">Valsts pamatfunkciju īstenošanai 2024. gadā paredzēts finansējums 9 510,6 milj. </w:t>
      </w:r>
      <w:proofErr w:type="spellStart"/>
      <w:r w:rsidRPr="00087E96">
        <w:rPr>
          <w:i/>
        </w:rPr>
        <w:t>euro</w:t>
      </w:r>
      <w:proofErr w:type="spellEnd"/>
      <w:r w:rsidRPr="00087E96">
        <w:t xml:space="preserve"> apmērā jeb 78,3% no kopējiem valsts </w:t>
      </w:r>
      <w:proofErr w:type="spellStart"/>
      <w:r w:rsidRPr="00087E96">
        <w:t>pamabudžeta</w:t>
      </w:r>
      <w:proofErr w:type="spellEnd"/>
      <w:r w:rsidRPr="00087E96">
        <w:t xml:space="preserve"> izdevumiem.</w:t>
      </w:r>
    </w:p>
    <w:p w14:paraId="65A6E666" w14:textId="77777777" w:rsidR="00C15687" w:rsidRPr="00672443" w:rsidRDefault="00C15687" w:rsidP="00C15687">
      <w:pPr>
        <w:spacing w:before="240"/>
        <w:ind w:firstLine="0"/>
        <w:jc w:val="center"/>
        <w:rPr>
          <w:b/>
          <w:i/>
        </w:rPr>
      </w:pPr>
      <w:r>
        <w:rPr>
          <w:b/>
          <w:i/>
        </w:rPr>
        <w:t>5.3</w:t>
      </w:r>
      <w:r w:rsidRPr="00602581">
        <w:rPr>
          <w:b/>
          <w:i/>
        </w:rPr>
        <w:t>.attēls</w:t>
      </w:r>
      <w:r w:rsidRPr="00325DFA">
        <w:rPr>
          <w:b/>
          <w:i/>
        </w:rPr>
        <w:t xml:space="preserve"> </w:t>
      </w:r>
      <w:r w:rsidRPr="00602581">
        <w:rPr>
          <w:b/>
        </w:rPr>
        <w:t>Valsts pamatbudžeta izdevumi no 202</w:t>
      </w:r>
      <w:r>
        <w:rPr>
          <w:b/>
        </w:rPr>
        <w:t>3</w:t>
      </w:r>
      <w:r w:rsidRPr="00602581">
        <w:rPr>
          <w:b/>
        </w:rPr>
        <w:t>. līdz 202</w:t>
      </w:r>
      <w:r>
        <w:rPr>
          <w:b/>
        </w:rPr>
        <w:t>6</w:t>
      </w:r>
      <w:r w:rsidRPr="00602581">
        <w:rPr>
          <w:b/>
        </w:rPr>
        <w:t>.</w:t>
      </w:r>
      <w:r>
        <w:rPr>
          <w:b/>
        </w:rPr>
        <w:t xml:space="preserve"> </w:t>
      </w:r>
      <w:r w:rsidRPr="00602581">
        <w:rPr>
          <w:b/>
        </w:rPr>
        <w:t>gadam, milj.</w:t>
      </w:r>
      <w:r w:rsidRPr="00325DFA">
        <w:rPr>
          <w:b/>
          <w:i/>
        </w:rPr>
        <w:t xml:space="preserve"> </w:t>
      </w:r>
      <w:proofErr w:type="spellStart"/>
      <w:r w:rsidRPr="00325DFA">
        <w:rPr>
          <w:b/>
          <w:i/>
        </w:rPr>
        <w:t>euro</w:t>
      </w:r>
      <w:proofErr w:type="spellEnd"/>
      <w:r w:rsidRPr="00DD3C60">
        <w:rPr>
          <w:noProof/>
          <w:lang w:eastAsia="lv-LV"/>
        </w:rPr>
        <mc:AlternateContent>
          <mc:Choice Requires="wps">
            <w:drawing>
              <wp:anchor distT="0" distB="0" distL="114300" distR="114300" simplePos="0" relativeHeight="251659264" behindDoc="0" locked="0" layoutInCell="1" allowOverlap="1" wp14:anchorId="03385B7F" wp14:editId="241ABEA0">
                <wp:simplePos x="0" y="0"/>
                <wp:positionH relativeFrom="column">
                  <wp:posOffset>8348980</wp:posOffset>
                </wp:positionH>
                <wp:positionV relativeFrom="paragraph">
                  <wp:posOffset>-2928620</wp:posOffset>
                </wp:positionV>
                <wp:extent cx="647700" cy="264560"/>
                <wp:effectExtent l="0" t="0" r="19050" b="21590"/>
                <wp:wrapNone/>
                <wp:docPr id="5" name="TextBox 2"/>
                <wp:cNvGraphicFramePr/>
                <a:graphic xmlns:a="http://schemas.openxmlformats.org/drawingml/2006/main">
                  <a:graphicData uri="http://schemas.microsoft.com/office/word/2010/wordprocessingShape">
                    <wps:wsp>
                      <wps:cNvSpPr txBox="1"/>
                      <wps:spPr>
                        <a:xfrm>
                          <a:off x="0" y="0"/>
                          <a:ext cx="647700" cy="264560"/>
                        </a:xfrm>
                        <a:prstGeom prst="rect">
                          <a:avLst/>
                        </a:prstGeom>
                      </wps:spPr>
                      <wps:style>
                        <a:lnRef idx="2">
                          <a:schemeClr val="dk1"/>
                        </a:lnRef>
                        <a:fillRef idx="1">
                          <a:schemeClr val="lt1"/>
                        </a:fillRef>
                        <a:effectRef idx="0">
                          <a:schemeClr val="dk1"/>
                        </a:effectRef>
                        <a:fontRef idx="minor">
                          <a:schemeClr val="dk1"/>
                        </a:fontRef>
                      </wps:style>
                      <wps:txbx>
                        <w:txbxContent>
                          <w:p w14:paraId="49AA385A" w14:textId="77777777" w:rsidR="00C15687" w:rsidRDefault="00C15687" w:rsidP="00C15687">
                            <w:pPr>
                              <w:pStyle w:val="NormalWeb"/>
                              <w:spacing w:before="0" w:beforeAutospacing="0" w:after="0" w:afterAutospacing="0"/>
                            </w:pPr>
                            <w:r>
                              <w:rPr>
                                <w:color w:val="000000" w:themeColor="dark1"/>
                                <w:sz w:val="22"/>
                                <w:szCs w:val="22"/>
                              </w:rPr>
                              <w:t>6 130,3</w:t>
                            </w:r>
                          </w:p>
                        </w:txbxContent>
                      </wps:txbx>
                      <wps:bodyPr wrap="square" rtlCol="0" anchor="t">
                        <a:noAutofit/>
                      </wps:bodyPr>
                    </wps:wsp>
                  </a:graphicData>
                </a:graphic>
              </wp:anchor>
            </w:drawing>
          </mc:Choice>
          <mc:Fallback>
            <w:pict>
              <v:shapetype w14:anchorId="03385B7F" id="_x0000_t202" coordsize="21600,21600" o:spt="202" path="m,l,21600r21600,l21600,xe">
                <v:stroke joinstyle="miter"/>
                <v:path gradientshapeok="t" o:connecttype="rect"/>
              </v:shapetype>
              <v:shape id="TextBox 2" o:spid="_x0000_s1026" type="#_x0000_t202" style="position:absolute;left:0;text-align:left;margin-left:657.4pt;margin-top:-230.6pt;width:51pt;height:2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" fillcolor="white [3201]" strokecolor="black [3200]" strokeweight="2pt">
                <v:textbox>
                  <w:txbxContent>
                    <w:p w14:paraId="49AA385A" w14:textId="77777777" w:rsidR="00C15687" w:rsidRDefault="00C15687" w:rsidP="00C15687">
                      <w:pPr>
                        <w:pStyle w:val="NormalWeb"/>
                        <w:spacing w:before="0" w:beforeAutospacing="0" w:after="0" w:afterAutospacing="0"/>
                      </w:pPr>
                      <w:r>
                        <w:rPr>
                          <w:color w:val="000000" w:themeColor="dark1"/>
                          <w:sz w:val="22"/>
                          <w:szCs w:val="22"/>
                        </w:rPr>
                        <w:t>6 130,3</w:t>
                      </w:r>
                    </w:p>
                  </w:txbxContent>
                </v:textbox>
              </v:shape>
            </w:pict>
          </mc:Fallback>
        </mc:AlternateContent>
      </w:r>
    </w:p>
    <w:p w14:paraId="4EE1B504" w14:textId="77777777" w:rsidR="00C15687" w:rsidRPr="009A4B42" w:rsidRDefault="00C15687" w:rsidP="00C15687">
      <w:pPr>
        <w:spacing w:before="120"/>
        <w:ind w:firstLine="0"/>
        <w:rPr>
          <w:sz w:val="2"/>
          <w:szCs w:val="2"/>
        </w:rPr>
      </w:pPr>
    </w:p>
    <w:p w14:paraId="43EA2BC0" w14:textId="77777777" w:rsidR="00C15687" w:rsidRDefault="00C15687" w:rsidP="00C15687">
      <w:pPr>
        <w:spacing w:before="120"/>
        <w:ind w:firstLine="0"/>
      </w:pPr>
      <w:r>
        <w:rPr>
          <w:noProof/>
          <w:lang w:eastAsia="lv-LV"/>
        </w:rPr>
        <w:drawing>
          <wp:inline distT="0" distB="0" distL="0" distR="0" wp14:anchorId="310FCF67" wp14:editId="6A89FF0F">
            <wp:extent cx="5760085" cy="2826385"/>
            <wp:effectExtent l="0" t="0" r="12065" b="12065"/>
            <wp:docPr id="3" name="Chart 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99D41AA" w14:textId="77777777" w:rsidR="00C15687" w:rsidRPr="00087E96" w:rsidRDefault="00C15687" w:rsidP="00C15687">
      <w:pPr>
        <w:spacing w:before="120"/>
        <w:rPr>
          <w:szCs w:val="24"/>
          <w:lang w:eastAsia="lv-LV"/>
        </w:rPr>
      </w:pPr>
      <w:r w:rsidRPr="002F6107">
        <w:t xml:space="preserve">ES politiku instrumentu un pārējās ārvalstu finanšu palīdzības finansēto un līdzfinansēto projektu un pasākumu īstenošanai 2024. gadā paredzēts finansējums 2 637,3 milj. </w:t>
      </w:r>
      <w:proofErr w:type="spellStart"/>
      <w:r w:rsidRPr="002F6107">
        <w:rPr>
          <w:i/>
        </w:rPr>
        <w:t>euro</w:t>
      </w:r>
      <w:proofErr w:type="spellEnd"/>
      <w:r w:rsidRPr="002F6107">
        <w:t xml:space="preserve"> apmērā jeb 21,7% no kopējiem valsts pamatbudžeta izdevumiem.</w:t>
      </w:r>
      <w:r w:rsidRPr="00F93548">
        <w:t xml:space="preserve"> Apstiprinātajiem projektiem un pasākumiem </w:t>
      </w:r>
      <w:r w:rsidRPr="00AB29ED">
        <w:t xml:space="preserve">finansējums </w:t>
      </w:r>
      <w:r w:rsidRPr="00AB29ED">
        <w:rPr>
          <w:color w:val="000000"/>
          <w:szCs w:val="24"/>
          <w:lang w:eastAsia="lv-LV"/>
        </w:rPr>
        <w:t>1 </w:t>
      </w:r>
      <w:r>
        <w:rPr>
          <w:color w:val="000000"/>
          <w:szCs w:val="24"/>
          <w:lang w:eastAsia="lv-LV"/>
        </w:rPr>
        <w:t>469</w:t>
      </w:r>
      <w:r w:rsidRPr="00AB29ED">
        <w:rPr>
          <w:color w:val="000000"/>
          <w:szCs w:val="24"/>
          <w:lang w:eastAsia="lv-LV"/>
        </w:rPr>
        <w:t>,</w:t>
      </w:r>
      <w:r>
        <w:rPr>
          <w:color w:val="000000"/>
          <w:szCs w:val="24"/>
          <w:lang w:eastAsia="lv-LV"/>
        </w:rPr>
        <w:t>6</w:t>
      </w:r>
      <w:r w:rsidRPr="00AB29ED">
        <w:rPr>
          <w:color w:val="000000"/>
          <w:sz w:val="18"/>
          <w:szCs w:val="18"/>
          <w:lang w:eastAsia="lv-LV"/>
        </w:rPr>
        <w:t xml:space="preserve"> </w:t>
      </w:r>
      <w:r w:rsidRPr="00AB29ED">
        <w:t xml:space="preserve">milj. </w:t>
      </w:r>
      <w:proofErr w:type="spellStart"/>
      <w:r w:rsidRPr="00AB29ED">
        <w:rPr>
          <w:i/>
        </w:rPr>
        <w:t>euro</w:t>
      </w:r>
      <w:proofErr w:type="spellEnd"/>
      <w:r w:rsidRPr="00AB29ED">
        <w:t xml:space="preserve"> apmērā paredzēts ministriju un citu centrālo valsts iestāžu budžetos, bet projektiem, kuri vēl tiks apstiprināti, finansējums </w:t>
      </w:r>
      <w:r>
        <w:t>1 167,7</w:t>
      </w:r>
      <w:r w:rsidRPr="00AB29ED">
        <w:t xml:space="preserve"> milj. </w:t>
      </w:r>
      <w:proofErr w:type="spellStart"/>
      <w:r w:rsidRPr="00AB29ED">
        <w:rPr>
          <w:i/>
        </w:rPr>
        <w:t>euro</w:t>
      </w:r>
      <w:proofErr w:type="spellEnd"/>
      <w:r w:rsidRPr="00AB29ED">
        <w:t xml:space="preserve"> apmērā </w:t>
      </w:r>
      <w:r w:rsidRPr="00087E96">
        <w:t xml:space="preserve">ieplānots </w:t>
      </w:r>
      <w:r w:rsidRPr="00087E96">
        <w:rPr>
          <w:szCs w:val="24"/>
          <w:lang w:eastAsia="lv-LV"/>
        </w:rPr>
        <w:t>budžeta 74. resora 80.00.00 programmā.</w:t>
      </w:r>
    </w:p>
    <w:p w14:paraId="70ECD339" w14:textId="77777777" w:rsidR="00C15687" w:rsidRDefault="00C15687" w:rsidP="00C15687">
      <w:pPr>
        <w:ind w:firstLine="720"/>
        <w:rPr>
          <w:bCs/>
          <w:szCs w:val="24"/>
          <w:lang w:eastAsia="lv-LV"/>
        </w:rPr>
      </w:pPr>
      <w:r w:rsidRPr="00087E96">
        <w:rPr>
          <w:szCs w:val="24"/>
        </w:rPr>
        <w:t xml:space="preserve">Likumprojektā “Par valsts budžetu 2024. gadam un budžeta ietvaru 2024., 2025. un 2026. gadam” paredzēts finansējums </w:t>
      </w:r>
      <w:r w:rsidRPr="00087E96">
        <w:rPr>
          <w:b/>
          <w:bCs/>
          <w:szCs w:val="24"/>
          <w:lang w:eastAsia="lv-LV"/>
        </w:rPr>
        <w:t>ES politiku instrumentu un pārējās ārvalstu finanšu palīdzības līdzfinansēto projektu un pasākumu īstenošanas nodrošināšanai</w:t>
      </w:r>
      <w:r w:rsidRPr="00087E96">
        <w:rPr>
          <w:bCs/>
          <w:szCs w:val="24"/>
          <w:lang w:eastAsia="lv-LV"/>
        </w:rPr>
        <w:t xml:space="preserve"> </w:t>
      </w:r>
      <w:r w:rsidRPr="00087E96">
        <w:rPr>
          <w:b/>
          <w:bCs/>
          <w:szCs w:val="24"/>
          <w:lang w:eastAsia="lv-LV"/>
        </w:rPr>
        <w:t xml:space="preserve">2 637 271 848 </w:t>
      </w:r>
      <w:proofErr w:type="spellStart"/>
      <w:r w:rsidRPr="00087E96">
        <w:rPr>
          <w:b/>
          <w:bCs/>
          <w:i/>
          <w:szCs w:val="24"/>
          <w:lang w:eastAsia="lv-LV"/>
        </w:rPr>
        <w:t>euro</w:t>
      </w:r>
      <w:proofErr w:type="spellEnd"/>
      <w:r w:rsidRPr="00087E96">
        <w:rPr>
          <w:bCs/>
          <w:szCs w:val="24"/>
          <w:lang w:eastAsia="lv-LV"/>
        </w:rPr>
        <w:t xml:space="preserve"> apmērā.</w:t>
      </w:r>
    </w:p>
    <w:p w14:paraId="10D34504" w14:textId="77777777" w:rsidR="00C15687" w:rsidRDefault="00C15687" w:rsidP="00C15687">
      <w:pPr>
        <w:spacing w:before="240"/>
        <w:ind w:firstLine="0"/>
        <w:jc w:val="center"/>
        <w:rPr>
          <w:i/>
          <w:lang w:eastAsia="lv-LV"/>
        </w:rPr>
      </w:pPr>
      <w:r w:rsidRPr="00602581">
        <w:rPr>
          <w:b/>
          <w:i/>
        </w:rPr>
        <w:t xml:space="preserve">5.1. tabula </w:t>
      </w:r>
      <w:r w:rsidRPr="00602581">
        <w:rPr>
          <w:b/>
        </w:rPr>
        <w:t xml:space="preserve">Izdevumi </w:t>
      </w:r>
      <w:r w:rsidRPr="00602581">
        <w:rPr>
          <w:b/>
          <w:bCs/>
          <w:szCs w:val="24"/>
          <w:lang w:eastAsia="lv-LV"/>
        </w:rPr>
        <w:t>ES politiku instrumentu un pārējās ārvalstu finanšu palīdzības līdzfinansēto projektu un pasākumu īstenošanai</w:t>
      </w:r>
      <w:r w:rsidRPr="00602581">
        <w:rPr>
          <w:b/>
        </w:rPr>
        <w:t>,</w:t>
      </w:r>
      <w:r w:rsidRPr="00807A6A">
        <w:rPr>
          <w:b/>
          <w:i/>
        </w:rPr>
        <w:t xml:space="preserve"> </w:t>
      </w:r>
      <w:proofErr w:type="spellStart"/>
      <w:r w:rsidRPr="00807A6A">
        <w:rPr>
          <w:b/>
          <w:i/>
        </w:rPr>
        <w:t>euro</w:t>
      </w:r>
      <w:proofErr w:type="spellEnd"/>
      <w:r w:rsidRPr="00DD3C60">
        <w:rPr>
          <w:i/>
          <w:lang w:eastAsia="lv-LV"/>
        </w:rPr>
        <w:t xml:space="preserve"> </w:t>
      </w:r>
    </w:p>
    <w:tbl>
      <w:tblPr>
        <w:tblW w:w="9067" w:type="dxa"/>
        <w:tblLook w:val="04A0" w:firstRow="1" w:lastRow="0" w:firstColumn="1" w:lastColumn="0" w:noHBand="0" w:noVBand="1"/>
      </w:tblPr>
      <w:tblGrid>
        <w:gridCol w:w="6658"/>
        <w:gridCol w:w="2409"/>
      </w:tblGrid>
      <w:tr w:rsidR="00C15687" w:rsidRPr="00FA2E2A" w14:paraId="74673BBA" w14:textId="77777777" w:rsidTr="00C15687">
        <w:trPr>
          <w:trHeight w:val="437"/>
          <w:tblHeader/>
        </w:trPr>
        <w:tc>
          <w:tcPr>
            <w:tcW w:w="6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B66D9" w14:textId="77777777" w:rsidR="00C15687" w:rsidRPr="00FA2E2A" w:rsidRDefault="00C15687" w:rsidP="00521C13">
            <w:pPr>
              <w:spacing w:after="0"/>
              <w:ind w:firstLine="0"/>
              <w:jc w:val="center"/>
              <w:rPr>
                <w:color w:val="000000"/>
                <w:sz w:val="18"/>
                <w:szCs w:val="18"/>
                <w:lang w:eastAsia="lv-LV"/>
              </w:rPr>
            </w:pPr>
            <w:r w:rsidRPr="00FA2E2A">
              <w:rPr>
                <w:color w:val="000000"/>
                <w:sz w:val="18"/>
                <w:szCs w:val="18"/>
                <w:lang w:eastAsia="lv-LV"/>
              </w:rPr>
              <w:t>ES politiku instruments, pārējā ārvalstu finanšu palīdzība</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147555BF" w14:textId="77777777" w:rsidR="00C15687" w:rsidRPr="00FA2E2A" w:rsidRDefault="00C15687" w:rsidP="00521C13">
            <w:pPr>
              <w:spacing w:after="0"/>
              <w:ind w:firstLine="0"/>
              <w:jc w:val="center"/>
              <w:rPr>
                <w:b/>
                <w:bCs/>
                <w:sz w:val="18"/>
                <w:szCs w:val="18"/>
                <w:lang w:eastAsia="lv-LV"/>
              </w:rPr>
            </w:pPr>
            <w:r w:rsidRPr="00FA2E2A">
              <w:rPr>
                <w:b/>
                <w:bCs/>
                <w:sz w:val="18"/>
                <w:szCs w:val="18"/>
                <w:lang w:eastAsia="lv-LV"/>
              </w:rPr>
              <w:t>202</w:t>
            </w:r>
            <w:r>
              <w:rPr>
                <w:b/>
                <w:bCs/>
                <w:sz w:val="18"/>
                <w:szCs w:val="18"/>
                <w:lang w:eastAsia="lv-LV"/>
              </w:rPr>
              <w:t>4</w:t>
            </w:r>
            <w:r w:rsidRPr="00FA2E2A">
              <w:rPr>
                <w:b/>
                <w:bCs/>
                <w:sz w:val="18"/>
                <w:szCs w:val="18"/>
                <w:lang w:eastAsia="lv-LV"/>
              </w:rPr>
              <w:t>.</w:t>
            </w:r>
            <w:r>
              <w:rPr>
                <w:b/>
                <w:bCs/>
                <w:sz w:val="18"/>
                <w:szCs w:val="18"/>
                <w:lang w:eastAsia="lv-LV"/>
              </w:rPr>
              <w:t xml:space="preserve"> </w:t>
            </w:r>
            <w:r w:rsidRPr="00FA2E2A">
              <w:rPr>
                <w:b/>
                <w:bCs/>
                <w:sz w:val="18"/>
                <w:szCs w:val="18"/>
                <w:lang w:eastAsia="lv-LV"/>
              </w:rPr>
              <w:t>gada p</w:t>
            </w:r>
            <w:r>
              <w:rPr>
                <w:b/>
                <w:bCs/>
                <w:sz w:val="18"/>
                <w:szCs w:val="18"/>
                <w:lang w:eastAsia="lv-LV"/>
              </w:rPr>
              <w:t>rojekts</w:t>
            </w:r>
          </w:p>
        </w:tc>
      </w:tr>
      <w:tr w:rsidR="00C15687" w:rsidRPr="00FA2E2A" w14:paraId="322CAC14" w14:textId="77777777" w:rsidTr="00C15687">
        <w:trPr>
          <w:trHeight w:val="67"/>
        </w:trPr>
        <w:tc>
          <w:tcPr>
            <w:tcW w:w="6658" w:type="dxa"/>
            <w:tcBorders>
              <w:top w:val="nil"/>
              <w:left w:val="single" w:sz="4" w:space="0" w:color="auto"/>
              <w:bottom w:val="single" w:sz="4" w:space="0" w:color="auto"/>
              <w:right w:val="single" w:sz="4" w:space="0" w:color="auto"/>
            </w:tcBorders>
            <w:shd w:val="clear" w:color="000000" w:fill="DAEEF3"/>
            <w:vAlign w:val="bottom"/>
            <w:hideMark/>
          </w:tcPr>
          <w:p w14:paraId="376B4961" w14:textId="77777777" w:rsidR="00C15687" w:rsidRPr="00F12C59" w:rsidRDefault="00C15687" w:rsidP="00521C13">
            <w:pPr>
              <w:spacing w:after="0"/>
              <w:ind w:firstLine="0"/>
              <w:jc w:val="left"/>
              <w:rPr>
                <w:b/>
                <w:bCs/>
                <w:color w:val="000000"/>
                <w:sz w:val="18"/>
                <w:szCs w:val="18"/>
                <w:lang w:eastAsia="lv-LV"/>
              </w:rPr>
            </w:pPr>
            <w:r w:rsidRPr="00F12C59">
              <w:rPr>
                <w:b/>
                <w:bCs/>
                <w:color w:val="000000"/>
                <w:sz w:val="18"/>
                <w:szCs w:val="18"/>
              </w:rPr>
              <w:t>Pamatbudžetā – kopā</w:t>
            </w:r>
          </w:p>
        </w:tc>
        <w:tc>
          <w:tcPr>
            <w:tcW w:w="2409" w:type="dxa"/>
            <w:tcBorders>
              <w:top w:val="nil"/>
              <w:left w:val="nil"/>
              <w:bottom w:val="single" w:sz="4" w:space="0" w:color="auto"/>
              <w:right w:val="single" w:sz="4" w:space="0" w:color="auto"/>
            </w:tcBorders>
            <w:shd w:val="clear" w:color="000000" w:fill="DAEEF3"/>
            <w:vAlign w:val="bottom"/>
            <w:hideMark/>
          </w:tcPr>
          <w:p w14:paraId="29EADCFD" w14:textId="77777777" w:rsidR="00C15687" w:rsidRPr="00F12C59" w:rsidRDefault="00C15687" w:rsidP="00521C13">
            <w:pPr>
              <w:spacing w:after="0"/>
              <w:ind w:firstLine="0"/>
              <w:jc w:val="right"/>
              <w:rPr>
                <w:b/>
                <w:bCs/>
                <w:color w:val="000000"/>
                <w:sz w:val="18"/>
                <w:szCs w:val="18"/>
                <w:lang w:eastAsia="lv-LV"/>
              </w:rPr>
            </w:pPr>
            <w:r w:rsidRPr="00F12C59">
              <w:rPr>
                <w:b/>
                <w:bCs/>
                <w:color w:val="000000"/>
                <w:sz w:val="18"/>
                <w:szCs w:val="18"/>
              </w:rPr>
              <w:t>2 637 271 848</w:t>
            </w:r>
          </w:p>
        </w:tc>
      </w:tr>
      <w:tr w:rsidR="00C15687" w:rsidRPr="00FA2E2A" w14:paraId="73FF5069"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76D250C1" w14:textId="77777777" w:rsidR="00C15687" w:rsidRPr="00F12C59" w:rsidRDefault="00C15687" w:rsidP="00521C13">
            <w:pPr>
              <w:spacing w:after="0"/>
              <w:ind w:firstLine="0"/>
              <w:jc w:val="center"/>
              <w:rPr>
                <w:i/>
                <w:iCs/>
                <w:color w:val="FF0000"/>
                <w:sz w:val="18"/>
                <w:szCs w:val="18"/>
                <w:lang w:eastAsia="lv-LV"/>
              </w:rPr>
            </w:pPr>
            <w:r w:rsidRPr="000920DB">
              <w:rPr>
                <w:i/>
                <w:iCs/>
                <w:sz w:val="18"/>
                <w:szCs w:val="18"/>
              </w:rPr>
              <w:t>tajā skaitā</w:t>
            </w:r>
          </w:p>
        </w:tc>
        <w:tc>
          <w:tcPr>
            <w:tcW w:w="2409" w:type="dxa"/>
            <w:tcBorders>
              <w:top w:val="nil"/>
              <w:left w:val="nil"/>
              <w:bottom w:val="single" w:sz="4" w:space="0" w:color="auto"/>
              <w:right w:val="single" w:sz="4" w:space="0" w:color="auto"/>
            </w:tcBorders>
            <w:shd w:val="clear" w:color="auto" w:fill="auto"/>
            <w:vAlign w:val="bottom"/>
            <w:hideMark/>
          </w:tcPr>
          <w:p w14:paraId="7D7105FA" w14:textId="77777777" w:rsidR="00C15687" w:rsidRPr="00F12C59" w:rsidRDefault="00C15687" w:rsidP="00521C13">
            <w:pPr>
              <w:spacing w:after="0"/>
              <w:ind w:firstLine="0"/>
              <w:jc w:val="left"/>
              <w:rPr>
                <w:color w:val="FF0000"/>
                <w:sz w:val="18"/>
                <w:szCs w:val="18"/>
                <w:lang w:eastAsia="lv-LV"/>
              </w:rPr>
            </w:pPr>
            <w:r w:rsidRPr="00F12C59">
              <w:rPr>
                <w:color w:val="FF0000"/>
                <w:sz w:val="18"/>
                <w:szCs w:val="18"/>
              </w:rPr>
              <w:t> </w:t>
            </w:r>
          </w:p>
        </w:tc>
      </w:tr>
      <w:tr w:rsidR="00C15687" w:rsidRPr="00FA2E2A" w14:paraId="0F0CB431" w14:textId="77777777" w:rsidTr="00C15687">
        <w:trPr>
          <w:trHeight w:val="201"/>
        </w:trPr>
        <w:tc>
          <w:tcPr>
            <w:tcW w:w="6658" w:type="dxa"/>
            <w:tcBorders>
              <w:top w:val="nil"/>
              <w:left w:val="single" w:sz="4" w:space="0" w:color="auto"/>
              <w:bottom w:val="single" w:sz="4" w:space="0" w:color="auto"/>
              <w:right w:val="single" w:sz="4" w:space="0" w:color="auto"/>
            </w:tcBorders>
            <w:shd w:val="clear" w:color="000000" w:fill="DAEEF3"/>
            <w:vAlign w:val="bottom"/>
            <w:hideMark/>
          </w:tcPr>
          <w:p w14:paraId="24BCD172" w14:textId="77777777" w:rsidR="00C15687" w:rsidRPr="00F12C59" w:rsidRDefault="00C15687" w:rsidP="00521C13">
            <w:pPr>
              <w:spacing w:after="0"/>
              <w:ind w:firstLine="0"/>
              <w:jc w:val="left"/>
              <w:rPr>
                <w:b/>
                <w:bCs/>
                <w:color w:val="000000"/>
                <w:sz w:val="18"/>
                <w:szCs w:val="18"/>
                <w:lang w:eastAsia="lv-LV"/>
              </w:rPr>
            </w:pPr>
            <w:r w:rsidRPr="00F12C59">
              <w:rPr>
                <w:b/>
                <w:bCs/>
                <w:color w:val="000000"/>
                <w:sz w:val="18"/>
                <w:szCs w:val="18"/>
              </w:rPr>
              <w:t>Ministriju un citu centrālo valsts iestāžu budžetos ieplānotais finansējums sadalījumā pa ES politiku instrumentiem un pārējo ārvalstu finanšu palīdzību</w:t>
            </w:r>
          </w:p>
        </w:tc>
        <w:tc>
          <w:tcPr>
            <w:tcW w:w="2409" w:type="dxa"/>
            <w:tcBorders>
              <w:top w:val="nil"/>
              <w:left w:val="nil"/>
              <w:bottom w:val="single" w:sz="4" w:space="0" w:color="auto"/>
              <w:right w:val="single" w:sz="4" w:space="0" w:color="auto"/>
            </w:tcBorders>
            <w:shd w:val="clear" w:color="000000" w:fill="DAEEF3"/>
            <w:vAlign w:val="bottom"/>
            <w:hideMark/>
          </w:tcPr>
          <w:p w14:paraId="7ABBBB48" w14:textId="77777777" w:rsidR="00C15687" w:rsidRPr="00F12C59" w:rsidRDefault="00C15687" w:rsidP="00521C13">
            <w:pPr>
              <w:spacing w:after="0"/>
              <w:ind w:firstLine="0"/>
              <w:jc w:val="right"/>
              <w:rPr>
                <w:b/>
                <w:bCs/>
                <w:color w:val="000000"/>
                <w:sz w:val="18"/>
                <w:szCs w:val="18"/>
                <w:lang w:eastAsia="lv-LV"/>
              </w:rPr>
            </w:pPr>
            <w:r w:rsidRPr="00F12C59">
              <w:rPr>
                <w:b/>
                <w:bCs/>
                <w:color w:val="000000"/>
                <w:sz w:val="18"/>
                <w:szCs w:val="18"/>
              </w:rPr>
              <w:t>1 469 573 692</w:t>
            </w:r>
          </w:p>
        </w:tc>
      </w:tr>
      <w:tr w:rsidR="00C15687" w:rsidRPr="00FA2E2A" w14:paraId="220BF057" w14:textId="77777777" w:rsidTr="00C15687">
        <w:trPr>
          <w:trHeight w:val="195"/>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7569792A"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Eiropas transporta, telekomunikāciju un enerģijas infrastruktūras tīkli un Eiropas infrastruktūras savienošanas instruments</w:t>
            </w:r>
          </w:p>
        </w:tc>
        <w:tc>
          <w:tcPr>
            <w:tcW w:w="2409" w:type="dxa"/>
            <w:tcBorders>
              <w:top w:val="nil"/>
              <w:left w:val="nil"/>
              <w:bottom w:val="single" w:sz="4" w:space="0" w:color="auto"/>
              <w:right w:val="single" w:sz="4" w:space="0" w:color="auto"/>
            </w:tcBorders>
            <w:shd w:val="clear" w:color="auto" w:fill="auto"/>
            <w:noWrap/>
            <w:vAlign w:val="bottom"/>
            <w:hideMark/>
          </w:tcPr>
          <w:p w14:paraId="6A5A3764"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170 501 730</w:t>
            </w:r>
          </w:p>
        </w:tc>
      </w:tr>
      <w:tr w:rsidR="00C15687" w:rsidRPr="00FA2E2A" w14:paraId="02453DCB" w14:textId="77777777" w:rsidTr="00C15687">
        <w:trPr>
          <w:trHeight w:val="71"/>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3F0FFA7E"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 xml:space="preserve">Kohēzijas fonds </w:t>
            </w:r>
          </w:p>
        </w:tc>
        <w:tc>
          <w:tcPr>
            <w:tcW w:w="2409" w:type="dxa"/>
            <w:tcBorders>
              <w:top w:val="nil"/>
              <w:left w:val="nil"/>
              <w:bottom w:val="single" w:sz="4" w:space="0" w:color="auto"/>
              <w:right w:val="single" w:sz="4" w:space="0" w:color="auto"/>
            </w:tcBorders>
            <w:shd w:val="clear" w:color="auto" w:fill="auto"/>
            <w:noWrap/>
            <w:vAlign w:val="bottom"/>
            <w:hideMark/>
          </w:tcPr>
          <w:p w14:paraId="63099926"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118 746 764</w:t>
            </w:r>
          </w:p>
        </w:tc>
      </w:tr>
      <w:tr w:rsidR="00C15687" w:rsidRPr="00FA2E2A" w14:paraId="09FCBCB5" w14:textId="77777777" w:rsidTr="00C15687">
        <w:trPr>
          <w:trHeight w:val="132"/>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3560594E"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Eiropas Reģionālās attīstības fonds</w:t>
            </w:r>
          </w:p>
        </w:tc>
        <w:tc>
          <w:tcPr>
            <w:tcW w:w="2409" w:type="dxa"/>
            <w:tcBorders>
              <w:top w:val="nil"/>
              <w:left w:val="nil"/>
              <w:bottom w:val="single" w:sz="4" w:space="0" w:color="auto"/>
              <w:right w:val="single" w:sz="4" w:space="0" w:color="auto"/>
            </w:tcBorders>
            <w:shd w:val="clear" w:color="auto" w:fill="auto"/>
            <w:noWrap/>
            <w:vAlign w:val="bottom"/>
            <w:hideMark/>
          </w:tcPr>
          <w:p w14:paraId="4C4EE6E5"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144 096 183</w:t>
            </w:r>
          </w:p>
        </w:tc>
      </w:tr>
      <w:tr w:rsidR="00C15687" w:rsidRPr="00FA2E2A" w14:paraId="7BDE72B0"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3FE0133E"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Eiropas Sociālais fonds +</w:t>
            </w:r>
          </w:p>
        </w:tc>
        <w:tc>
          <w:tcPr>
            <w:tcW w:w="2409" w:type="dxa"/>
            <w:tcBorders>
              <w:top w:val="nil"/>
              <w:left w:val="nil"/>
              <w:bottom w:val="single" w:sz="4" w:space="0" w:color="auto"/>
              <w:right w:val="single" w:sz="4" w:space="0" w:color="auto"/>
            </w:tcBorders>
            <w:shd w:val="clear" w:color="auto" w:fill="auto"/>
            <w:noWrap/>
            <w:vAlign w:val="bottom"/>
            <w:hideMark/>
          </w:tcPr>
          <w:p w14:paraId="124F00CD"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19 515 632</w:t>
            </w:r>
          </w:p>
        </w:tc>
      </w:tr>
      <w:tr w:rsidR="00C15687" w:rsidRPr="00FA2E2A" w14:paraId="0BF86199"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1FE2CF50"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 xml:space="preserve">Eiropas Lauksaimniecības garantiju fonds </w:t>
            </w:r>
          </w:p>
        </w:tc>
        <w:tc>
          <w:tcPr>
            <w:tcW w:w="2409" w:type="dxa"/>
            <w:tcBorders>
              <w:top w:val="nil"/>
              <w:left w:val="nil"/>
              <w:bottom w:val="single" w:sz="4" w:space="0" w:color="auto"/>
              <w:right w:val="single" w:sz="4" w:space="0" w:color="auto"/>
            </w:tcBorders>
            <w:shd w:val="clear" w:color="auto" w:fill="auto"/>
            <w:noWrap/>
            <w:vAlign w:val="bottom"/>
            <w:hideMark/>
          </w:tcPr>
          <w:p w14:paraId="5B37EFD3"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346 407 280</w:t>
            </w:r>
          </w:p>
        </w:tc>
      </w:tr>
      <w:tr w:rsidR="00C15687" w:rsidRPr="00FA2E2A" w14:paraId="7ACB90E0" w14:textId="77777777" w:rsidTr="00C15687">
        <w:trPr>
          <w:trHeight w:val="55"/>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52C4EC4B"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 xml:space="preserve">Eiropas Lauksaimniecības fonds lauku attīstībai </w:t>
            </w:r>
          </w:p>
        </w:tc>
        <w:tc>
          <w:tcPr>
            <w:tcW w:w="2409" w:type="dxa"/>
            <w:tcBorders>
              <w:top w:val="nil"/>
              <w:left w:val="nil"/>
              <w:bottom w:val="single" w:sz="4" w:space="0" w:color="auto"/>
              <w:right w:val="single" w:sz="4" w:space="0" w:color="auto"/>
            </w:tcBorders>
            <w:shd w:val="clear" w:color="auto" w:fill="auto"/>
            <w:noWrap/>
            <w:vAlign w:val="bottom"/>
            <w:hideMark/>
          </w:tcPr>
          <w:p w14:paraId="67A9DE8C"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252 289 533</w:t>
            </w:r>
          </w:p>
        </w:tc>
      </w:tr>
      <w:tr w:rsidR="00C15687" w:rsidRPr="00FA2E2A" w14:paraId="09CDF4EF" w14:textId="77777777" w:rsidTr="00C15687">
        <w:trPr>
          <w:trHeight w:val="115"/>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6E81D06B"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Eiropas Jūrlietu un zivsaimniecības fonds (EJZF) un Eiropas Jūrlietu, zvejniecības un akvakultūras fonds (EJZAF)</w:t>
            </w:r>
          </w:p>
        </w:tc>
        <w:tc>
          <w:tcPr>
            <w:tcW w:w="2409" w:type="dxa"/>
            <w:tcBorders>
              <w:top w:val="nil"/>
              <w:left w:val="nil"/>
              <w:bottom w:val="single" w:sz="4" w:space="0" w:color="auto"/>
              <w:right w:val="single" w:sz="4" w:space="0" w:color="auto"/>
            </w:tcBorders>
            <w:shd w:val="clear" w:color="auto" w:fill="auto"/>
            <w:noWrap/>
            <w:vAlign w:val="bottom"/>
            <w:hideMark/>
          </w:tcPr>
          <w:p w14:paraId="05257A35"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61 525 089</w:t>
            </w:r>
          </w:p>
        </w:tc>
      </w:tr>
      <w:tr w:rsidR="00C15687" w:rsidRPr="00FA2E2A" w14:paraId="40EEA063"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3D3A38B6"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Eiropas Kopienas iniciatīvas</w:t>
            </w:r>
          </w:p>
        </w:tc>
        <w:tc>
          <w:tcPr>
            <w:tcW w:w="2409" w:type="dxa"/>
            <w:tcBorders>
              <w:top w:val="nil"/>
              <w:left w:val="nil"/>
              <w:bottom w:val="single" w:sz="4" w:space="0" w:color="auto"/>
              <w:right w:val="single" w:sz="4" w:space="0" w:color="auto"/>
            </w:tcBorders>
            <w:shd w:val="clear" w:color="auto" w:fill="auto"/>
            <w:noWrap/>
            <w:vAlign w:val="bottom"/>
            <w:hideMark/>
          </w:tcPr>
          <w:p w14:paraId="7D9E6752"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9 851 449</w:t>
            </w:r>
          </w:p>
        </w:tc>
      </w:tr>
      <w:tr w:rsidR="00C15687" w:rsidRPr="00FA2E2A" w14:paraId="229D0CCD"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1D8BC983" w14:textId="1DB05411" w:rsidR="00C15687" w:rsidRPr="00F12C59" w:rsidRDefault="00C15687" w:rsidP="00521C13">
            <w:pPr>
              <w:spacing w:after="0"/>
              <w:ind w:firstLine="0"/>
              <w:jc w:val="left"/>
              <w:rPr>
                <w:color w:val="000000"/>
                <w:sz w:val="18"/>
                <w:szCs w:val="18"/>
                <w:lang w:eastAsia="lv-LV"/>
              </w:rPr>
            </w:pPr>
            <w:r w:rsidRPr="00F12C59">
              <w:rPr>
                <w:color w:val="000000"/>
                <w:sz w:val="18"/>
                <w:szCs w:val="18"/>
              </w:rPr>
              <w:t xml:space="preserve">Mērķis </w:t>
            </w:r>
            <w:r>
              <w:rPr>
                <w:color w:val="000000"/>
                <w:sz w:val="18"/>
                <w:szCs w:val="18"/>
              </w:rPr>
              <w:t>“</w:t>
            </w:r>
            <w:r w:rsidRPr="00F12C59">
              <w:rPr>
                <w:color w:val="000000"/>
                <w:sz w:val="18"/>
                <w:szCs w:val="18"/>
              </w:rPr>
              <w:t>Eiropas teritoriālā sadarbība</w:t>
            </w:r>
            <w:r>
              <w:rPr>
                <w:color w:val="000000"/>
                <w:sz w:val="18"/>
                <w:szCs w:val="18"/>
              </w:rPr>
              <w:t>”</w:t>
            </w:r>
          </w:p>
        </w:tc>
        <w:tc>
          <w:tcPr>
            <w:tcW w:w="2409" w:type="dxa"/>
            <w:tcBorders>
              <w:top w:val="nil"/>
              <w:left w:val="nil"/>
              <w:bottom w:val="single" w:sz="4" w:space="0" w:color="auto"/>
              <w:right w:val="single" w:sz="4" w:space="0" w:color="auto"/>
            </w:tcBorders>
            <w:shd w:val="clear" w:color="auto" w:fill="auto"/>
            <w:noWrap/>
            <w:vAlign w:val="bottom"/>
            <w:hideMark/>
          </w:tcPr>
          <w:p w14:paraId="16BE6E60"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9 945 933</w:t>
            </w:r>
          </w:p>
        </w:tc>
      </w:tr>
      <w:tr w:rsidR="00C15687" w:rsidRPr="00FA2E2A" w14:paraId="2EDCAAA7"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7E00E996"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Citi Eiropas Savienības politiku instrumenti</w:t>
            </w:r>
          </w:p>
        </w:tc>
        <w:tc>
          <w:tcPr>
            <w:tcW w:w="2409" w:type="dxa"/>
            <w:tcBorders>
              <w:top w:val="nil"/>
              <w:left w:val="nil"/>
              <w:bottom w:val="single" w:sz="4" w:space="0" w:color="auto"/>
              <w:right w:val="single" w:sz="4" w:space="0" w:color="auto"/>
            </w:tcBorders>
            <w:shd w:val="clear" w:color="auto" w:fill="auto"/>
            <w:vAlign w:val="bottom"/>
            <w:hideMark/>
          </w:tcPr>
          <w:p w14:paraId="040E2CE3"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308 009 230</w:t>
            </w:r>
          </w:p>
        </w:tc>
      </w:tr>
      <w:tr w:rsidR="00C15687" w:rsidRPr="00FA2E2A" w14:paraId="2FBD2E2A"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628B8642" w14:textId="77777777" w:rsidR="00C15687" w:rsidRPr="00F12C59" w:rsidRDefault="00C15687" w:rsidP="00521C13">
            <w:pPr>
              <w:spacing w:after="0"/>
              <w:ind w:firstLine="0"/>
              <w:jc w:val="left"/>
              <w:rPr>
                <w:i/>
                <w:iCs/>
                <w:color w:val="000000"/>
                <w:sz w:val="18"/>
                <w:szCs w:val="18"/>
                <w:lang w:eastAsia="lv-LV"/>
              </w:rPr>
            </w:pPr>
            <w:r w:rsidRPr="00F12C59">
              <w:rPr>
                <w:i/>
                <w:iCs/>
                <w:color w:val="0070C0"/>
                <w:sz w:val="18"/>
                <w:szCs w:val="18"/>
              </w:rPr>
              <w:lastRenderedPageBreak/>
              <w:t xml:space="preserve">  tai skaitā Atveseļošanas un noturības mehānisms</w:t>
            </w:r>
          </w:p>
        </w:tc>
        <w:tc>
          <w:tcPr>
            <w:tcW w:w="2409" w:type="dxa"/>
            <w:tcBorders>
              <w:top w:val="nil"/>
              <w:left w:val="nil"/>
              <w:bottom w:val="single" w:sz="4" w:space="0" w:color="auto"/>
              <w:right w:val="single" w:sz="4" w:space="0" w:color="auto"/>
            </w:tcBorders>
            <w:shd w:val="clear" w:color="auto" w:fill="auto"/>
            <w:vAlign w:val="bottom"/>
            <w:hideMark/>
          </w:tcPr>
          <w:p w14:paraId="1DAA77A8" w14:textId="77777777" w:rsidR="00C15687" w:rsidRPr="00F12C59" w:rsidRDefault="00C15687" w:rsidP="00521C13">
            <w:pPr>
              <w:spacing w:after="0"/>
              <w:ind w:firstLine="0"/>
              <w:jc w:val="right"/>
              <w:rPr>
                <w:i/>
                <w:iCs/>
                <w:color w:val="000000"/>
                <w:sz w:val="18"/>
                <w:szCs w:val="18"/>
                <w:lang w:eastAsia="lv-LV"/>
              </w:rPr>
            </w:pPr>
            <w:r w:rsidRPr="00F12C59">
              <w:rPr>
                <w:i/>
                <w:iCs/>
                <w:color w:val="0070C0"/>
                <w:sz w:val="18"/>
                <w:szCs w:val="18"/>
              </w:rPr>
              <w:t>204 093 548</w:t>
            </w:r>
          </w:p>
        </w:tc>
      </w:tr>
      <w:tr w:rsidR="00C15687" w:rsidRPr="00FA2E2A" w14:paraId="7BBC57A0"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07A0DBB3"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Eiropas Ekonomikas zonas un Norvēģijas finanšu instrumentu finansētie projekti</w:t>
            </w:r>
          </w:p>
        </w:tc>
        <w:tc>
          <w:tcPr>
            <w:tcW w:w="2409" w:type="dxa"/>
            <w:tcBorders>
              <w:top w:val="nil"/>
              <w:left w:val="nil"/>
              <w:bottom w:val="single" w:sz="4" w:space="0" w:color="auto"/>
              <w:right w:val="single" w:sz="4" w:space="0" w:color="auto"/>
            </w:tcBorders>
            <w:shd w:val="clear" w:color="auto" w:fill="auto"/>
            <w:vAlign w:val="bottom"/>
            <w:hideMark/>
          </w:tcPr>
          <w:p w14:paraId="41191EB8"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17 491 359</w:t>
            </w:r>
          </w:p>
        </w:tc>
      </w:tr>
      <w:tr w:rsidR="00C15687" w:rsidRPr="00FA2E2A" w14:paraId="155D3E67" w14:textId="77777777" w:rsidTr="00C15687">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037A8CB7" w14:textId="77777777" w:rsidR="00C15687" w:rsidRPr="00F12C59" w:rsidRDefault="00C15687" w:rsidP="00521C13">
            <w:pPr>
              <w:spacing w:after="0"/>
              <w:ind w:firstLine="0"/>
              <w:jc w:val="left"/>
              <w:rPr>
                <w:color w:val="000000"/>
                <w:sz w:val="18"/>
                <w:szCs w:val="18"/>
                <w:lang w:eastAsia="lv-LV"/>
              </w:rPr>
            </w:pPr>
            <w:r w:rsidRPr="00F12C59">
              <w:rPr>
                <w:color w:val="000000"/>
                <w:sz w:val="18"/>
                <w:szCs w:val="18"/>
              </w:rPr>
              <w:t>Šveices sadarbības programma</w:t>
            </w:r>
          </w:p>
        </w:tc>
        <w:tc>
          <w:tcPr>
            <w:tcW w:w="2409" w:type="dxa"/>
            <w:tcBorders>
              <w:top w:val="nil"/>
              <w:left w:val="nil"/>
              <w:bottom w:val="single" w:sz="4" w:space="0" w:color="auto"/>
              <w:right w:val="single" w:sz="4" w:space="0" w:color="auto"/>
            </w:tcBorders>
            <w:shd w:val="clear" w:color="auto" w:fill="auto"/>
            <w:noWrap/>
            <w:vAlign w:val="bottom"/>
            <w:hideMark/>
          </w:tcPr>
          <w:p w14:paraId="0F74F810" w14:textId="77777777" w:rsidR="00C15687" w:rsidRPr="00F12C59" w:rsidRDefault="00C15687" w:rsidP="00521C13">
            <w:pPr>
              <w:spacing w:after="0"/>
              <w:ind w:firstLine="0"/>
              <w:jc w:val="right"/>
              <w:rPr>
                <w:color w:val="000000"/>
                <w:sz w:val="18"/>
                <w:szCs w:val="18"/>
                <w:lang w:eastAsia="lv-LV"/>
              </w:rPr>
            </w:pPr>
            <w:r w:rsidRPr="00F12C59">
              <w:rPr>
                <w:color w:val="000000"/>
                <w:sz w:val="18"/>
                <w:szCs w:val="18"/>
              </w:rPr>
              <w:t>94 083</w:t>
            </w:r>
          </w:p>
        </w:tc>
      </w:tr>
      <w:tr w:rsidR="00C15687" w:rsidRPr="00FA2E2A" w14:paraId="68A9D587" w14:textId="77777777" w:rsidTr="00C15687">
        <w:trPr>
          <w:trHeight w:val="43"/>
        </w:trPr>
        <w:tc>
          <w:tcPr>
            <w:tcW w:w="66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2FBEEC" w14:textId="77777777" w:rsidR="00C15687" w:rsidRPr="00F12C59" w:rsidRDefault="00C15687" w:rsidP="00521C13">
            <w:pPr>
              <w:spacing w:after="0"/>
              <w:ind w:firstLine="0"/>
              <w:jc w:val="left"/>
              <w:rPr>
                <w:b/>
                <w:bCs/>
                <w:color w:val="000000"/>
                <w:sz w:val="18"/>
                <w:szCs w:val="18"/>
                <w:lang w:eastAsia="lv-LV"/>
              </w:rPr>
            </w:pPr>
            <w:r w:rsidRPr="00F12C59">
              <w:rPr>
                <w:color w:val="000000"/>
                <w:sz w:val="18"/>
                <w:szCs w:val="18"/>
              </w:rPr>
              <w:t>Citi ārvalstu finanšu palīdzības līdzfinansētie projekti</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14:paraId="03BC44D8" w14:textId="77777777" w:rsidR="00C15687" w:rsidRPr="00F12C59" w:rsidRDefault="00C15687" w:rsidP="00521C13">
            <w:pPr>
              <w:spacing w:after="0"/>
              <w:ind w:firstLine="0"/>
              <w:jc w:val="right"/>
              <w:rPr>
                <w:b/>
                <w:bCs/>
                <w:color w:val="000000"/>
                <w:sz w:val="18"/>
                <w:szCs w:val="18"/>
                <w:lang w:eastAsia="lv-LV"/>
              </w:rPr>
            </w:pPr>
            <w:r w:rsidRPr="00F12C59">
              <w:rPr>
                <w:color w:val="000000"/>
                <w:sz w:val="18"/>
                <w:szCs w:val="18"/>
              </w:rPr>
              <w:t>11 099 427</w:t>
            </w:r>
          </w:p>
        </w:tc>
      </w:tr>
      <w:tr w:rsidR="00C15687" w:rsidRPr="00FA2E2A" w14:paraId="309A5381" w14:textId="77777777" w:rsidTr="00C15687">
        <w:trPr>
          <w:trHeight w:val="669"/>
        </w:trPr>
        <w:tc>
          <w:tcPr>
            <w:tcW w:w="6658" w:type="dxa"/>
            <w:tcBorders>
              <w:top w:val="single" w:sz="4" w:space="0" w:color="auto"/>
              <w:left w:val="single" w:sz="4" w:space="0" w:color="auto"/>
              <w:bottom w:val="single" w:sz="4" w:space="0" w:color="auto"/>
              <w:right w:val="single" w:sz="4" w:space="0" w:color="auto"/>
            </w:tcBorders>
            <w:shd w:val="clear" w:color="000000" w:fill="DAEEF3"/>
            <w:vAlign w:val="bottom"/>
          </w:tcPr>
          <w:p w14:paraId="56718BAF" w14:textId="77777777" w:rsidR="00C15687" w:rsidRPr="00E802E1" w:rsidRDefault="00C15687" w:rsidP="00521C13">
            <w:pPr>
              <w:spacing w:after="0"/>
              <w:ind w:firstLine="0"/>
              <w:jc w:val="left"/>
              <w:rPr>
                <w:b/>
                <w:bCs/>
                <w:color w:val="000000"/>
                <w:sz w:val="18"/>
                <w:szCs w:val="18"/>
              </w:rPr>
            </w:pPr>
            <w:r w:rsidRPr="00E802E1">
              <w:rPr>
                <w:b/>
                <w:bCs/>
                <w:color w:val="000000"/>
                <w:sz w:val="18"/>
                <w:szCs w:val="18"/>
              </w:rPr>
              <w:t>Budžeta resora „74.Gadskārtējā valsts budžeta izpildes procesā pārdalāmais finansējums” programmā 80.00.00 „Nesadalītais finansējums Eiropas Savienības politiku instrumentu un pārējās ārvalstu finanšu palīdzības līdzfinansēto projektu un pasākumu īstenošanai” plānotais finansējums</w:t>
            </w:r>
          </w:p>
        </w:tc>
        <w:tc>
          <w:tcPr>
            <w:tcW w:w="2409" w:type="dxa"/>
            <w:tcBorders>
              <w:top w:val="single" w:sz="4" w:space="0" w:color="auto"/>
              <w:left w:val="nil"/>
              <w:bottom w:val="single" w:sz="4" w:space="0" w:color="auto"/>
              <w:right w:val="single" w:sz="4" w:space="0" w:color="auto"/>
            </w:tcBorders>
            <w:shd w:val="clear" w:color="000000" w:fill="DAEEF3"/>
            <w:vAlign w:val="bottom"/>
          </w:tcPr>
          <w:p w14:paraId="5D08AB23" w14:textId="77777777" w:rsidR="00C15687" w:rsidRPr="00E802E1" w:rsidRDefault="00C15687" w:rsidP="00521C13">
            <w:pPr>
              <w:spacing w:after="0"/>
              <w:ind w:firstLine="0"/>
              <w:jc w:val="right"/>
              <w:rPr>
                <w:b/>
                <w:bCs/>
                <w:color w:val="000000"/>
                <w:sz w:val="18"/>
                <w:szCs w:val="18"/>
              </w:rPr>
            </w:pPr>
            <w:r w:rsidRPr="00E802E1">
              <w:rPr>
                <w:b/>
                <w:bCs/>
                <w:color w:val="000000"/>
                <w:sz w:val="18"/>
                <w:szCs w:val="18"/>
              </w:rPr>
              <w:t>1 167 698 156</w:t>
            </w:r>
          </w:p>
        </w:tc>
      </w:tr>
    </w:tbl>
    <w:p w14:paraId="3F784A95" w14:textId="77777777" w:rsidR="00C15687" w:rsidRPr="00BC006C" w:rsidRDefault="00C15687" w:rsidP="00C15687">
      <w:pPr>
        <w:spacing w:before="120" w:after="0"/>
        <w:ind w:firstLine="720"/>
      </w:pPr>
      <w:r w:rsidRPr="00BC006C">
        <w:rPr>
          <w:b/>
        </w:rPr>
        <w:t>Valsts speciālā budžeta</w:t>
      </w:r>
      <w:r w:rsidRPr="00BC006C">
        <w:t xml:space="preserve"> </w:t>
      </w:r>
      <w:r w:rsidRPr="00BC006C">
        <w:rPr>
          <w:b/>
        </w:rPr>
        <w:t>izdevumi</w:t>
      </w:r>
      <w:r w:rsidRPr="00BC006C">
        <w:t xml:space="preserve"> 2024. gadam plānoti 4 355,7 milj. </w:t>
      </w:r>
      <w:proofErr w:type="spellStart"/>
      <w:r w:rsidRPr="00BC006C">
        <w:rPr>
          <w:i/>
        </w:rPr>
        <w:t>euro</w:t>
      </w:r>
      <w:proofErr w:type="spellEnd"/>
      <w:r w:rsidRPr="00BC006C">
        <w:t xml:space="preserve"> apmērā, kas, salīdzinot ar 2023. gada plānu, veido palielinājumu par 6,7% jeb 272,4 milj. </w:t>
      </w:r>
      <w:proofErr w:type="spellStart"/>
      <w:r w:rsidRPr="00BC006C">
        <w:rPr>
          <w:i/>
        </w:rPr>
        <w:t>euro</w:t>
      </w:r>
      <w:proofErr w:type="spellEnd"/>
      <w:r w:rsidRPr="00BC006C">
        <w:t>.</w:t>
      </w:r>
    </w:p>
    <w:p w14:paraId="04D21D02" w14:textId="77777777" w:rsidR="00C15687" w:rsidRPr="00602581" w:rsidRDefault="00C15687" w:rsidP="00C15687">
      <w:pPr>
        <w:spacing w:before="240"/>
        <w:ind w:firstLine="0"/>
        <w:jc w:val="center"/>
        <w:rPr>
          <w:b/>
          <w:i/>
        </w:rPr>
      </w:pPr>
      <w:r w:rsidRPr="00BC006C">
        <w:rPr>
          <w:b/>
          <w:i/>
        </w:rPr>
        <w:t xml:space="preserve">5.4.attēls </w:t>
      </w:r>
      <w:r w:rsidRPr="00BC006C">
        <w:rPr>
          <w:b/>
        </w:rPr>
        <w:t>Valsts speciālā budžeta izdevumi no 202</w:t>
      </w:r>
      <w:r>
        <w:rPr>
          <w:b/>
        </w:rPr>
        <w:t>3</w:t>
      </w:r>
      <w:r w:rsidRPr="00BC006C">
        <w:rPr>
          <w:b/>
        </w:rPr>
        <w:t>. līdz 202</w:t>
      </w:r>
      <w:r>
        <w:rPr>
          <w:b/>
        </w:rPr>
        <w:t>6</w:t>
      </w:r>
      <w:r w:rsidRPr="00BC006C">
        <w:rPr>
          <w:b/>
        </w:rPr>
        <w:t>. gadam, milj.</w:t>
      </w:r>
      <w:r w:rsidRPr="000D50C3">
        <w:rPr>
          <w:b/>
          <w:i/>
        </w:rPr>
        <w:t xml:space="preserve"> </w:t>
      </w:r>
      <w:proofErr w:type="spellStart"/>
      <w:r w:rsidRPr="000D50C3">
        <w:rPr>
          <w:b/>
          <w:i/>
        </w:rPr>
        <w:t>euro</w:t>
      </w:r>
      <w:proofErr w:type="spellEnd"/>
    </w:p>
    <w:p w14:paraId="1207CEBA" w14:textId="77777777" w:rsidR="00C15687" w:rsidRDefault="00C15687" w:rsidP="00C15687">
      <w:pPr>
        <w:ind w:firstLine="0"/>
        <w:rPr>
          <w:b/>
          <w:sz w:val="36"/>
        </w:rPr>
      </w:pPr>
      <w:r>
        <w:rPr>
          <w:noProof/>
          <w:lang w:eastAsia="lv-LV"/>
        </w:rPr>
        <w:drawing>
          <wp:inline distT="0" distB="0" distL="0" distR="0" wp14:anchorId="48253085" wp14:editId="46F6B656">
            <wp:extent cx="5760085" cy="3667760"/>
            <wp:effectExtent l="0" t="0" r="12065" b="8890"/>
            <wp:docPr id="6" name="Chart 6">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092825F" w14:textId="77777777" w:rsidR="00C15687" w:rsidRPr="00515B10" w:rsidRDefault="00C15687" w:rsidP="00C15687">
      <w:pPr>
        <w:ind w:firstLine="0"/>
      </w:pPr>
      <w:r w:rsidRPr="004A1AB7">
        <w:rPr>
          <w:i/>
          <w:sz w:val="18"/>
          <w:szCs w:val="18"/>
        </w:rPr>
        <w:t xml:space="preserve">apakšprogrammas līmenī tiek izslēgti savstarpējie </w:t>
      </w:r>
      <w:proofErr w:type="spellStart"/>
      <w:r w:rsidRPr="004A1AB7">
        <w:rPr>
          <w:i/>
          <w:sz w:val="18"/>
          <w:szCs w:val="18"/>
        </w:rPr>
        <w:t>transferti</w:t>
      </w:r>
      <w:proofErr w:type="spellEnd"/>
    </w:p>
    <w:p w14:paraId="38D98943" w14:textId="77777777" w:rsidR="00C15687" w:rsidRPr="00C15687" w:rsidRDefault="00C15687" w:rsidP="00C15687"/>
    <w:sectPr w:rsidR="00C15687" w:rsidRPr="00C15687" w:rsidSect="00991202">
      <w:headerReference w:type="even" r:id="rId12"/>
      <w:headerReference w:type="default" r:id="rId13"/>
      <w:footerReference w:type="default" r:id="rId14"/>
      <w:pgSz w:w="11906" w:h="16838" w:code="9"/>
      <w:pgMar w:top="1418" w:right="1134" w:bottom="1134" w:left="1701" w:header="720" w:footer="720" w:gutter="0"/>
      <w:pgNumType w:start="1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A7BC" w14:textId="77777777" w:rsidR="00602581" w:rsidRDefault="00602581">
      <w:r>
        <w:separator/>
      </w:r>
    </w:p>
  </w:endnote>
  <w:endnote w:type="continuationSeparator" w:id="0">
    <w:p w14:paraId="69986AE4" w14:textId="77777777" w:rsidR="00602581" w:rsidRDefault="0060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A73F" w14:textId="548741D8" w:rsidR="00602581" w:rsidRDefault="00602581">
    <w:pPr>
      <w:pStyle w:val="Footer"/>
    </w:pPr>
    <w:r>
      <w:rPr>
        <w:noProof/>
      </w:rPr>
      <w:fldChar w:fldCharType="begin"/>
    </w:r>
    <w:r>
      <w:rPr>
        <w:noProof/>
      </w:rPr>
      <w:instrText xml:space="preserve"> FILENAME   \* MERGEFORMAT </w:instrText>
    </w:r>
    <w:r>
      <w:rPr>
        <w:noProof/>
      </w:rPr>
      <w:fldChar w:fldCharType="separate"/>
    </w:r>
    <w:r w:rsidR="00385444">
      <w:rPr>
        <w:noProof/>
      </w:rPr>
      <w:t>FMPask_5.3_271023_proj2024.docx</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12CD" w14:textId="77777777" w:rsidR="00602581" w:rsidRDefault="00602581">
      <w:r>
        <w:separator/>
      </w:r>
    </w:p>
  </w:footnote>
  <w:footnote w:type="continuationSeparator" w:id="0">
    <w:p w14:paraId="0E882D9F" w14:textId="77777777" w:rsidR="00602581" w:rsidRDefault="0060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DB626" w14:textId="77777777" w:rsidR="00602581" w:rsidRDefault="006025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102</w:t>
    </w:r>
    <w:r>
      <w:rPr>
        <w:rStyle w:val="PageNumber"/>
      </w:rPr>
      <w:fldChar w:fldCharType="end"/>
    </w:r>
  </w:p>
  <w:p w14:paraId="6C21B8ED" w14:textId="77777777" w:rsidR="00602581" w:rsidRDefault="00602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232301"/>
      <w:docPartObj>
        <w:docPartGallery w:val="Page Numbers (Top of Page)"/>
        <w:docPartUnique/>
      </w:docPartObj>
    </w:sdtPr>
    <w:sdtEndPr>
      <w:rPr>
        <w:noProof/>
      </w:rPr>
    </w:sdtEndPr>
    <w:sdtContent>
      <w:p w14:paraId="41BBD211" w14:textId="77777777" w:rsidR="00602581" w:rsidRDefault="00602581">
        <w:pPr>
          <w:pStyle w:val="Header"/>
          <w:jc w:val="center"/>
        </w:pPr>
        <w:r>
          <w:fldChar w:fldCharType="begin"/>
        </w:r>
        <w:r>
          <w:instrText xml:space="preserve"> PAGE   \* MERGEFORMAT </w:instrText>
        </w:r>
        <w:r>
          <w:fldChar w:fldCharType="separate"/>
        </w:r>
        <w:r w:rsidR="00DB1369">
          <w:rPr>
            <w:noProof/>
          </w:rPr>
          <w:t>134</w:t>
        </w:r>
        <w:r>
          <w:rPr>
            <w:noProof/>
          </w:rPr>
          <w:fldChar w:fldCharType="end"/>
        </w:r>
      </w:p>
    </w:sdtContent>
  </w:sdt>
  <w:p w14:paraId="5D76A6F2" w14:textId="05284C72" w:rsidR="00602581" w:rsidRDefault="00361F60" w:rsidP="00361F60">
    <w:pPr>
      <w:pStyle w:val="Header"/>
      <w:jc w:val="right"/>
    </w:pPr>
    <w:r w:rsidRPr="00671C22">
      <w:rPr>
        <w:sz w:val="20"/>
      </w:rPr>
      <w:t>Valsts budžets 202</w:t>
    </w:r>
    <w:r w:rsidR="00385444">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0CC"/>
    <w:multiLevelType w:val="hybridMultilevel"/>
    <w:tmpl w:val="2EBEA276"/>
    <w:lvl w:ilvl="0" w:tplc="0024B62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6B48B1"/>
    <w:multiLevelType w:val="hybridMultilevel"/>
    <w:tmpl w:val="E758A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563C1E"/>
    <w:multiLevelType w:val="hybridMultilevel"/>
    <w:tmpl w:val="3C5AA166"/>
    <w:lvl w:ilvl="0" w:tplc="64521DA4">
      <w:start w:val="1"/>
      <w:numFmt w:val="bullet"/>
      <w:lvlText w:val="•"/>
      <w:lvlJc w:val="left"/>
      <w:pPr>
        <w:tabs>
          <w:tab w:val="num" w:pos="720"/>
        </w:tabs>
        <w:ind w:left="720" w:hanging="360"/>
      </w:pPr>
      <w:rPr>
        <w:rFonts w:ascii="Times New Roman" w:hAnsi="Times New Roman" w:hint="default"/>
      </w:rPr>
    </w:lvl>
    <w:lvl w:ilvl="1" w:tplc="79AA0212">
      <w:start w:val="2512"/>
      <w:numFmt w:val="bullet"/>
      <w:lvlText w:val="–"/>
      <w:lvlJc w:val="left"/>
      <w:pPr>
        <w:tabs>
          <w:tab w:val="num" w:pos="1440"/>
        </w:tabs>
        <w:ind w:left="1440" w:hanging="360"/>
      </w:pPr>
      <w:rPr>
        <w:rFonts w:ascii="Times New Roman" w:hAnsi="Times New Roman" w:hint="default"/>
      </w:rPr>
    </w:lvl>
    <w:lvl w:ilvl="2" w:tplc="DFF663D0" w:tentative="1">
      <w:start w:val="1"/>
      <w:numFmt w:val="bullet"/>
      <w:lvlText w:val="•"/>
      <w:lvlJc w:val="left"/>
      <w:pPr>
        <w:tabs>
          <w:tab w:val="num" w:pos="2160"/>
        </w:tabs>
        <w:ind w:left="2160" w:hanging="360"/>
      </w:pPr>
      <w:rPr>
        <w:rFonts w:ascii="Times New Roman" w:hAnsi="Times New Roman" w:hint="default"/>
      </w:rPr>
    </w:lvl>
    <w:lvl w:ilvl="3" w:tplc="BB4AAC08" w:tentative="1">
      <w:start w:val="1"/>
      <w:numFmt w:val="bullet"/>
      <w:lvlText w:val="•"/>
      <w:lvlJc w:val="left"/>
      <w:pPr>
        <w:tabs>
          <w:tab w:val="num" w:pos="2880"/>
        </w:tabs>
        <w:ind w:left="2880" w:hanging="360"/>
      </w:pPr>
      <w:rPr>
        <w:rFonts w:ascii="Times New Roman" w:hAnsi="Times New Roman" w:hint="default"/>
      </w:rPr>
    </w:lvl>
    <w:lvl w:ilvl="4" w:tplc="4EAC968E" w:tentative="1">
      <w:start w:val="1"/>
      <w:numFmt w:val="bullet"/>
      <w:lvlText w:val="•"/>
      <w:lvlJc w:val="left"/>
      <w:pPr>
        <w:tabs>
          <w:tab w:val="num" w:pos="3600"/>
        </w:tabs>
        <w:ind w:left="3600" w:hanging="360"/>
      </w:pPr>
      <w:rPr>
        <w:rFonts w:ascii="Times New Roman" w:hAnsi="Times New Roman" w:hint="default"/>
      </w:rPr>
    </w:lvl>
    <w:lvl w:ilvl="5" w:tplc="4830AAFA" w:tentative="1">
      <w:start w:val="1"/>
      <w:numFmt w:val="bullet"/>
      <w:lvlText w:val="•"/>
      <w:lvlJc w:val="left"/>
      <w:pPr>
        <w:tabs>
          <w:tab w:val="num" w:pos="4320"/>
        </w:tabs>
        <w:ind w:left="4320" w:hanging="360"/>
      </w:pPr>
      <w:rPr>
        <w:rFonts w:ascii="Times New Roman" w:hAnsi="Times New Roman" w:hint="default"/>
      </w:rPr>
    </w:lvl>
    <w:lvl w:ilvl="6" w:tplc="AC408F5C" w:tentative="1">
      <w:start w:val="1"/>
      <w:numFmt w:val="bullet"/>
      <w:lvlText w:val="•"/>
      <w:lvlJc w:val="left"/>
      <w:pPr>
        <w:tabs>
          <w:tab w:val="num" w:pos="5040"/>
        </w:tabs>
        <w:ind w:left="5040" w:hanging="360"/>
      </w:pPr>
      <w:rPr>
        <w:rFonts w:ascii="Times New Roman" w:hAnsi="Times New Roman" w:hint="default"/>
      </w:rPr>
    </w:lvl>
    <w:lvl w:ilvl="7" w:tplc="63A8843C" w:tentative="1">
      <w:start w:val="1"/>
      <w:numFmt w:val="bullet"/>
      <w:lvlText w:val="•"/>
      <w:lvlJc w:val="left"/>
      <w:pPr>
        <w:tabs>
          <w:tab w:val="num" w:pos="5760"/>
        </w:tabs>
        <w:ind w:left="5760" w:hanging="360"/>
      </w:pPr>
      <w:rPr>
        <w:rFonts w:ascii="Times New Roman" w:hAnsi="Times New Roman" w:hint="default"/>
      </w:rPr>
    </w:lvl>
    <w:lvl w:ilvl="8" w:tplc="638C620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07B859AA"/>
    <w:multiLevelType w:val="hybridMultilevel"/>
    <w:tmpl w:val="0EC03ABC"/>
    <w:lvl w:ilvl="0" w:tplc="53208902">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F45D69"/>
    <w:multiLevelType w:val="hybridMultilevel"/>
    <w:tmpl w:val="AE42B686"/>
    <w:lvl w:ilvl="0" w:tplc="1038B6CE">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0F41E42"/>
    <w:multiLevelType w:val="hybridMultilevel"/>
    <w:tmpl w:val="DCA42934"/>
    <w:lvl w:ilvl="0" w:tplc="2AD82E8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B40DC"/>
    <w:multiLevelType w:val="hybridMultilevel"/>
    <w:tmpl w:val="1088AF40"/>
    <w:lvl w:ilvl="0" w:tplc="C96E3840">
      <w:start w:val="1"/>
      <w:numFmt w:val="bullet"/>
      <w:lvlText w:val="•"/>
      <w:lvlJc w:val="left"/>
      <w:pPr>
        <w:tabs>
          <w:tab w:val="num" w:pos="720"/>
        </w:tabs>
        <w:ind w:left="720" w:hanging="360"/>
      </w:pPr>
      <w:rPr>
        <w:rFonts w:ascii="Times New Roman" w:hAnsi="Times New Roman" w:hint="default"/>
      </w:rPr>
    </w:lvl>
    <w:lvl w:ilvl="1" w:tplc="6DD28E46" w:tentative="1">
      <w:start w:val="1"/>
      <w:numFmt w:val="bullet"/>
      <w:lvlText w:val="•"/>
      <w:lvlJc w:val="left"/>
      <w:pPr>
        <w:tabs>
          <w:tab w:val="num" w:pos="1440"/>
        </w:tabs>
        <w:ind w:left="1440" w:hanging="360"/>
      </w:pPr>
      <w:rPr>
        <w:rFonts w:ascii="Times New Roman" w:hAnsi="Times New Roman" w:hint="default"/>
      </w:rPr>
    </w:lvl>
    <w:lvl w:ilvl="2" w:tplc="AE14C33C" w:tentative="1">
      <w:start w:val="1"/>
      <w:numFmt w:val="bullet"/>
      <w:lvlText w:val="•"/>
      <w:lvlJc w:val="left"/>
      <w:pPr>
        <w:tabs>
          <w:tab w:val="num" w:pos="2160"/>
        </w:tabs>
        <w:ind w:left="2160" w:hanging="360"/>
      </w:pPr>
      <w:rPr>
        <w:rFonts w:ascii="Times New Roman" w:hAnsi="Times New Roman" w:hint="default"/>
      </w:rPr>
    </w:lvl>
    <w:lvl w:ilvl="3" w:tplc="7A3E3954" w:tentative="1">
      <w:start w:val="1"/>
      <w:numFmt w:val="bullet"/>
      <w:lvlText w:val="•"/>
      <w:lvlJc w:val="left"/>
      <w:pPr>
        <w:tabs>
          <w:tab w:val="num" w:pos="2880"/>
        </w:tabs>
        <w:ind w:left="2880" w:hanging="360"/>
      </w:pPr>
      <w:rPr>
        <w:rFonts w:ascii="Times New Roman" w:hAnsi="Times New Roman" w:hint="default"/>
      </w:rPr>
    </w:lvl>
    <w:lvl w:ilvl="4" w:tplc="AB36B8DE" w:tentative="1">
      <w:start w:val="1"/>
      <w:numFmt w:val="bullet"/>
      <w:lvlText w:val="•"/>
      <w:lvlJc w:val="left"/>
      <w:pPr>
        <w:tabs>
          <w:tab w:val="num" w:pos="3600"/>
        </w:tabs>
        <w:ind w:left="3600" w:hanging="360"/>
      </w:pPr>
      <w:rPr>
        <w:rFonts w:ascii="Times New Roman" w:hAnsi="Times New Roman" w:hint="default"/>
      </w:rPr>
    </w:lvl>
    <w:lvl w:ilvl="5" w:tplc="CBA06B4C" w:tentative="1">
      <w:start w:val="1"/>
      <w:numFmt w:val="bullet"/>
      <w:lvlText w:val="•"/>
      <w:lvlJc w:val="left"/>
      <w:pPr>
        <w:tabs>
          <w:tab w:val="num" w:pos="4320"/>
        </w:tabs>
        <w:ind w:left="4320" w:hanging="360"/>
      </w:pPr>
      <w:rPr>
        <w:rFonts w:ascii="Times New Roman" w:hAnsi="Times New Roman" w:hint="default"/>
      </w:rPr>
    </w:lvl>
    <w:lvl w:ilvl="6" w:tplc="B9B4CD86" w:tentative="1">
      <w:start w:val="1"/>
      <w:numFmt w:val="bullet"/>
      <w:lvlText w:val="•"/>
      <w:lvlJc w:val="left"/>
      <w:pPr>
        <w:tabs>
          <w:tab w:val="num" w:pos="5040"/>
        </w:tabs>
        <w:ind w:left="5040" w:hanging="360"/>
      </w:pPr>
      <w:rPr>
        <w:rFonts w:ascii="Times New Roman" w:hAnsi="Times New Roman" w:hint="default"/>
      </w:rPr>
    </w:lvl>
    <w:lvl w:ilvl="7" w:tplc="15DE6754" w:tentative="1">
      <w:start w:val="1"/>
      <w:numFmt w:val="bullet"/>
      <w:lvlText w:val="•"/>
      <w:lvlJc w:val="left"/>
      <w:pPr>
        <w:tabs>
          <w:tab w:val="num" w:pos="5760"/>
        </w:tabs>
        <w:ind w:left="5760" w:hanging="360"/>
      </w:pPr>
      <w:rPr>
        <w:rFonts w:ascii="Times New Roman" w:hAnsi="Times New Roman" w:hint="default"/>
      </w:rPr>
    </w:lvl>
    <w:lvl w:ilvl="8" w:tplc="84B464B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0A20F6"/>
    <w:multiLevelType w:val="hybridMultilevel"/>
    <w:tmpl w:val="67E89E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7CE70BE"/>
    <w:multiLevelType w:val="hybridMultilevel"/>
    <w:tmpl w:val="0CD0D5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9656367"/>
    <w:multiLevelType w:val="hybridMultilevel"/>
    <w:tmpl w:val="4DCE5F26"/>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E74767"/>
    <w:multiLevelType w:val="hybridMultilevel"/>
    <w:tmpl w:val="F64AF972"/>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ECC2467"/>
    <w:multiLevelType w:val="hybridMultilevel"/>
    <w:tmpl w:val="5F103FA8"/>
    <w:lvl w:ilvl="0" w:tplc="44D89A26">
      <w:start w:val="1"/>
      <w:numFmt w:val="bullet"/>
      <w:lvlText w:val=""/>
      <w:lvlJc w:val="left"/>
      <w:pPr>
        <w:tabs>
          <w:tab w:val="num" w:pos="1069"/>
        </w:tabs>
        <w:ind w:left="1049" w:hanging="34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DC112F"/>
    <w:multiLevelType w:val="hybridMultilevel"/>
    <w:tmpl w:val="0D62CF6C"/>
    <w:lvl w:ilvl="0" w:tplc="1E82D3C2">
      <w:start w:val="1"/>
      <w:numFmt w:val="lowerLetter"/>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46032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49B1083"/>
    <w:multiLevelType w:val="hybridMultilevel"/>
    <w:tmpl w:val="6F0C91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52F26FD"/>
    <w:multiLevelType w:val="hybridMultilevel"/>
    <w:tmpl w:val="FCA846F2"/>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6DD27A1"/>
    <w:multiLevelType w:val="hybridMultilevel"/>
    <w:tmpl w:val="120EEC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9A60C4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0F4F32"/>
    <w:multiLevelType w:val="hybridMultilevel"/>
    <w:tmpl w:val="C85041DC"/>
    <w:lvl w:ilvl="0" w:tplc="01DA5A16">
      <w:start w:val="1"/>
      <w:numFmt w:val="bullet"/>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472F51"/>
    <w:multiLevelType w:val="hybridMultilevel"/>
    <w:tmpl w:val="E62A5A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F107C81"/>
    <w:multiLevelType w:val="hybridMultilevel"/>
    <w:tmpl w:val="4DAC0DFE"/>
    <w:lvl w:ilvl="0" w:tplc="0809000F">
      <w:start w:val="1"/>
      <w:numFmt w:val="decimal"/>
      <w:lvlText w:val="%1."/>
      <w:lvlJc w:val="left"/>
      <w:pPr>
        <w:ind w:left="755" w:hanging="360"/>
      </w:pPr>
    </w:lvl>
    <w:lvl w:ilvl="1" w:tplc="08090019" w:tentative="1">
      <w:start w:val="1"/>
      <w:numFmt w:val="lowerLetter"/>
      <w:lvlText w:val="%2."/>
      <w:lvlJc w:val="left"/>
      <w:pPr>
        <w:ind w:left="1475" w:hanging="360"/>
      </w:pPr>
    </w:lvl>
    <w:lvl w:ilvl="2" w:tplc="0809001B" w:tentative="1">
      <w:start w:val="1"/>
      <w:numFmt w:val="lowerRoman"/>
      <w:lvlText w:val="%3."/>
      <w:lvlJc w:val="right"/>
      <w:pPr>
        <w:ind w:left="2195" w:hanging="180"/>
      </w:pPr>
    </w:lvl>
    <w:lvl w:ilvl="3" w:tplc="0809000F" w:tentative="1">
      <w:start w:val="1"/>
      <w:numFmt w:val="decimal"/>
      <w:lvlText w:val="%4."/>
      <w:lvlJc w:val="left"/>
      <w:pPr>
        <w:ind w:left="2915" w:hanging="360"/>
      </w:pPr>
    </w:lvl>
    <w:lvl w:ilvl="4" w:tplc="08090019" w:tentative="1">
      <w:start w:val="1"/>
      <w:numFmt w:val="lowerLetter"/>
      <w:lvlText w:val="%5."/>
      <w:lvlJc w:val="left"/>
      <w:pPr>
        <w:ind w:left="3635" w:hanging="360"/>
      </w:pPr>
    </w:lvl>
    <w:lvl w:ilvl="5" w:tplc="0809001B" w:tentative="1">
      <w:start w:val="1"/>
      <w:numFmt w:val="lowerRoman"/>
      <w:lvlText w:val="%6."/>
      <w:lvlJc w:val="right"/>
      <w:pPr>
        <w:ind w:left="4355" w:hanging="180"/>
      </w:pPr>
    </w:lvl>
    <w:lvl w:ilvl="6" w:tplc="0809000F" w:tentative="1">
      <w:start w:val="1"/>
      <w:numFmt w:val="decimal"/>
      <w:lvlText w:val="%7."/>
      <w:lvlJc w:val="left"/>
      <w:pPr>
        <w:ind w:left="5075" w:hanging="360"/>
      </w:pPr>
    </w:lvl>
    <w:lvl w:ilvl="7" w:tplc="08090019" w:tentative="1">
      <w:start w:val="1"/>
      <w:numFmt w:val="lowerLetter"/>
      <w:lvlText w:val="%8."/>
      <w:lvlJc w:val="left"/>
      <w:pPr>
        <w:ind w:left="5795" w:hanging="360"/>
      </w:pPr>
    </w:lvl>
    <w:lvl w:ilvl="8" w:tplc="0809001B" w:tentative="1">
      <w:start w:val="1"/>
      <w:numFmt w:val="lowerRoman"/>
      <w:lvlText w:val="%9."/>
      <w:lvlJc w:val="right"/>
      <w:pPr>
        <w:ind w:left="6515" w:hanging="180"/>
      </w:pPr>
    </w:lvl>
  </w:abstractNum>
  <w:abstractNum w:abstractNumId="23" w15:restartNumberingAfterBreak="0">
    <w:nsid w:val="3FEB53E1"/>
    <w:multiLevelType w:val="hybridMultilevel"/>
    <w:tmpl w:val="6CF2FCC0"/>
    <w:lvl w:ilvl="0" w:tplc="0426000F">
      <w:start w:val="1"/>
      <w:numFmt w:val="decimal"/>
      <w:lvlText w:val="%1."/>
      <w:lvlJc w:val="left"/>
      <w:pPr>
        <w:ind w:left="1365" w:hanging="360"/>
      </w:pPr>
    </w:lvl>
    <w:lvl w:ilvl="1" w:tplc="04260019" w:tentative="1">
      <w:start w:val="1"/>
      <w:numFmt w:val="lowerLetter"/>
      <w:lvlText w:val="%2."/>
      <w:lvlJc w:val="left"/>
      <w:pPr>
        <w:ind w:left="2085" w:hanging="360"/>
      </w:pPr>
    </w:lvl>
    <w:lvl w:ilvl="2" w:tplc="0426001B" w:tentative="1">
      <w:start w:val="1"/>
      <w:numFmt w:val="lowerRoman"/>
      <w:lvlText w:val="%3."/>
      <w:lvlJc w:val="right"/>
      <w:pPr>
        <w:ind w:left="2805" w:hanging="180"/>
      </w:pPr>
    </w:lvl>
    <w:lvl w:ilvl="3" w:tplc="0426000F" w:tentative="1">
      <w:start w:val="1"/>
      <w:numFmt w:val="decimal"/>
      <w:lvlText w:val="%4."/>
      <w:lvlJc w:val="left"/>
      <w:pPr>
        <w:ind w:left="3525" w:hanging="360"/>
      </w:pPr>
    </w:lvl>
    <w:lvl w:ilvl="4" w:tplc="04260019" w:tentative="1">
      <w:start w:val="1"/>
      <w:numFmt w:val="lowerLetter"/>
      <w:lvlText w:val="%5."/>
      <w:lvlJc w:val="left"/>
      <w:pPr>
        <w:ind w:left="4245" w:hanging="360"/>
      </w:pPr>
    </w:lvl>
    <w:lvl w:ilvl="5" w:tplc="0426001B" w:tentative="1">
      <w:start w:val="1"/>
      <w:numFmt w:val="lowerRoman"/>
      <w:lvlText w:val="%6."/>
      <w:lvlJc w:val="right"/>
      <w:pPr>
        <w:ind w:left="4965" w:hanging="180"/>
      </w:pPr>
    </w:lvl>
    <w:lvl w:ilvl="6" w:tplc="0426000F" w:tentative="1">
      <w:start w:val="1"/>
      <w:numFmt w:val="decimal"/>
      <w:lvlText w:val="%7."/>
      <w:lvlJc w:val="left"/>
      <w:pPr>
        <w:ind w:left="5685" w:hanging="360"/>
      </w:pPr>
    </w:lvl>
    <w:lvl w:ilvl="7" w:tplc="04260019" w:tentative="1">
      <w:start w:val="1"/>
      <w:numFmt w:val="lowerLetter"/>
      <w:lvlText w:val="%8."/>
      <w:lvlJc w:val="left"/>
      <w:pPr>
        <w:ind w:left="6405" w:hanging="360"/>
      </w:pPr>
    </w:lvl>
    <w:lvl w:ilvl="8" w:tplc="0426001B" w:tentative="1">
      <w:start w:val="1"/>
      <w:numFmt w:val="lowerRoman"/>
      <w:lvlText w:val="%9."/>
      <w:lvlJc w:val="right"/>
      <w:pPr>
        <w:ind w:left="7125" w:hanging="180"/>
      </w:pPr>
    </w:lvl>
  </w:abstractNum>
  <w:abstractNum w:abstractNumId="24" w15:restartNumberingAfterBreak="0">
    <w:nsid w:val="418250A3"/>
    <w:multiLevelType w:val="hybridMultilevel"/>
    <w:tmpl w:val="7758CC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4204C68"/>
    <w:multiLevelType w:val="hybridMultilevel"/>
    <w:tmpl w:val="E87EC4FE"/>
    <w:lvl w:ilvl="0" w:tplc="DDBE7A2A">
      <w:start w:val="1"/>
      <w:numFmt w:val="bullet"/>
      <w:lvlText w:val="•"/>
      <w:lvlJc w:val="left"/>
      <w:pPr>
        <w:tabs>
          <w:tab w:val="num" w:pos="720"/>
        </w:tabs>
        <w:ind w:left="720" w:hanging="360"/>
      </w:pPr>
      <w:rPr>
        <w:rFonts w:ascii="Times New Roman" w:hAnsi="Times New Roman" w:hint="default"/>
      </w:rPr>
    </w:lvl>
    <w:lvl w:ilvl="1" w:tplc="0D2240BC">
      <w:start w:val="2232"/>
      <w:numFmt w:val="bullet"/>
      <w:lvlText w:val="–"/>
      <w:lvlJc w:val="left"/>
      <w:pPr>
        <w:tabs>
          <w:tab w:val="num" w:pos="1440"/>
        </w:tabs>
        <w:ind w:left="1440" w:hanging="360"/>
      </w:pPr>
      <w:rPr>
        <w:rFonts w:ascii="Times New Roman" w:hAnsi="Times New Roman" w:hint="default"/>
      </w:rPr>
    </w:lvl>
    <w:lvl w:ilvl="2" w:tplc="F5EC239E">
      <w:start w:val="2232"/>
      <w:numFmt w:val="bullet"/>
      <w:lvlText w:val="•"/>
      <w:lvlJc w:val="left"/>
      <w:pPr>
        <w:tabs>
          <w:tab w:val="num" w:pos="2160"/>
        </w:tabs>
        <w:ind w:left="2160" w:hanging="360"/>
      </w:pPr>
      <w:rPr>
        <w:rFonts w:ascii="Times New Roman" w:hAnsi="Times New Roman" w:hint="default"/>
      </w:rPr>
    </w:lvl>
    <w:lvl w:ilvl="3" w:tplc="E9E47236" w:tentative="1">
      <w:start w:val="1"/>
      <w:numFmt w:val="bullet"/>
      <w:lvlText w:val="•"/>
      <w:lvlJc w:val="left"/>
      <w:pPr>
        <w:tabs>
          <w:tab w:val="num" w:pos="2880"/>
        </w:tabs>
        <w:ind w:left="2880" w:hanging="360"/>
      </w:pPr>
      <w:rPr>
        <w:rFonts w:ascii="Times New Roman" w:hAnsi="Times New Roman" w:hint="default"/>
      </w:rPr>
    </w:lvl>
    <w:lvl w:ilvl="4" w:tplc="E6B44E34" w:tentative="1">
      <w:start w:val="1"/>
      <w:numFmt w:val="bullet"/>
      <w:lvlText w:val="•"/>
      <w:lvlJc w:val="left"/>
      <w:pPr>
        <w:tabs>
          <w:tab w:val="num" w:pos="3600"/>
        </w:tabs>
        <w:ind w:left="3600" w:hanging="360"/>
      </w:pPr>
      <w:rPr>
        <w:rFonts w:ascii="Times New Roman" w:hAnsi="Times New Roman" w:hint="default"/>
      </w:rPr>
    </w:lvl>
    <w:lvl w:ilvl="5" w:tplc="8E5A8C72" w:tentative="1">
      <w:start w:val="1"/>
      <w:numFmt w:val="bullet"/>
      <w:lvlText w:val="•"/>
      <w:lvlJc w:val="left"/>
      <w:pPr>
        <w:tabs>
          <w:tab w:val="num" w:pos="4320"/>
        </w:tabs>
        <w:ind w:left="4320" w:hanging="360"/>
      </w:pPr>
      <w:rPr>
        <w:rFonts w:ascii="Times New Roman" w:hAnsi="Times New Roman" w:hint="default"/>
      </w:rPr>
    </w:lvl>
    <w:lvl w:ilvl="6" w:tplc="5C50D18A" w:tentative="1">
      <w:start w:val="1"/>
      <w:numFmt w:val="bullet"/>
      <w:lvlText w:val="•"/>
      <w:lvlJc w:val="left"/>
      <w:pPr>
        <w:tabs>
          <w:tab w:val="num" w:pos="5040"/>
        </w:tabs>
        <w:ind w:left="5040" w:hanging="360"/>
      </w:pPr>
      <w:rPr>
        <w:rFonts w:ascii="Times New Roman" w:hAnsi="Times New Roman" w:hint="default"/>
      </w:rPr>
    </w:lvl>
    <w:lvl w:ilvl="7" w:tplc="1A5EC7D4" w:tentative="1">
      <w:start w:val="1"/>
      <w:numFmt w:val="bullet"/>
      <w:lvlText w:val="•"/>
      <w:lvlJc w:val="left"/>
      <w:pPr>
        <w:tabs>
          <w:tab w:val="num" w:pos="5760"/>
        </w:tabs>
        <w:ind w:left="5760" w:hanging="360"/>
      </w:pPr>
      <w:rPr>
        <w:rFonts w:ascii="Times New Roman" w:hAnsi="Times New Roman" w:hint="default"/>
      </w:rPr>
    </w:lvl>
    <w:lvl w:ilvl="8" w:tplc="87B82F6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627034B"/>
    <w:multiLevelType w:val="hybridMultilevel"/>
    <w:tmpl w:val="2AC4FC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A270DD7"/>
    <w:multiLevelType w:val="hybridMultilevel"/>
    <w:tmpl w:val="4BE2851C"/>
    <w:lvl w:ilvl="0" w:tplc="53208902">
      <w:start w:val="1"/>
      <w:numFmt w:val="decimal"/>
      <w:lvlText w:val="%1."/>
      <w:lvlJc w:val="left"/>
      <w:pPr>
        <w:ind w:left="720" w:hanging="360"/>
      </w:pPr>
      <w:rPr>
        <w:rFonts w:ascii="Times New Roman" w:hAnsi="Times New Roman" w:hint="default"/>
        <w:sz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E168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5011F3"/>
    <w:multiLevelType w:val="hybridMultilevel"/>
    <w:tmpl w:val="5EDCA33C"/>
    <w:lvl w:ilvl="0" w:tplc="CE02BA02">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FB927F9"/>
    <w:multiLevelType w:val="hybridMultilevel"/>
    <w:tmpl w:val="43581174"/>
    <w:lvl w:ilvl="0" w:tplc="4DE6DE3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1520714"/>
    <w:multiLevelType w:val="hybridMultilevel"/>
    <w:tmpl w:val="8B34B550"/>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32" w15:restartNumberingAfterBreak="0">
    <w:nsid w:val="51877034"/>
    <w:multiLevelType w:val="hybridMultilevel"/>
    <w:tmpl w:val="B2CA9B2C"/>
    <w:lvl w:ilvl="0" w:tplc="5E8A69E4">
      <w:start w:val="1"/>
      <w:numFmt w:val="bullet"/>
      <w:lvlText w:val="•"/>
      <w:lvlJc w:val="left"/>
      <w:pPr>
        <w:tabs>
          <w:tab w:val="num" w:pos="720"/>
        </w:tabs>
        <w:ind w:left="720" w:hanging="360"/>
      </w:pPr>
      <w:rPr>
        <w:rFonts w:ascii="Times New Roman" w:hAnsi="Times New Roman" w:hint="default"/>
      </w:rPr>
    </w:lvl>
    <w:lvl w:ilvl="1" w:tplc="E1C4D580">
      <w:start w:val="2512"/>
      <w:numFmt w:val="bullet"/>
      <w:lvlText w:val="–"/>
      <w:lvlJc w:val="left"/>
      <w:pPr>
        <w:tabs>
          <w:tab w:val="num" w:pos="1440"/>
        </w:tabs>
        <w:ind w:left="1440" w:hanging="360"/>
      </w:pPr>
      <w:rPr>
        <w:rFonts w:ascii="Times New Roman" w:hAnsi="Times New Roman" w:hint="default"/>
      </w:rPr>
    </w:lvl>
    <w:lvl w:ilvl="2" w:tplc="35BA794E" w:tentative="1">
      <w:start w:val="1"/>
      <w:numFmt w:val="bullet"/>
      <w:lvlText w:val="•"/>
      <w:lvlJc w:val="left"/>
      <w:pPr>
        <w:tabs>
          <w:tab w:val="num" w:pos="2160"/>
        </w:tabs>
        <w:ind w:left="2160" w:hanging="360"/>
      </w:pPr>
      <w:rPr>
        <w:rFonts w:ascii="Times New Roman" w:hAnsi="Times New Roman" w:hint="default"/>
      </w:rPr>
    </w:lvl>
    <w:lvl w:ilvl="3" w:tplc="1C903E30" w:tentative="1">
      <w:start w:val="1"/>
      <w:numFmt w:val="bullet"/>
      <w:lvlText w:val="•"/>
      <w:lvlJc w:val="left"/>
      <w:pPr>
        <w:tabs>
          <w:tab w:val="num" w:pos="2880"/>
        </w:tabs>
        <w:ind w:left="2880" w:hanging="360"/>
      </w:pPr>
      <w:rPr>
        <w:rFonts w:ascii="Times New Roman" w:hAnsi="Times New Roman" w:hint="default"/>
      </w:rPr>
    </w:lvl>
    <w:lvl w:ilvl="4" w:tplc="087E0C58" w:tentative="1">
      <w:start w:val="1"/>
      <w:numFmt w:val="bullet"/>
      <w:lvlText w:val="•"/>
      <w:lvlJc w:val="left"/>
      <w:pPr>
        <w:tabs>
          <w:tab w:val="num" w:pos="3600"/>
        </w:tabs>
        <w:ind w:left="3600" w:hanging="360"/>
      </w:pPr>
      <w:rPr>
        <w:rFonts w:ascii="Times New Roman" w:hAnsi="Times New Roman" w:hint="default"/>
      </w:rPr>
    </w:lvl>
    <w:lvl w:ilvl="5" w:tplc="F3D01664" w:tentative="1">
      <w:start w:val="1"/>
      <w:numFmt w:val="bullet"/>
      <w:lvlText w:val="•"/>
      <w:lvlJc w:val="left"/>
      <w:pPr>
        <w:tabs>
          <w:tab w:val="num" w:pos="4320"/>
        </w:tabs>
        <w:ind w:left="4320" w:hanging="360"/>
      </w:pPr>
      <w:rPr>
        <w:rFonts w:ascii="Times New Roman" w:hAnsi="Times New Roman" w:hint="default"/>
      </w:rPr>
    </w:lvl>
    <w:lvl w:ilvl="6" w:tplc="556EBD5A" w:tentative="1">
      <w:start w:val="1"/>
      <w:numFmt w:val="bullet"/>
      <w:lvlText w:val="•"/>
      <w:lvlJc w:val="left"/>
      <w:pPr>
        <w:tabs>
          <w:tab w:val="num" w:pos="5040"/>
        </w:tabs>
        <w:ind w:left="5040" w:hanging="360"/>
      </w:pPr>
      <w:rPr>
        <w:rFonts w:ascii="Times New Roman" w:hAnsi="Times New Roman" w:hint="default"/>
      </w:rPr>
    </w:lvl>
    <w:lvl w:ilvl="7" w:tplc="9CD2CA94" w:tentative="1">
      <w:start w:val="1"/>
      <w:numFmt w:val="bullet"/>
      <w:lvlText w:val="•"/>
      <w:lvlJc w:val="left"/>
      <w:pPr>
        <w:tabs>
          <w:tab w:val="num" w:pos="5760"/>
        </w:tabs>
        <w:ind w:left="5760" w:hanging="360"/>
      </w:pPr>
      <w:rPr>
        <w:rFonts w:ascii="Times New Roman" w:hAnsi="Times New Roman" w:hint="default"/>
      </w:rPr>
    </w:lvl>
    <w:lvl w:ilvl="8" w:tplc="09625E9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2401DF0"/>
    <w:multiLevelType w:val="hybridMultilevel"/>
    <w:tmpl w:val="5F2CAAC6"/>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27F0844"/>
    <w:multiLevelType w:val="hybridMultilevel"/>
    <w:tmpl w:val="6004F702"/>
    <w:lvl w:ilvl="0" w:tplc="F202C328">
      <w:start w:val="1"/>
      <w:numFmt w:val="bullet"/>
      <w:lvlText w:val=""/>
      <w:lvlJc w:val="left"/>
      <w:pPr>
        <w:ind w:left="720" w:hanging="360"/>
      </w:pPr>
      <w:rPr>
        <w:rFonts w:ascii="Symbol" w:eastAsia="Calibri" w:hAnsi="Symbol"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5" w15:restartNumberingAfterBreak="0">
    <w:nsid w:val="55D1764B"/>
    <w:multiLevelType w:val="hybridMultilevel"/>
    <w:tmpl w:val="A81257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5FB3351"/>
    <w:multiLevelType w:val="hybridMultilevel"/>
    <w:tmpl w:val="9828A0CC"/>
    <w:lvl w:ilvl="0" w:tplc="434AF996">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57B73E3E"/>
    <w:multiLevelType w:val="hybridMultilevel"/>
    <w:tmpl w:val="3B30EBC2"/>
    <w:lvl w:ilvl="0" w:tplc="ECF6468C">
      <w:start w:val="1"/>
      <w:numFmt w:val="bullet"/>
      <w:lvlText w:val=""/>
      <w:lvlJc w:val="left"/>
      <w:pPr>
        <w:tabs>
          <w:tab w:val="num" w:pos="360"/>
        </w:tabs>
        <w:ind w:left="340" w:hanging="340"/>
      </w:pPr>
      <w:rPr>
        <w:rFonts w:ascii="Symbol" w:hAnsi="Symbol" w:hint="default"/>
        <w:sz w:val="20"/>
      </w:rPr>
    </w:lvl>
    <w:lvl w:ilvl="1" w:tplc="F8F69C14" w:tentative="1">
      <w:start w:val="1"/>
      <w:numFmt w:val="bullet"/>
      <w:lvlText w:val="o"/>
      <w:lvlJc w:val="left"/>
      <w:pPr>
        <w:tabs>
          <w:tab w:val="num" w:pos="1440"/>
        </w:tabs>
        <w:ind w:left="1440" w:hanging="360"/>
      </w:pPr>
      <w:rPr>
        <w:rFonts w:ascii="Courier New" w:hAnsi="Courier New" w:hint="default"/>
      </w:rPr>
    </w:lvl>
    <w:lvl w:ilvl="2" w:tplc="10700330" w:tentative="1">
      <w:start w:val="1"/>
      <w:numFmt w:val="bullet"/>
      <w:lvlText w:val=""/>
      <w:lvlJc w:val="left"/>
      <w:pPr>
        <w:tabs>
          <w:tab w:val="num" w:pos="2160"/>
        </w:tabs>
        <w:ind w:left="2160" w:hanging="360"/>
      </w:pPr>
      <w:rPr>
        <w:rFonts w:ascii="Wingdings" w:hAnsi="Wingdings" w:hint="default"/>
      </w:rPr>
    </w:lvl>
    <w:lvl w:ilvl="3" w:tplc="BCDA8090" w:tentative="1">
      <w:start w:val="1"/>
      <w:numFmt w:val="bullet"/>
      <w:lvlText w:val=""/>
      <w:lvlJc w:val="left"/>
      <w:pPr>
        <w:tabs>
          <w:tab w:val="num" w:pos="2880"/>
        </w:tabs>
        <w:ind w:left="2880" w:hanging="360"/>
      </w:pPr>
      <w:rPr>
        <w:rFonts w:ascii="Symbol" w:hAnsi="Symbol" w:hint="default"/>
      </w:rPr>
    </w:lvl>
    <w:lvl w:ilvl="4" w:tplc="B9BAB3CE" w:tentative="1">
      <w:start w:val="1"/>
      <w:numFmt w:val="bullet"/>
      <w:lvlText w:val="o"/>
      <w:lvlJc w:val="left"/>
      <w:pPr>
        <w:tabs>
          <w:tab w:val="num" w:pos="3600"/>
        </w:tabs>
        <w:ind w:left="3600" w:hanging="360"/>
      </w:pPr>
      <w:rPr>
        <w:rFonts w:ascii="Courier New" w:hAnsi="Courier New" w:hint="default"/>
      </w:rPr>
    </w:lvl>
    <w:lvl w:ilvl="5" w:tplc="7382BF34" w:tentative="1">
      <w:start w:val="1"/>
      <w:numFmt w:val="bullet"/>
      <w:lvlText w:val=""/>
      <w:lvlJc w:val="left"/>
      <w:pPr>
        <w:tabs>
          <w:tab w:val="num" w:pos="4320"/>
        </w:tabs>
        <w:ind w:left="4320" w:hanging="360"/>
      </w:pPr>
      <w:rPr>
        <w:rFonts w:ascii="Wingdings" w:hAnsi="Wingdings" w:hint="default"/>
      </w:rPr>
    </w:lvl>
    <w:lvl w:ilvl="6" w:tplc="ADC878C8" w:tentative="1">
      <w:start w:val="1"/>
      <w:numFmt w:val="bullet"/>
      <w:lvlText w:val=""/>
      <w:lvlJc w:val="left"/>
      <w:pPr>
        <w:tabs>
          <w:tab w:val="num" w:pos="5040"/>
        </w:tabs>
        <w:ind w:left="5040" w:hanging="360"/>
      </w:pPr>
      <w:rPr>
        <w:rFonts w:ascii="Symbol" w:hAnsi="Symbol" w:hint="default"/>
      </w:rPr>
    </w:lvl>
    <w:lvl w:ilvl="7" w:tplc="33A81EFA" w:tentative="1">
      <w:start w:val="1"/>
      <w:numFmt w:val="bullet"/>
      <w:lvlText w:val="o"/>
      <w:lvlJc w:val="left"/>
      <w:pPr>
        <w:tabs>
          <w:tab w:val="num" w:pos="5760"/>
        </w:tabs>
        <w:ind w:left="5760" w:hanging="360"/>
      </w:pPr>
      <w:rPr>
        <w:rFonts w:ascii="Courier New" w:hAnsi="Courier New" w:hint="default"/>
      </w:rPr>
    </w:lvl>
    <w:lvl w:ilvl="8" w:tplc="D7FC954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292098"/>
    <w:multiLevelType w:val="hybridMultilevel"/>
    <w:tmpl w:val="C5B8AB32"/>
    <w:lvl w:ilvl="0" w:tplc="98C09DAE">
      <w:start w:val="1"/>
      <w:numFmt w:val="decimal"/>
      <w:lvlText w:val="%1)"/>
      <w:lvlJc w:val="left"/>
      <w:pPr>
        <w:ind w:left="1068" w:hanging="360"/>
      </w:pPr>
      <w:rPr>
        <w:rFonts w:hint="default"/>
        <w:color w:val="auto"/>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62B339C7"/>
    <w:multiLevelType w:val="hybridMultilevel"/>
    <w:tmpl w:val="81981F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673123D"/>
    <w:multiLevelType w:val="hybridMultilevel"/>
    <w:tmpl w:val="DECE03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9A534AE"/>
    <w:multiLevelType w:val="hybridMultilevel"/>
    <w:tmpl w:val="5762D01E"/>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18123D4"/>
    <w:multiLevelType w:val="hybridMultilevel"/>
    <w:tmpl w:val="93443F6A"/>
    <w:lvl w:ilvl="0" w:tplc="6EAA1394">
      <w:start w:val="275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25617F2"/>
    <w:multiLevelType w:val="hybridMultilevel"/>
    <w:tmpl w:val="9F109C34"/>
    <w:lvl w:ilvl="0" w:tplc="BD04FC4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34904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4A360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BC6377"/>
    <w:multiLevelType w:val="hybridMultilevel"/>
    <w:tmpl w:val="235A76E2"/>
    <w:lvl w:ilvl="0" w:tplc="2152C156">
      <w:start w:val="1"/>
      <w:numFmt w:val="bullet"/>
      <w:lvlText w:val=""/>
      <w:lvlJc w:val="left"/>
      <w:pPr>
        <w:tabs>
          <w:tab w:val="num" w:pos="360"/>
        </w:tabs>
        <w:ind w:left="340" w:hanging="340"/>
      </w:pPr>
      <w:rPr>
        <w:rFonts w:ascii="Symbol" w:hAnsi="Symbol" w:hint="default"/>
        <w:sz w:val="20"/>
      </w:rPr>
    </w:lvl>
    <w:lvl w:ilvl="1" w:tplc="8050E368" w:tentative="1">
      <w:start w:val="1"/>
      <w:numFmt w:val="bullet"/>
      <w:lvlText w:val="o"/>
      <w:lvlJc w:val="left"/>
      <w:pPr>
        <w:tabs>
          <w:tab w:val="num" w:pos="1440"/>
        </w:tabs>
        <w:ind w:left="1440" w:hanging="360"/>
      </w:pPr>
      <w:rPr>
        <w:rFonts w:ascii="Courier New" w:hAnsi="Courier New" w:hint="default"/>
      </w:rPr>
    </w:lvl>
    <w:lvl w:ilvl="2" w:tplc="93BCFB1A" w:tentative="1">
      <w:start w:val="1"/>
      <w:numFmt w:val="bullet"/>
      <w:lvlText w:val=""/>
      <w:lvlJc w:val="left"/>
      <w:pPr>
        <w:tabs>
          <w:tab w:val="num" w:pos="2160"/>
        </w:tabs>
        <w:ind w:left="2160" w:hanging="360"/>
      </w:pPr>
      <w:rPr>
        <w:rFonts w:ascii="Wingdings" w:hAnsi="Wingdings" w:hint="default"/>
      </w:rPr>
    </w:lvl>
    <w:lvl w:ilvl="3" w:tplc="A44212C4" w:tentative="1">
      <w:start w:val="1"/>
      <w:numFmt w:val="bullet"/>
      <w:lvlText w:val=""/>
      <w:lvlJc w:val="left"/>
      <w:pPr>
        <w:tabs>
          <w:tab w:val="num" w:pos="2880"/>
        </w:tabs>
        <w:ind w:left="2880" w:hanging="360"/>
      </w:pPr>
      <w:rPr>
        <w:rFonts w:ascii="Symbol" w:hAnsi="Symbol" w:hint="default"/>
      </w:rPr>
    </w:lvl>
    <w:lvl w:ilvl="4" w:tplc="61FC5BDE" w:tentative="1">
      <w:start w:val="1"/>
      <w:numFmt w:val="bullet"/>
      <w:lvlText w:val="o"/>
      <w:lvlJc w:val="left"/>
      <w:pPr>
        <w:tabs>
          <w:tab w:val="num" w:pos="3600"/>
        </w:tabs>
        <w:ind w:left="3600" w:hanging="360"/>
      </w:pPr>
      <w:rPr>
        <w:rFonts w:ascii="Courier New" w:hAnsi="Courier New" w:hint="default"/>
      </w:rPr>
    </w:lvl>
    <w:lvl w:ilvl="5" w:tplc="D8CED542" w:tentative="1">
      <w:start w:val="1"/>
      <w:numFmt w:val="bullet"/>
      <w:lvlText w:val=""/>
      <w:lvlJc w:val="left"/>
      <w:pPr>
        <w:tabs>
          <w:tab w:val="num" w:pos="4320"/>
        </w:tabs>
        <w:ind w:left="4320" w:hanging="360"/>
      </w:pPr>
      <w:rPr>
        <w:rFonts w:ascii="Wingdings" w:hAnsi="Wingdings" w:hint="default"/>
      </w:rPr>
    </w:lvl>
    <w:lvl w:ilvl="6" w:tplc="C8E44824" w:tentative="1">
      <w:start w:val="1"/>
      <w:numFmt w:val="bullet"/>
      <w:lvlText w:val=""/>
      <w:lvlJc w:val="left"/>
      <w:pPr>
        <w:tabs>
          <w:tab w:val="num" w:pos="5040"/>
        </w:tabs>
        <w:ind w:left="5040" w:hanging="360"/>
      </w:pPr>
      <w:rPr>
        <w:rFonts w:ascii="Symbol" w:hAnsi="Symbol" w:hint="default"/>
      </w:rPr>
    </w:lvl>
    <w:lvl w:ilvl="7" w:tplc="252ED8EA" w:tentative="1">
      <w:start w:val="1"/>
      <w:numFmt w:val="bullet"/>
      <w:lvlText w:val="o"/>
      <w:lvlJc w:val="left"/>
      <w:pPr>
        <w:tabs>
          <w:tab w:val="num" w:pos="5760"/>
        </w:tabs>
        <w:ind w:left="5760" w:hanging="360"/>
      </w:pPr>
      <w:rPr>
        <w:rFonts w:ascii="Courier New" w:hAnsi="Courier New" w:hint="default"/>
      </w:rPr>
    </w:lvl>
    <w:lvl w:ilvl="8" w:tplc="44D405F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4669DC"/>
    <w:multiLevelType w:val="hybridMultilevel"/>
    <w:tmpl w:val="C3ECD030"/>
    <w:lvl w:ilvl="0" w:tplc="BD586394">
      <w:start w:val="1"/>
      <w:numFmt w:val="bullet"/>
      <w:lvlText w:val=""/>
      <w:lvlJc w:val="left"/>
      <w:pPr>
        <w:tabs>
          <w:tab w:val="num" w:pos="1440"/>
        </w:tabs>
        <w:ind w:left="1440" w:hanging="360"/>
      </w:pPr>
      <w:rPr>
        <w:rFonts w:ascii="Symbol" w:hAnsi="Symbol" w:hint="default"/>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35634D"/>
    <w:multiLevelType w:val="hybridMultilevel"/>
    <w:tmpl w:val="95F6A0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011910480">
    <w:abstractNumId w:val="37"/>
  </w:num>
  <w:num w:numId="2" w16cid:durableId="1174412916">
    <w:abstractNumId w:val="46"/>
  </w:num>
  <w:num w:numId="3" w16cid:durableId="267548782">
    <w:abstractNumId w:val="28"/>
  </w:num>
  <w:num w:numId="4" w16cid:durableId="1455905434">
    <w:abstractNumId w:val="44"/>
  </w:num>
  <w:num w:numId="5" w16cid:durableId="1288899329">
    <w:abstractNumId w:val="18"/>
  </w:num>
  <w:num w:numId="6" w16cid:durableId="1857885930">
    <w:abstractNumId w:val="45"/>
  </w:num>
  <w:num w:numId="7" w16cid:durableId="297146162">
    <w:abstractNumId w:val="14"/>
  </w:num>
  <w:num w:numId="8" w16cid:durableId="1535918870">
    <w:abstractNumId w:val="47"/>
  </w:num>
  <w:num w:numId="9" w16cid:durableId="13336784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0533628">
    <w:abstractNumId w:val="4"/>
  </w:num>
  <w:num w:numId="11" w16cid:durableId="1168712264">
    <w:abstractNumId w:val="25"/>
  </w:num>
  <w:num w:numId="12" w16cid:durableId="809517548">
    <w:abstractNumId w:val="2"/>
  </w:num>
  <w:num w:numId="13" w16cid:durableId="2082559128">
    <w:abstractNumId w:val="32"/>
  </w:num>
  <w:num w:numId="14" w16cid:durableId="568347800">
    <w:abstractNumId w:val="7"/>
  </w:num>
  <w:num w:numId="15" w16cid:durableId="2032562648">
    <w:abstractNumId w:val="27"/>
  </w:num>
  <w:num w:numId="16" w16cid:durableId="1998880045">
    <w:abstractNumId w:val="20"/>
  </w:num>
  <w:num w:numId="17" w16cid:durableId="1321034570">
    <w:abstractNumId w:val="16"/>
  </w:num>
  <w:num w:numId="18" w16cid:durableId="111244030">
    <w:abstractNumId w:val="10"/>
  </w:num>
  <w:num w:numId="19" w16cid:durableId="2052069275">
    <w:abstractNumId w:val="11"/>
  </w:num>
  <w:num w:numId="20" w16cid:durableId="1760178068">
    <w:abstractNumId w:val="33"/>
  </w:num>
  <w:num w:numId="21" w16cid:durableId="1347751217">
    <w:abstractNumId w:val="42"/>
  </w:num>
  <w:num w:numId="22" w16cid:durableId="1182402499">
    <w:abstractNumId w:val="34"/>
  </w:num>
  <w:num w:numId="23" w16cid:durableId="1493719557">
    <w:abstractNumId w:val="24"/>
  </w:num>
  <w:num w:numId="24" w16cid:durableId="2021934134">
    <w:abstractNumId w:val="8"/>
  </w:num>
  <w:num w:numId="25" w16cid:durableId="1522351565">
    <w:abstractNumId w:val="1"/>
  </w:num>
  <w:num w:numId="26" w16cid:durableId="227346826">
    <w:abstractNumId w:val="22"/>
  </w:num>
  <w:num w:numId="27" w16cid:durableId="1324970383">
    <w:abstractNumId w:val="23"/>
  </w:num>
  <w:num w:numId="28" w16cid:durableId="625089681">
    <w:abstractNumId w:val="39"/>
  </w:num>
  <w:num w:numId="29" w16cid:durableId="2712047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3246135">
    <w:abstractNumId w:val="41"/>
  </w:num>
  <w:num w:numId="31" w16cid:durableId="1975062801">
    <w:abstractNumId w:val="48"/>
  </w:num>
  <w:num w:numId="32" w16cid:durableId="2121412534">
    <w:abstractNumId w:val="13"/>
  </w:num>
  <w:num w:numId="33" w16cid:durableId="462385166">
    <w:abstractNumId w:val="6"/>
  </w:num>
  <w:num w:numId="34" w16cid:durableId="1499996742">
    <w:abstractNumId w:val="0"/>
  </w:num>
  <w:num w:numId="35" w16cid:durableId="1016156142">
    <w:abstractNumId w:val="26"/>
  </w:num>
  <w:num w:numId="36" w16cid:durableId="2053773809">
    <w:abstractNumId w:val="29"/>
  </w:num>
  <w:num w:numId="37" w16cid:durableId="433672024">
    <w:abstractNumId w:val="31"/>
  </w:num>
  <w:num w:numId="38" w16cid:durableId="787745078">
    <w:abstractNumId w:val="9"/>
  </w:num>
  <w:num w:numId="39" w16cid:durableId="1558708259">
    <w:abstractNumId w:val="19"/>
  </w:num>
  <w:num w:numId="40" w16cid:durableId="1641499863">
    <w:abstractNumId w:val="3"/>
  </w:num>
  <w:num w:numId="41" w16cid:durableId="2136098171">
    <w:abstractNumId w:val="35"/>
  </w:num>
  <w:num w:numId="42" w16cid:durableId="1066952395">
    <w:abstractNumId w:val="5"/>
  </w:num>
  <w:num w:numId="43" w16cid:durableId="1882397805">
    <w:abstractNumId w:val="36"/>
  </w:num>
  <w:num w:numId="44" w16cid:durableId="485048197">
    <w:abstractNumId w:val="43"/>
  </w:num>
  <w:num w:numId="45" w16cid:durableId="688339777">
    <w:abstractNumId w:val="30"/>
  </w:num>
  <w:num w:numId="46" w16cid:durableId="64763157">
    <w:abstractNumId w:val="38"/>
  </w:num>
  <w:num w:numId="47" w16cid:durableId="496507399">
    <w:abstractNumId w:val="40"/>
  </w:num>
  <w:num w:numId="48" w16cid:durableId="138039650">
    <w:abstractNumId w:val="21"/>
  </w:num>
  <w:num w:numId="49" w16cid:durableId="710224695">
    <w:abstractNumId w:val="15"/>
  </w:num>
  <w:num w:numId="50" w16cid:durableId="15588526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78"/>
    <w:rsid w:val="000024A9"/>
    <w:rsid w:val="00003CA2"/>
    <w:rsid w:val="00003FFF"/>
    <w:rsid w:val="000049C1"/>
    <w:rsid w:val="0000713F"/>
    <w:rsid w:val="0000724E"/>
    <w:rsid w:val="00012757"/>
    <w:rsid w:val="00012BF0"/>
    <w:rsid w:val="00013651"/>
    <w:rsid w:val="00014156"/>
    <w:rsid w:val="0001461A"/>
    <w:rsid w:val="00020BF9"/>
    <w:rsid w:val="000248BE"/>
    <w:rsid w:val="0002565E"/>
    <w:rsid w:val="00026B2C"/>
    <w:rsid w:val="00030C5E"/>
    <w:rsid w:val="00031B24"/>
    <w:rsid w:val="00034119"/>
    <w:rsid w:val="000348A0"/>
    <w:rsid w:val="00035BB5"/>
    <w:rsid w:val="00037D88"/>
    <w:rsid w:val="0004020C"/>
    <w:rsid w:val="00042D8A"/>
    <w:rsid w:val="00043014"/>
    <w:rsid w:val="00045799"/>
    <w:rsid w:val="00047246"/>
    <w:rsid w:val="00052928"/>
    <w:rsid w:val="00052F7E"/>
    <w:rsid w:val="0005339C"/>
    <w:rsid w:val="0005444E"/>
    <w:rsid w:val="000545C4"/>
    <w:rsid w:val="00054757"/>
    <w:rsid w:val="00054C66"/>
    <w:rsid w:val="00055C65"/>
    <w:rsid w:val="000616DA"/>
    <w:rsid w:val="00063F5D"/>
    <w:rsid w:val="0006557D"/>
    <w:rsid w:val="00066F5B"/>
    <w:rsid w:val="000675A8"/>
    <w:rsid w:val="00070007"/>
    <w:rsid w:val="00070C59"/>
    <w:rsid w:val="00070F9C"/>
    <w:rsid w:val="00073D92"/>
    <w:rsid w:val="000759B3"/>
    <w:rsid w:val="00083339"/>
    <w:rsid w:val="00083C39"/>
    <w:rsid w:val="000849F0"/>
    <w:rsid w:val="00086940"/>
    <w:rsid w:val="00086A88"/>
    <w:rsid w:val="000870B8"/>
    <w:rsid w:val="000874C0"/>
    <w:rsid w:val="00092746"/>
    <w:rsid w:val="00094180"/>
    <w:rsid w:val="00097792"/>
    <w:rsid w:val="000A0641"/>
    <w:rsid w:val="000A1EBC"/>
    <w:rsid w:val="000A2F78"/>
    <w:rsid w:val="000A4A70"/>
    <w:rsid w:val="000A6340"/>
    <w:rsid w:val="000A64AD"/>
    <w:rsid w:val="000B1CF1"/>
    <w:rsid w:val="000B2342"/>
    <w:rsid w:val="000B4197"/>
    <w:rsid w:val="000B5E4C"/>
    <w:rsid w:val="000B6E12"/>
    <w:rsid w:val="000B753A"/>
    <w:rsid w:val="000C0CD7"/>
    <w:rsid w:val="000C117A"/>
    <w:rsid w:val="000C2511"/>
    <w:rsid w:val="000C29A6"/>
    <w:rsid w:val="000C2BC7"/>
    <w:rsid w:val="000C2DFC"/>
    <w:rsid w:val="000C313B"/>
    <w:rsid w:val="000C4649"/>
    <w:rsid w:val="000C5A52"/>
    <w:rsid w:val="000C5D12"/>
    <w:rsid w:val="000C6BE9"/>
    <w:rsid w:val="000D0353"/>
    <w:rsid w:val="000D039D"/>
    <w:rsid w:val="000D2CA8"/>
    <w:rsid w:val="000D3151"/>
    <w:rsid w:val="000D5F1A"/>
    <w:rsid w:val="000D6EF2"/>
    <w:rsid w:val="000D7495"/>
    <w:rsid w:val="000E03A3"/>
    <w:rsid w:val="000E0B35"/>
    <w:rsid w:val="000E5E29"/>
    <w:rsid w:val="000F1539"/>
    <w:rsid w:val="000F1C60"/>
    <w:rsid w:val="000F3544"/>
    <w:rsid w:val="000F3FBC"/>
    <w:rsid w:val="000F501D"/>
    <w:rsid w:val="000F60B7"/>
    <w:rsid w:val="000F69A8"/>
    <w:rsid w:val="000F6DA1"/>
    <w:rsid w:val="00102C08"/>
    <w:rsid w:val="00102D80"/>
    <w:rsid w:val="00103881"/>
    <w:rsid w:val="00104342"/>
    <w:rsid w:val="0010494C"/>
    <w:rsid w:val="00105FFD"/>
    <w:rsid w:val="001065D1"/>
    <w:rsid w:val="00107861"/>
    <w:rsid w:val="00115D4D"/>
    <w:rsid w:val="00117225"/>
    <w:rsid w:val="00122D4A"/>
    <w:rsid w:val="001240F1"/>
    <w:rsid w:val="00124A74"/>
    <w:rsid w:val="00124BD6"/>
    <w:rsid w:val="00124C74"/>
    <w:rsid w:val="00125A65"/>
    <w:rsid w:val="00125F8F"/>
    <w:rsid w:val="001274DC"/>
    <w:rsid w:val="001276DB"/>
    <w:rsid w:val="001277D2"/>
    <w:rsid w:val="00130E19"/>
    <w:rsid w:val="001314F3"/>
    <w:rsid w:val="00131A98"/>
    <w:rsid w:val="00132CB4"/>
    <w:rsid w:val="00132D8E"/>
    <w:rsid w:val="00133F6D"/>
    <w:rsid w:val="00136CBC"/>
    <w:rsid w:val="0013777D"/>
    <w:rsid w:val="00141FC8"/>
    <w:rsid w:val="00142D83"/>
    <w:rsid w:val="001436B1"/>
    <w:rsid w:val="0014503B"/>
    <w:rsid w:val="00145A9C"/>
    <w:rsid w:val="00145CE3"/>
    <w:rsid w:val="00146DB3"/>
    <w:rsid w:val="00150327"/>
    <w:rsid w:val="00152C13"/>
    <w:rsid w:val="001531FC"/>
    <w:rsid w:val="00153274"/>
    <w:rsid w:val="00155287"/>
    <w:rsid w:val="00155351"/>
    <w:rsid w:val="0015631A"/>
    <w:rsid w:val="00161A04"/>
    <w:rsid w:val="0016646F"/>
    <w:rsid w:val="00174CFA"/>
    <w:rsid w:val="00175663"/>
    <w:rsid w:val="00181486"/>
    <w:rsid w:val="001832E9"/>
    <w:rsid w:val="00183BB9"/>
    <w:rsid w:val="001850AD"/>
    <w:rsid w:val="0018617D"/>
    <w:rsid w:val="00187CA8"/>
    <w:rsid w:val="00187E0B"/>
    <w:rsid w:val="00192F19"/>
    <w:rsid w:val="0019554A"/>
    <w:rsid w:val="001A002C"/>
    <w:rsid w:val="001A0C56"/>
    <w:rsid w:val="001A0E4D"/>
    <w:rsid w:val="001A2771"/>
    <w:rsid w:val="001A3103"/>
    <w:rsid w:val="001A4F87"/>
    <w:rsid w:val="001A5D37"/>
    <w:rsid w:val="001A6A77"/>
    <w:rsid w:val="001B0D28"/>
    <w:rsid w:val="001B2C79"/>
    <w:rsid w:val="001C0831"/>
    <w:rsid w:val="001C0CA7"/>
    <w:rsid w:val="001C25EE"/>
    <w:rsid w:val="001C2AC9"/>
    <w:rsid w:val="001C2B2D"/>
    <w:rsid w:val="001C320C"/>
    <w:rsid w:val="001C5ECD"/>
    <w:rsid w:val="001C704F"/>
    <w:rsid w:val="001C77C2"/>
    <w:rsid w:val="001D3A9B"/>
    <w:rsid w:val="001D74D8"/>
    <w:rsid w:val="001E2E37"/>
    <w:rsid w:val="001E30E8"/>
    <w:rsid w:val="001E42F9"/>
    <w:rsid w:val="001E4385"/>
    <w:rsid w:val="001E4B54"/>
    <w:rsid w:val="001E644E"/>
    <w:rsid w:val="001E7891"/>
    <w:rsid w:val="001F3FA0"/>
    <w:rsid w:val="001F4E3D"/>
    <w:rsid w:val="001F5DA4"/>
    <w:rsid w:val="001F7602"/>
    <w:rsid w:val="00201552"/>
    <w:rsid w:val="002032E3"/>
    <w:rsid w:val="00204567"/>
    <w:rsid w:val="0020617F"/>
    <w:rsid w:val="002070D5"/>
    <w:rsid w:val="00210120"/>
    <w:rsid w:val="0021446A"/>
    <w:rsid w:val="0021749C"/>
    <w:rsid w:val="0021760A"/>
    <w:rsid w:val="00217BF1"/>
    <w:rsid w:val="00217D5F"/>
    <w:rsid w:val="002205A5"/>
    <w:rsid w:val="00221EE0"/>
    <w:rsid w:val="00223267"/>
    <w:rsid w:val="002252ED"/>
    <w:rsid w:val="002277A2"/>
    <w:rsid w:val="00232190"/>
    <w:rsid w:val="00232A7D"/>
    <w:rsid w:val="00232F4C"/>
    <w:rsid w:val="00233A19"/>
    <w:rsid w:val="00233BB5"/>
    <w:rsid w:val="00234D5D"/>
    <w:rsid w:val="0023542A"/>
    <w:rsid w:val="00237465"/>
    <w:rsid w:val="00240A96"/>
    <w:rsid w:val="00240C17"/>
    <w:rsid w:val="00241CFD"/>
    <w:rsid w:val="00242FAC"/>
    <w:rsid w:val="00243A9B"/>
    <w:rsid w:val="00244643"/>
    <w:rsid w:val="0024722F"/>
    <w:rsid w:val="00247E39"/>
    <w:rsid w:val="0025075D"/>
    <w:rsid w:val="002508F6"/>
    <w:rsid w:val="002512FD"/>
    <w:rsid w:val="0025286D"/>
    <w:rsid w:val="00252A40"/>
    <w:rsid w:val="00252B35"/>
    <w:rsid w:val="00254908"/>
    <w:rsid w:val="00255816"/>
    <w:rsid w:val="00256960"/>
    <w:rsid w:val="00257C44"/>
    <w:rsid w:val="002626BF"/>
    <w:rsid w:val="0026437D"/>
    <w:rsid w:val="00264E5E"/>
    <w:rsid w:val="00265CBD"/>
    <w:rsid w:val="002719AE"/>
    <w:rsid w:val="00272392"/>
    <w:rsid w:val="00274C51"/>
    <w:rsid w:val="00276BE1"/>
    <w:rsid w:val="00277DA1"/>
    <w:rsid w:val="00280308"/>
    <w:rsid w:val="0028289D"/>
    <w:rsid w:val="00282F44"/>
    <w:rsid w:val="00284ADF"/>
    <w:rsid w:val="0028703A"/>
    <w:rsid w:val="0029213F"/>
    <w:rsid w:val="00292E78"/>
    <w:rsid w:val="00293416"/>
    <w:rsid w:val="002941F9"/>
    <w:rsid w:val="00295564"/>
    <w:rsid w:val="0029725A"/>
    <w:rsid w:val="00297475"/>
    <w:rsid w:val="00297690"/>
    <w:rsid w:val="002977A9"/>
    <w:rsid w:val="002A0541"/>
    <w:rsid w:val="002A39F8"/>
    <w:rsid w:val="002A513A"/>
    <w:rsid w:val="002A7C9B"/>
    <w:rsid w:val="002B41E0"/>
    <w:rsid w:val="002B64A7"/>
    <w:rsid w:val="002B7D57"/>
    <w:rsid w:val="002C26AD"/>
    <w:rsid w:val="002C5BDF"/>
    <w:rsid w:val="002C627D"/>
    <w:rsid w:val="002D1232"/>
    <w:rsid w:val="002D321D"/>
    <w:rsid w:val="002D5E3F"/>
    <w:rsid w:val="002D65A1"/>
    <w:rsid w:val="002D78BD"/>
    <w:rsid w:val="002D7BB4"/>
    <w:rsid w:val="002E00C8"/>
    <w:rsid w:val="002E0569"/>
    <w:rsid w:val="002E169A"/>
    <w:rsid w:val="002E2388"/>
    <w:rsid w:val="002E41E9"/>
    <w:rsid w:val="002E47CC"/>
    <w:rsid w:val="002E7ADF"/>
    <w:rsid w:val="002E7FA3"/>
    <w:rsid w:val="002F0A29"/>
    <w:rsid w:val="002F4871"/>
    <w:rsid w:val="002F52F2"/>
    <w:rsid w:val="002F6D48"/>
    <w:rsid w:val="003008B5"/>
    <w:rsid w:val="00300E9F"/>
    <w:rsid w:val="00301C1B"/>
    <w:rsid w:val="00301DCB"/>
    <w:rsid w:val="003025EC"/>
    <w:rsid w:val="00306EE2"/>
    <w:rsid w:val="00310B7E"/>
    <w:rsid w:val="00310D0E"/>
    <w:rsid w:val="00311535"/>
    <w:rsid w:val="00311734"/>
    <w:rsid w:val="0031174B"/>
    <w:rsid w:val="00311AAA"/>
    <w:rsid w:val="00312E38"/>
    <w:rsid w:val="003135A4"/>
    <w:rsid w:val="00314281"/>
    <w:rsid w:val="0031564C"/>
    <w:rsid w:val="00315CA2"/>
    <w:rsid w:val="00316BD8"/>
    <w:rsid w:val="00323681"/>
    <w:rsid w:val="003240C3"/>
    <w:rsid w:val="003246D7"/>
    <w:rsid w:val="00326731"/>
    <w:rsid w:val="003268AE"/>
    <w:rsid w:val="003273C5"/>
    <w:rsid w:val="00331C3F"/>
    <w:rsid w:val="003345BF"/>
    <w:rsid w:val="00335606"/>
    <w:rsid w:val="0033682C"/>
    <w:rsid w:val="00336A5A"/>
    <w:rsid w:val="00337288"/>
    <w:rsid w:val="0034028B"/>
    <w:rsid w:val="00342258"/>
    <w:rsid w:val="003428E7"/>
    <w:rsid w:val="00343897"/>
    <w:rsid w:val="00344FFA"/>
    <w:rsid w:val="003452A8"/>
    <w:rsid w:val="003454C3"/>
    <w:rsid w:val="00347C12"/>
    <w:rsid w:val="00347D6F"/>
    <w:rsid w:val="00350909"/>
    <w:rsid w:val="003516DA"/>
    <w:rsid w:val="0035448D"/>
    <w:rsid w:val="00356365"/>
    <w:rsid w:val="003571F3"/>
    <w:rsid w:val="00361DC8"/>
    <w:rsid w:val="00361F60"/>
    <w:rsid w:val="00362EF6"/>
    <w:rsid w:val="00363707"/>
    <w:rsid w:val="00363C76"/>
    <w:rsid w:val="003654D7"/>
    <w:rsid w:val="00366326"/>
    <w:rsid w:val="003728CF"/>
    <w:rsid w:val="00372E31"/>
    <w:rsid w:val="00373279"/>
    <w:rsid w:val="00373EF7"/>
    <w:rsid w:val="00373F89"/>
    <w:rsid w:val="00374E35"/>
    <w:rsid w:val="00376BB5"/>
    <w:rsid w:val="00377FB9"/>
    <w:rsid w:val="003801EC"/>
    <w:rsid w:val="003808F8"/>
    <w:rsid w:val="0038246D"/>
    <w:rsid w:val="00384732"/>
    <w:rsid w:val="0038473C"/>
    <w:rsid w:val="00384A41"/>
    <w:rsid w:val="00385444"/>
    <w:rsid w:val="00385930"/>
    <w:rsid w:val="00385F2F"/>
    <w:rsid w:val="0038600C"/>
    <w:rsid w:val="00387957"/>
    <w:rsid w:val="00390D0E"/>
    <w:rsid w:val="0039131F"/>
    <w:rsid w:val="003916E1"/>
    <w:rsid w:val="00391FDB"/>
    <w:rsid w:val="00392BE4"/>
    <w:rsid w:val="00392DF2"/>
    <w:rsid w:val="003949F1"/>
    <w:rsid w:val="003955F2"/>
    <w:rsid w:val="00395712"/>
    <w:rsid w:val="003976C1"/>
    <w:rsid w:val="003A1227"/>
    <w:rsid w:val="003A2319"/>
    <w:rsid w:val="003A4178"/>
    <w:rsid w:val="003A5A5A"/>
    <w:rsid w:val="003A5CCF"/>
    <w:rsid w:val="003A618F"/>
    <w:rsid w:val="003A65CF"/>
    <w:rsid w:val="003A7124"/>
    <w:rsid w:val="003B0C9D"/>
    <w:rsid w:val="003B5197"/>
    <w:rsid w:val="003B5564"/>
    <w:rsid w:val="003B5732"/>
    <w:rsid w:val="003B7DF5"/>
    <w:rsid w:val="003C2457"/>
    <w:rsid w:val="003C2A56"/>
    <w:rsid w:val="003C530C"/>
    <w:rsid w:val="003C553C"/>
    <w:rsid w:val="003D0876"/>
    <w:rsid w:val="003D0CC9"/>
    <w:rsid w:val="003D46CE"/>
    <w:rsid w:val="003D534D"/>
    <w:rsid w:val="003D54FA"/>
    <w:rsid w:val="003D6369"/>
    <w:rsid w:val="003D7A70"/>
    <w:rsid w:val="003E1536"/>
    <w:rsid w:val="003E1F12"/>
    <w:rsid w:val="003E4274"/>
    <w:rsid w:val="003E5F9F"/>
    <w:rsid w:val="003E6E37"/>
    <w:rsid w:val="003F0D91"/>
    <w:rsid w:val="003F15BB"/>
    <w:rsid w:val="003F2F59"/>
    <w:rsid w:val="003F5AFC"/>
    <w:rsid w:val="003F5DF1"/>
    <w:rsid w:val="003F5FEA"/>
    <w:rsid w:val="003F6CBC"/>
    <w:rsid w:val="003F73E7"/>
    <w:rsid w:val="003F7940"/>
    <w:rsid w:val="004007F6"/>
    <w:rsid w:val="00401837"/>
    <w:rsid w:val="00401CE6"/>
    <w:rsid w:val="00404344"/>
    <w:rsid w:val="0040647F"/>
    <w:rsid w:val="0040732E"/>
    <w:rsid w:val="0041227B"/>
    <w:rsid w:val="00413B95"/>
    <w:rsid w:val="004146AF"/>
    <w:rsid w:val="004150BD"/>
    <w:rsid w:val="00420BF8"/>
    <w:rsid w:val="00421081"/>
    <w:rsid w:val="00421AF6"/>
    <w:rsid w:val="00422110"/>
    <w:rsid w:val="0042217A"/>
    <w:rsid w:val="004223B7"/>
    <w:rsid w:val="00422922"/>
    <w:rsid w:val="00423565"/>
    <w:rsid w:val="004240B6"/>
    <w:rsid w:val="00425884"/>
    <w:rsid w:val="00432F1A"/>
    <w:rsid w:val="004331BE"/>
    <w:rsid w:val="00433326"/>
    <w:rsid w:val="0043542A"/>
    <w:rsid w:val="00435622"/>
    <w:rsid w:val="004375F1"/>
    <w:rsid w:val="0043778D"/>
    <w:rsid w:val="00440E6B"/>
    <w:rsid w:val="00441477"/>
    <w:rsid w:val="00443376"/>
    <w:rsid w:val="00445A0D"/>
    <w:rsid w:val="00450B37"/>
    <w:rsid w:val="00450C38"/>
    <w:rsid w:val="0045237F"/>
    <w:rsid w:val="004538A3"/>
    <w:rsid w:val="00456735"/>
    <w:rsid w:val="004573D4"/>
    <w:rsid w:val="0046142C"/>
    <w:rsid w:val="00461BE4"/>
    <w:rsid w:val="004642EC"/>
    <w:rsid w:val="0046636C"/>
    <w:rsid w:val="004666B6"/>
    <w:rsid w:val="00466C46"/>
    <w:rsid w:val="00470B76"/>
    <w:rsid w:val="00470D5E"/>
    <w:rsid w:val="004715C4"/>
    <w:rsid w:val="004726E8"/>
    <w:rsid w:val="00474464"/>
    <w:rsid w:val="00474D9D"/>
    <w:rsid w:val="0047503C"/>
    <w:rsid w:val="00476451"/>
    <w:rsid w:val="00476600"/>
    <w:rsid w:val="00476666"/>
    <w:rsid w:val="004840B9"/>
    <w:rsid w:val="00485908"/>
    <w:rsid w:val="00485F95"/>
    <w:rsid w:val="00490854"/>
    <w:rsid w:val="00490D98"/>
    <w:rsid w:val="004911AC"/>
    <w:rsid w:val="00491ED9"/>
    <w:rsid w:val="0049348A"/>
    <w:rsid w:val="004942B0"/>
    <w:rsid w:val="00496B87"/>
    <w:rsid w:val="00497425"/>
    <w:rsid w:val="004A1E7B"/>
    <w:rsid w:val="004A38A0"/>
    <w:rsid w:val="004A3B3C"/>
    <w:rsid w:val="004A44A4"/>
    <w:rsid w:val="004A4C7F"/>
    <w:rsid w:val="004A6308"/>
    <w:rsid w:val="004A7AE4"/>
    <w:rsid w:val="004B395B"/>
    <w:rsid w:val="004B3C78"/>
    <w:rsid w:val="004B5BE5"/>
    <w:rsid w:val="004B61BB"/>
    <w:rsid w:val="004B7744"/>
    <w:rsid w:val="004B77DD"/>
    <w:rsid w:val="004B7FA9"/>
    <w:rsid w:val="004B7FB0"/>
    <w:rsid w:val="004C0FEA"/>
    <w:rsid w:val="004C0FF7"/>
    <w:rsid w:val="004C3BB9"/>
    <w:rsid w:val="004C4DA5"/>
    <w:rsid w:val="004C6582"/>
    <w:rsid w:val="004C6E05"/>
    <w:rsid w:val="004C6EBD"/>
    <w:rsid w:val="004C77D9"/>
    <w:rsid w:val="004D0F51"/>
    <w:rsid w:val="004D2480"/>
    <w:rsid w:val="004D3649"/>
    <w:rsid w:val="004D42B2"/>
    <w:rsid w:val="004E1060"/>
    <w:rsid w:val="004E1B80"/>
    <w:rsid w:val="004E4042"/>
    <w:rsid w:val="004E6B41"/>
    <w:rsid w:val="004E7703"/>
    <w:rsid w:val="004F09D5"/>
    <w:rsid w:val="004F3F88"/>
    <w:rsid w:val="004F5964"/>
    <w:rsid w:val="0050379F"/>
    <w:rsid w:val="00506BD1"/>
    <w:rsid w:val="005079D5"/>
    <w:rsid w:val="00510D42"/>
    <w:rsid w:val="00513338"/>
    <w:rsid w:val="00513C29"/>
    <w:rsid w:val="0051464F"/>
    <w:rsid w:val="00514A38"/>
    <w:rsid w:val="00520EE7"/>
    <w:rsid w:val="005263CA"/>
    <w:rsid w:val="00530D44"/>
    <w:rsid w:val="00531705"/>
    <w:rsid w:val="00532055"/>
    <w:rsid w:val="00532B72"/>
    <w:rsid w:val="00533609"/>
    <w:rsid w:val="00534822"/>
    <w:rsid w:val="00534E35"/>
    <w:rsid w:val="00544E67"/>
    <w:rsid w:val="00547475"/>
    <w:rsid w:val="00550828"/>
    <w:rsid w:val="00551411"/>
    <w:rsid w:val="00551FD4"/>
    <w:rsid w:val="00552B04"/>
    <w:rsid w:val="00552DCE"/>
    <w:rsid w:val="005532B7"/>
    <w:rsid w:val="0055585E"/>
    <w:rsid w:val="00556001"/>
    <w:rsid w:val="0055686F"/>
    <w:rsid w:val="00557926"/>
    <w:rsid w:val="00560C53"/>
    <w:rsid w:val="005616CF"/>
    <w:rsid w:val="005616E0"/>
    <w:rsid w:val="00562740"/>
    <w:rsid w:val="005634C2"/>
    <w:rsid w:val="00563D2C"/>
    <w:rsid w:val="00564E9E"/>
    <w:rsid w:val="00565067"/>
    <w:rsid w:val="005651CA"/>
    <w:rsid w:val="005662F1"/>
    <w:rsid w:val="00566B96"/>
    <w:rsid w:val="00570C1C"/>
    <w:rsid w:val="00570E99"/>
    <w:rsid w:val="00572BA6"/>
    <w:rsid w:val="00573420"/>
    <w:rsid w:val="00574150"/>
    <w:rsid w:val="005743BE"/>
    <w:rsid w:val="00574EDA"/>
    <w:rsid w:val="00575320"/>
    <w:rsid w:val="00576373"/>
    <w:rsid w:val="00577D9A"/>
    <w:rsid w:val="00580109"/>
    <w:rsid w:val="00582328"/>
    <w:rsid w:val="0058360D"/>
    <w:rsid w:val="00583911"/>
    <w:rsid w:val="00583935"/>
    <w:rsid w:val="00584A62"/>
    <w:rsid w:val="0058518E"/>
    <w:rsid w:val="00590AE5"/>
    <w:rsid w:val="00591B13"/>
    <w:rsid w:val="00593363"/>
    <w:rsid w:val="00595537"/>
    <w:rsid w:val="005A0C12"/>
    <w:rsid w:val="005A1175"/>
    <w:rsid w:val="005A1994"/>
    <w:rsid w:val="005A1AE6"/>
    <w:rsid w:val="005A2675"/>
    <w:rsid w:val="005A353E"/>
    <w:rsid w:val="005A3AA1"/>
    <w:rsid w:val="005A5970"/>
    <w:rsid w:val="005A69F6"/>
    <w:rsid w:val="005A6F4D"/>
    <w:rsid w:val="005B1B0C"/>
    <w:rsid w:val="005B4EF8"/>
    <w:rsid w:val="005B5AA6"/>
    <w:rsid w:val="005B6072"/>
    <w:rsid w:val="005B6BA5"/>
    <w:rsid w:val="005B7525"/>
    <w:rsid w:val="005B76B1"/>
    <w:rsid w:val="005B79CC"/>
    <w:rsid w:val="005C432A"/>
    <w:rsid w:val="005D0DE3"/>
    <w:rsid w:val="005D1C20"/>
    <w:rsid w:val="005D3E64"/>
    <w:rsid w:val="005E04EB"/>
    <w:rsid w:val="005F1B57"/>
    <w:rsid w:val="005F23CC"/>
    <w:rsid w:val="005F7CF7"/>
    <w:rsid w:val="006000A2"/>
    <w:rsid w:val="00601EB5"/>
    <w:rsid w:val="00602581"/>
    <w:rsid w:val="00603AC6"/>
    <w:rsid w:val="0060412A"/>
    <w:rsid w:val="00605464"/>
    <w:rsid w:val="00605949"/>
    <w:rsid w:val="00605CDE"/>
    <w:rsid w:val="006070FA"/>
    <w:rsid w:val="00607997"/>
    <w:rsid w:val="00611284"/>
    <w:rsid w:val="006120B2"/>
    <w:rsid w:val="00613EFD"/>
    <w:rsid w:val="0061751A"/>
    <w:rsid w:val="006177F0"/>
    <w:rsid w:val="00620D9F"/>
    <w:rsid w:val="00624DCD"/>
    <w:rsid w:val="006250FE"/>
    <w:rsid w:val="00627096"/>
    <w:rsid w:val="0063324F"/>
    <w:rsid w:val="006348AD"/>
    <w:rsid w:val="00635E09"/>
    <w:rsid w:val="006360BD"/>
    <w:rsid w:val="006360CF"/>
    <w:rsid w:val="006372EB"/>
    <w:rsid w:val="00637AC0"/>
    <w:rsid w:val="006401C7"/>
    <w:rsid w:val="006402D5"/>
    <w:rsid w:val="006475A5"/>
    <w:rsid w:val="00650740"/>
    <w:rsid w:val="00651A6E"/>
    <w:rsid w:val="0065393E"/>
    <w:rsid w:val="006543F5"/>
    <w:rsid w:val="00655EAA"/>
    <w:rsid w:val="00655EB1"/>
    <w:rsid w:val="00661522"/>
    <w:rsid w:val="006621D6"/>
    <w:rsid w:val="00663E38"/>
    <w:rsid w:val="00665875"/>
    <w:rsid w:val="0066610B"/>
    <w:rsid w:val="0066753D"/>
    <w:rsid w:val="006705A0"/>
    <w:rsid w:val="00672443"/>
    <w:rsid w:val="00680B78"/>
    <w:rsid w:val="006813B6"/>
    <w:rsid w:val="00682457"/>
    <w:rsid w:val="00690C2C"/>
    <w:rsid w:val="00692218"/>
    <w:rsid w:val="00692309"/>
    <w:rsid w:val="0069396D"/>
    <w:rsid w:val="006947B9"/>
    <w:rsid w:val="00697BE2"/>
    <w:rsid w:val="006A18C8"/>
    <w:rsid w:val="006A3FA0"/>
    <w:rsid w:val="006A4651"/>
    <w:rsid w:val="006A74E9"/>
    <w:rsid w:val="006A76C8"/>
    <w:rsid w:val="006B49D1"/>
    <w:rsid w:val="006C00AC"/>
    <w:rsid w:val="006C2342"/>
    <w:rsid w:val="006C432D"/>
    <w:rsid w:val="006C460D"/>
    <w:rsid w:val="006C7698"/>
    <w:rsid w:val="006D0DAB"/>
    <w:rsid w:val="006D6517"/>
    <w:rsid w:val="006D7CF5"/>
    <w:rsid w:val="006E0987"/>
    <w:rsid w:val="006E0DD8"/>
    <w:rsid w:val="006E1122"/>
    <w:rsid w:val="006E37CF"/>
    <w:rsid w:val="006E45B2"/>
    <w:rsid w:val="006E690A"/>
    <w:rsid w:val="006F1CCE"/>
    <w:rsid w:val="006F489D"/>
    <w:rsid w:val="0070289F"/>
    <w:rsid w:val="00704171"/>
    <w:rsid w:val="007102A6"/>
    <w:rsid w:val="00711421"/>
    <w:rsid w:val="00711B7C"/>
    <w:rsid w:val="00711D58"/>
    <w:rsid w:val="0071385C"/>
    <w:rsid w:val="00715115"/>
    <w:rsid w:val="00715A22"/>
    <w:rsid w:val="00716765"/>
    <w:rsid w:val="007170AA"/>
    <w:rsid w:val="00717E73"/>
    <w:rsid w:val="00723CFD"/>
    <w:rsid w:val="00726938"/>
    <w:rsid w:val="00727285"/>
    <w:rsid w:val="00727336"/>
    <w:rsid w:val="00732474"/>
    <w:rsid w:val="00732B11"/>
    <w:rsid w:val="00733071"/>
    <w:rsid w:val="00734898"/>
    <w:rsid w:val="007356D4"/>
    <w:rsid w:val="00735C01"/>
    <w:rsid w:val="00736731"/>
    <w:rsid w:val="00737BEF"/>
    <w:rsid w:val="007417D2"/>
    <w:rsid w:val="0074347A"/>
    <w:rsid w:val="0074548C"/>
    <w:rsid w:val="00746101"/>
    <w:rsid w:val="007467FC"/>
    <w:rsid w:val="0074767C"/>
    <w:rsid w:val="00750AB1"/>
    <w:rsid w:val="00753735"/>
    <w:rsid w:val="00756610"/>
    <w:rsid w:val="0075710B"/>
    <w:rsid w:val="007602AC"/>
    <w:rsid w:val="00761AFB"/>
    <w:rsid w:val="00763098"/>
    <w:rsid w:val="00763D95"/>
    <w:rsid w:val="00766C77"/>
    <w:rsid w:val="007711B3"/>
    <w:rsid w:val="0077134B"/>
    <w:rsid w:val="0077476A"/>
    <w:rsid w:val="007752AA"/>
    <w:rsid w:val="00775C5A"/>
    <w:rsid w:val="00775D08"/>
    <w:rsid w:val="007773E1"/>
    <w:rsid w:val="00781FE2"/>
    <w:rsid w:val="00782ED1"/>
    <w:rsid w:val="00784166"/>
    <w:rsid w:val="00784694"/>
    <w:rsid w:val="00784A36"/>
    <w:rsid w:val="00784E6C"/>
    <w:rsid w:val="00785780"/>
    <w:rsid w:val="0078689B"/>
    <w:rsid w:val="00786CF9"/>
    <w:rsid w:val="007875EC"/>
    <w:rsid w:val="0079288D"/>
    <w:rsid w:val="00796BE7"/>
    <w:rsid w:val="007A00EF"/>
    <w:rsid w:val="007A0849"/>
    <w:rsid w:val="007A164B"/>
    <w:rsid w:val="007A227A"/>
    <w:rsid w:val="007A27BB"/>
    <w:rsid w:val="007A463A"/>
    <w:rsid w:val="007A489D"/>
    <w:rsid w:val="007A6F98"/>
    <w:rsid w:val="007A709C"/>
    <w:rsid w:val="007B00D6"/>
    <w:rsid w:val="007B036E"/>
    <w:rsid w:val="007B0F21"/>
    <w:rsid w:val="007B1409"/>
    <w:rsid w:val="007B33A2"/>
    <w:rsid w:val="007B4DE2"/>
    <w:rsid w:val="007B56C2"/>
    <w:rsid w:val="007B771E"/>
    <w:rsid w:val="007C1857"/>
    <w:rsid w:val="007C1D4C"/>
    <w:rsid w:val="007C221C"/>
    <w:rsid w:val="007C24E1"/>
    <w:rsid w:val="007C2F0C"/>
    <w:rsid w:val="007C635F"/>
    <w:rsid w:val="007C68B4"/>
    <w:rsid w:val="007C7C19"/>
    <w:rsid w:val="007C7C8D"/>
    <w:rsid w:val="007D2B8C"/>
    <w:rsid w:val="007D30F1"/>
    <w:rsid w:val="007D3624"/>
    <w:rsid w:val="007D438D"/>
    <w:rsid w:val="007D4AF2"/>
    <w:rsid w:val="007D4C79"/>
    <w:rsid w:val="007D50FC"/>
    <w:rsid w:val="007E2F44"/>
    <w:rsid w:val="007E3CCC"/>
    <w:rsid w:val="007E55F3"/>
    <w:rsid w:val="007E609D"/>
    <w:rsid w:val="007E700F"/>
    <w:rsid w:val="007F0D45"/>
    <w:rsid w:val="007F25E1"/>
    <w:rsid w:val="007F2775"/>
    <w:rsid w:val="007F2EE5"/>
    <w:rsid w:val="007F2F1C"/>
    <w:rsid w:val="007F3021"/>
    <w:rsid w:val="007F3A53"/>
    <w:rsid w:val="007F40BC"/>
    <w:rsid w:val="007F43DF"/>
    <w:rsid w:val="007F4C4A"/>
    <w:rsid w:val="007F5BCD"/>
    <w:rsid w:val="007F6F4B"/>
    <w:rsid w:val="00810764"/>
    <w:rsid w:val="00814346"/>
    <w:rsid w:val="00815BB5"/>
    <w:rsid w:val="008174AC"/>
    <w:rsid w:val="0081772B"/>
    <w:rsid w:val="00822544"/>
    <w:rsid w:val="008227A8"/>
    <w:rsid w:val="008235F8"/>
    <w:rsid w:val="008266EC"/>
    <w:rsid w:val="0082710F"/>
    <w:rsid w:val="0082783D"/>
    <w:rsid w:val="008304AC"/>
    <w:rsid w:val="00832CC3"/>
    <w:rsid w:val="00833813"/>
    <w:rsid w:val="00835A51"/>
    <w:rsid w:val="008424E7"/>
    <w:rsid w:val="0084290E"/>
    <w:rsid w:val="00843370"/>
    <w:rsid w:val="00844D08"/>
    <w:rsid w:val="00851A26"/>
    <w:rsid w:val="00853681"/>
    <w:rsid w:val="00854460"/>
    <w:rsid w:val="0085509C"/>
    <w:rsid w:val="00856FB0"/>
    <w:rsid w:val="00857925"/>
    <w:rsid w:val="00857CB8"/>
    <w:rsid w:val="00862D10"/>
    <w:rsid w:val="00866792"/>
    <w:rsid w:val="00871419"/>
    <w:rsid w:val="00873CDE"/>
    <w:rsid w:val="00874B90"/>
    <w:rsid w:val="00874F04"/>
    <w:rsid w:val="00875663"/>
    <w:rsid w:val="008760E2"/>
    <w:rsid w:val="0088706A"/>
    <w:rsid w:val="008878A3"/>
    <w:rsid w:val="008878C7"/>
    <w:rsid w:val="008902BB"/>
    <w:rsid w:val="00890A02"/>
    <w:rsid w:val="00891279"/>
    <w:rsid w:val="008923EB"/>
    <w:rsid w:val="0089401A"/>
    <w:rsid w:val="008971CA"/>
    <w:rsid w:val="00897FF0"/>
    <w:rsid w:val="008A29C4"/>
    <w:rsid w:val="008A42E5"/>
    <w:rsid w:val="008A4B7D"/>
    <w:rsid w:val="008A58C0"/>
    <w:rsid w:val="008B1337"/>
    <w:rsid w:val="008B36C4"/>
    <w:rsid w:val="008B486C"/>
    <w:rsid w:val="008C1070"/>
    <w:rsid w:val="008C14DA"/>
    <w:rsid w:val="008C3CBB"/>
    <w:rsid w:val="008C4FB5"/>
    <w:rsid w:val="008C5B47"/>
    <w:rsid w:val="008D0A45"/>
    <w:rsid w:val="008D0B95"/>
    <w:rsid w:val="008E017E"/>
    <w:rsid w:val="008E103F"/>
    <w:rsid w:val="008E2121"/>
    <w:rsid w:val="008E2B63"/>
    <w:rsid w:val="008E2F75"/>
    <w:rsid w:val="008E5423"/>
    <w:rsid w:val="008F03B7"/>
    <w:rsid w:val="008F1FFD"/>
    <w:rsid w:val="008F27B9"/>
    <w:rsid w:val="008F29F9"/>
    <w:rsid w:val="008F3035"/>
    <w:rsid w:val="008F3A85"/>
    <w:rsid w:val="008F3ED3"/>
    <w:rsid w:val="008F4A95"/>
    <w:rsid w:val="008F7AF2"/>
    <w:rsid w:val="009027F4"/>
    <w:rsid w:val="00902810"/>
    <w:rsid w:val="009028B8"/>
    <w:rsid w:val="00903CCC"/>
    <w:rsid w:val="00904690"/>
    <w:rsid w:val="009077D4"/>
    <w:rsid w:val="0091077B"/>
    <w:rsid w:val="00912BE9"/>
    <w:rsid w:val="0091385E"/>
    <w:rsid w:val="009156A8"/>
    <w:rsid w:val="009168E9"/>
    <w:rsid w:val="00916A92"/>
    <w:rsid w:val="00916F00"/>
    <w:rsid w:val="00924EDE"/>
    <w:rsid w:val="00926264"/>
    <w:rsid w:val="009274AF"/>
    <w:rsid w:val="00930109"/>
    <w:rsid w:val="009309FC"/>
    <w:rsid w:val="00933261"/>
    <w:rsid w:val="009335FB"/>
    <w:rsid w:val="00933A31"/>
    <w:rsid w:val="00934E24"/>
    <w:rsid w:val="00935599"/>
    <w:rsid w:val="00940BB9"/>
    <w:rsid w:val="00945F8E"/>
    <w:rsid w:val="009508F0"/>
    <w:rsid w:val="00952031"/>
    <w:rsid w:val="00952851"/>
    <w:rsid w:val="00954743"/>
    <w:rsid w:val="00954D81"/>
    <w:rsid w:val="00954E63"/>
    <w:rsid w:val="009554C5"/>
    <w:rsid w:val="0095744C"/>
    <w:rsid w:val="00957843"/>
    <w:rsid w:val="009603F3"/>
    <w:rsid w:val="009623FB"/>
    <w:rsid w:val="009643E2"/>
    <w:rsid w:val="00965C05"/>
    <w:rsid w:val="009708BB"/>
    <w:rsid w:val="00972786"/>
    <w:rsid w:val="00972A47"/>
    <w:rsid w:val="00973757"/>
    <w:rsid w:val="00974A71"/>
    <w:rsid w:val="009754EA"/>
    <w:rsid w:val="00975759"/>
    <w:rsid w:val="009801C8"/>
    <w:rsid w:val="00981F5D"/>
    <w:rsid w:val="009822DA"/>
    <w:rsid w:val="009835F9"/>
    <w:rsid w:val="00983B1C"/>
    <w:rsid w:val="00990A22"/>
    <w:rsid w:val="00991202"/>
    <w:rsid w:val="0099137B"/>
    <w:rsid w:val="009916E4"/>
    <w:rsid w:val="009917F9"/>
    <w:rsid w:val="00993A0E"/>
    <w:rsid w:val="009944BF"/>
    <w:rsid w:val="009954C3"/>
    <w:rsid w:val="009A0AB4"/>
    <w:rsid w:val="009A14C1"/>
    <w:rsid w:val="009A1BC5"/>
    <w:rsid w:val="009A20C4"/>
    <w:rsid w:val="009A4B42"/>
    <w:rsid w:val="009A5741"/>
    <w:rsid w:val="009A5941"/>
    <w:rsid w:val="009A7C41"/>
    <w:rsid w:val="009A7DD6"/>
    <w:rsid w:val="009B2439"/>
    <w:rsid w:val="009B2C96"/>
    <w:rsid w:val="009B3547"/>
    <w:rsid w:val="009B5338"/>
    <w:rsid w:val="009C2D59"/>
    <w:rsid w:val="009C4109"/>
    <w:rsid w:val="009C52FB"/>
    <w:rsid w:val="009C60DE"/>
    <w:rsid w:val="009C614C"/>
    <w:rsid w:val="009C7EC4"/>
    <w:rsid w:val="009D114E"/>
    <w:rsid w:val="009D16ED"/>
    <w:rsid w:val="009D2B15"/>
    <w:rsid w:val="009D3D81"/>
    <w:rsid w:val="009D451F"/>
    <w:rsid w:val="009D510B"/>
    <w:rsid w:val="009E058E"/>
    <w:rsid w:val="009E127C"/>
    <w:rsid w:val="009E15B0"/>
    <w:rsid w:val="009E7CB1"/>
    <w:rsid w:val="009F01E1"/>
    <w:rsid w:val="009F0A59"/>
    <w:rsid w:val="009F139A"/>
    <w:rsid w:val="009F194E"/>
    <w:rsid w:val="009F6644"/>
    <w:rsid w:val="009F71A8"/>
    <w:rsid w:val="00A06C9E"/>
    <w:rsid w:val="00A14EA4"/>
    <w:rsid w:val="00A16D12"/>
    <w:rsid w:val="00A20CAB"/>
    <w:rsid w:val="00A215CF"/>
    <w:rsid w:val="00A255D4"/>
    <w:rsid w:val="00A26188"/>
    <w:rsid w:val="00A3084C"/>
    <w:rsid w:val="00A31C0A"/>
    <w:rsid w:val="00A32740"/>
    <w:rsid w:val="00A3314F"/>
    <w:rsid w:val="00A348F1"/>
    <w:rsid w:val="00A4113A"/>
    <w:rsid w:val="00A43C8F"/>
    <w:rsid w:val="00A446BA"/>
    <w:rsid w:val="00A4504F"/>
    <w:rsid w:val="00A470DF"/>
    <w:rsid w:val="00A475FE"/>
    <w:rsid w:val="00A47DD1"/>
    <w:rsid w:val="00A50988"/>
    <w:rsid w:val="00A50F92"/>
    <w:rsid w:val="00A51544"/>
    <w:rsid w:val="00A5692C"/>
    <w:rsid w:val="00A56A6C"/>
    <w:rsid w:val="00A56CFA"/>
    <w:rsid w:val="00A62916"/>
    <w:rsid w:val="00A65066"/>
    <w:rsid w:val="00A66B19"/>
    <w:rsid w:val="00A67779"/>
    <w:rsid w:val="00A727C6"/>
    <w:rsid w:val="00A73830"/>
    <w:rsid w:val="00A753A1"/>
    <w:rsid w:val="00A759CB"/>
    <w:rsid w:val="00A810AD"/>
    <w:rsid w:val="00A8198C"/>
    <w:rsid w:val="00A82221"/>
    <w:rsid w:val="00A82DF5"/>
    <w:rsid w:val="00A85A6A"/>
    <w:rsid w:val="00A87E56"/>
    <w:rsid w:val="00A902FA"/>
    <w:rsid w:val="00A907DB"/>
    <w:rsid w:val="00A9271E"/>
    <w:rsid w:val="00A94281"/>
    <w:rsid w:val="00A9767B"/>
    <w:rsid w:val="00AA0B4A"/>
    <w:rsid w:val="00AA3079"/>
    <w:rsid w:val="00AA3B64"/>
    <w:rsid w:val="00AA3EAF"/>
    <w:rsid w:val="00AA43DA"/>
    <w:rsid w:val="00AA6891"/>
    <w:rsid w:val="00AB052D"/>
    <w:rsid w:val="00AB52C5"/>
    <w:rsid w:val="00AB6CDC"/>
    <w:rsid w:val="00AC2F6E"/>
    <w:rsid w:val="00AC3EA5"/>
    <w:rsid w:val="00AC6931"/>
    <w:rsid w:val="00AC6D0D"/>
    <w:rsid w:val="00AC6E58"/>
    <w:rsid w:val="00AC721D"/>
    <w:rsid w:val="00AD0729"/>
    <w:rsid w:val="00AD1029"/>
    <w:rsid w:val="00AD1765"/>
    <w:rsid w:val="00AD274B"/>
    <w:rsid w:val="00AD481C"/>
    <w:rsid w:val="00AD5B42"/>
    <w:rsid w:val="00AD63AD"/>
    <w:rsid w:val="00AD6566"/>
    <w:rsid w:val="00AE06FB"/>
    <w:rsid w:val="00AE2394"/>
    <w:rsid w:val="00AE23F8"/>
    <w:rsid w:val="00AE426D"/>
    <w:rsid w:val="00AE4870"/>
    <w:rsid w:val="00AE4CB1"/>
    <w:rsid w:val="00AE6FD1"/>
    <w:rsid w:val="00AF26CF"/>
    <w:rsid w:val="00AF29C6"/>
    <w:rsid w:val="00AF342B"/>
    <w:rsid w:val="00AF3DB3"/>
    <w:rsid w:val="00AF5EF1"/>
    <w:rsid w:val="00AF6679"/>
    <w:rsid w:val="00AF6C74"/>
    <w:rsid w:val="00B02647"/>
    <w:rsid w:val="00B04C26"/>
    <w:rsid w:val="00B059BA"/>
    <w:rsid w:val="00B05AAD"/>
    <w:rsid w:val="00B06A00"/>
    <w:rsid w:val="00B06BD1"/>
    <w:rsid w:val="00B07521"/>
    <w:rsid w:val="00B0790B"/>
    <w:rsid w:val="00B135A4"/>
    <w:rsid w:val="00B13A2B"/>
    <w:rsid w:val="00B14B4F"/>
    <w:rsid w:val="00B14ECC"/>
    <w:rsid w:val="00B1518D"/>
    <w:rsid w:val="00B1643E"/>
    <w:rsid w:val="00B17DDF"/>
    <w:rsid w:val="00B2125B"/>
    <w:rsid w:val="00B23C69"/>
    <w:rsid w:val="00B2477B"/>
    <w:rsid w:val="00B249B1"/>
    <w:rsid w:val="00B26421"/>
    <w:rsid w:val="00B269B8"/>
    <w:rsid w:val="00B26BA0"/>
    <w:rsid w:val="00B27476"/>
    <w:rsid w:val="00B27CE5"/>
    <w:rsid w:val="00B31AA6"/>
    <w:rsid w:val="00B32478"/>
    <w:rsid w:val="00B329CD"/>
    <w:rsid w:val="00B35770"/>
    <w:rsid w:val="00B360D2"/>
    <w:rsid w:val="00B36FF3"/>
    <w:rsid w:val="00B3720F"/>
    <w:rsid w:val="00B40080"/>
    <w:rsid w:val="00B40499"/>
    <w:rsid w:val="00B41580"/>
    <w:rsid w:val="00B42416"/>
    <w:rsid w:val="00B426A1"/>
    <w:rsid w:val="00B426F9"/>
    <w:rsid w:val="00B47BCF"/>
    <w:rsid w:val="00B521E7"/>
    <w:rsid w:val="00B52963"/>
    <w:rsid w:val="00B53248"/>
    <w:rsid w:val="00B55251"/>
    <w:rsid w:val="00B5711C"/>
    <w:rsid w:val="00B61628"/>
    <w:rsid w:val="00B62EA8"/>
    <w:rsid w:val="00B63730"/>
    <w:rsid w:val="00B64A1B"/>
    <w:rsid w:val="00B65733"/>
    <w:rsid w:val="00B66B3E"/>
    <w:rsid w:val="00B670F9"/>
    <w:rsid w:val="00B71C47"/>
    <w:rsid w:val="00B72B38"/>
    <w:rsid w:val="00B7391C"/>
    <w:rsid w:val="00B7437F"/>
    <w:rsid w:val="00B74CF8"/>
    <w:rsid w:val="00B7500F"/>
    <w:rsid w:val="00B77839"/>
    <w:rsid w:val="00B77C80"/>
    <w:rsid w:val="00B815E8"/>
    <w:rsid w:val="00B85142"/>
    <w:rsid w:val="00B851F3"/>
    <w:rsid w:val="00B9070C"/>
    <w:rsid w:val="00B91A09"/>
    <w:rsid w:val="00B91C9C"/>
    <w:rsid w:val="00B96699"/>
    <w:rsid w:val="00B97ABF"/>
    <w:rsid w:val="00BA05DF"/>
    <w:rsid w:val="00BA4EAC"/>
    <w:rsid w:val="00BA62E9"/>
    <w:rsid w:val="00BA6325"/>
    <w:rsid w:val="00BA6864"/>
    <w:rsid w:val="00BA6E1C"/>
    <w:rsid w:val="00BA7D10"/>
    <w:rsid w:val="00BB08CB"/>
    <w:rsid w:val="00BB1333"/>
    <w:rsid w:val="00BB1E64"/>
    <w:rsid w:val="00BB235B"/>
    <w:rsid w:val="00BB2C58"/>
    <w:rsid w:val="00BB3601"/>
    <w:rsid w:val="00BB65D1"/>
    <w:rsid w:val="00BB6CEE"/>
    <w:rsid w:val="00BB7AA2"/>
    <w:rsid w:val="00BB7DEB"/>
    <w:rsid w:val="00BC07B8"/>
    <w:rsid w:val="00BC0B5C"/>
    <w:rsid w:val="00BC1C8A"/>
    <w:rsid w:val="00BC49A5"/>
    <w:rsid w:val="00BC545A"/>
    <w:rsid w:val="00BC5913"/>
    <w:rsid w:val="00BC6A16"/>
    <w:rsid w:val="00BD39D6"/>
    <w:rsid w:val="00BD3AC6"/>
    <w:rsid w:val="00BD3F11"/>
    <w:rsid w:val="00BD4DB1"/>
    <w:rsid w:val="00BD5A23"/>
    <w:rsid w:val="00BD7D28"/>
    <w:rsid w:val="00BE054E"/>
    <w:rsid w:val="00BE08FF"/>
    <w:rsid w:val="00BE1823"/>
    <w:rsid w:val="00BE2D20"/>
    <w:rsid w:val="00BE4A64"/>
    <w:rsid w:val="00BE5DED"/>
    <w:rsid w:val="00BE6F69"/>
    <w:rsid w:val="00BF0B0E"/>
    <w:rsid w:val="00BF0E6D"/>
    <w:rsid w:val="00BF1188"/>
    <w:rsid w:val="00BF1724"/>
    <w:rsid w:val="00BF17F8"/>
    <w:rsid w:val="00BF19B1"/>
    <w:rsid w:val="00BF714F"/>
    <w:rsid w:val="00C01209"/>
    <w:rsid w:val="00C01AD0"/>
    <w:rsid w:val="00C05117"/>
    <w:rsid w:val="00C05A23"/>
    <w:rsid w:val="00C0793C"/>
    <w:rsid w:val="00C107A7"/>
    <w:rsid w:val="00C10B73"/>
    <w:rsid w:val="00C1355B"/>
    <w:rsid w:val="00C13B8E"/>
    <w:rsid w:val="00C142CF"/>
    <w:rsid w:val="00C146C5"/>
    <w:rsid w:val="00C15687"/>
    <w:rsid w:val="00C16620"/>
    <w:rsid w:val="00C21747"/>
    <w:rsid w:val="00C23A05"/>
    <w:rsid w:val="00C272B2"/>
    <w:rsid w:val="00C31A38"/>
    <w:rsid w:val="00C32921"/>
    <w:rsid w:val="00C3406B"/>
    <w:rsid w:val="00C35D37"/>
    <w:rsid w:val="00C372A4"/>
    <w:rsid w:val="00C41A76"/>
    <w:rsid w:val="00C42F18"/>
    <w:rsid w:val="00C434C2"/>
    <w:rsid w:val="00C43531"/>
    <w:rsid w:val="00C51D8A"/>
    <w:rsid w:val="00C5203E"/>
    <w:rsid w:val="00C52B83"/>
    <w:rsid w:val="00C533B1"/>
    <w:rsid w:val="00C53EA6"/>
    <w:rsid w:val="00C55B17"/>
    <w:rsid w:val="00C5637F"/>
    <w:rsid w:val="00C56BFA"/>
    <w:rsid w:val="00C61596"/>
    <w:rsid w:val="00C63AC4"/>
    <w:rsid w:val="00C70183"/>
    <w:rsid w:val="00C70342"/>
    <w:rsid w:val="00C723F7"/>
    <w:rsid w:val="00C72A67"/>
    <w:rsid w:val="00C74115"/>
    <w:rsid w:val="00C743B9"/>
    <w:rsid w:val="00C76E7F"/>
    <w:rsid w:val="00C7736C"/>
    <w:rsid w:val="00C77F2A"/>
    <w:rsid w:val="00C77FDB"/>
    <w:rsid w:val="00C81965"/>
    <w:rsid w:val="00C825B5"/>
    <w:rsid w:val="00C8500C"/>
    <w:rsid w:val="00C86A08"/>
    <w:rsid w:val="00C8710F"/>
    <w:rsid w:val="00C87C35"/>
    <w:rsid w:val="00C9215E"/>
    <w:rsid w:val="00C93C46"/>
    <w:rsid w:val="00C94AA5"/>
    <w:rsid w:val="00C9611D"/>
    <w:rsid w:val="00CA1866"/>
    <w:rsid w:val="00CA2489"/>
    <w:rsid w:val="00CA26E5"/>
    <w:rsid w:val="00CA61EB"/>
    <w:rsid w:val="00CA6716"/>
    <w:rsid w:val="00CA7290"/>
    <w:rsid w:val="00CB157A"/>
    <w:rsid w:val="00CB2DF1"/>
    <w:rsid w:val="00CB4681"/>
    <w:rsid w:val="00CB489E"/>
    <w:rsid w:val="00CB5DDF"/>
    <w:rsid w:val="00CB65CB"/>
    <w:rsid w:val="00CB6D6B"/>
    <w:rsid w:val="00CB768C"/>
    <w:rsid w:val="00CC0685"/>
    <w:rsid w:val="00CC21BE"/>
    <w:rsid w:val="00CC57B7"/>
    <w:rsid w:val="00CC78E4"/>
    <w:rsid w:val="00CD3599"/>
    <w:rsid w:val="00CD4A16"/>
    <w:rsid w:val="00CD604D"/>
    <w:rsid w:val="00CE0AEB"/>
    <w:rsid w:val="00CE257A"/>
    <w:rsid w:val="00CE5255"/>
    <w:rsid w:val="00CE68FB"/>
    <w:rsid w:val="00CF1425"/>
    <w:rsid w:val="00CF17EA"/>
    <w:rsid w:val="00CF24E4"/>
    <w:rsid w:val="00CF3813"/>
    <w:rsid w:val="00CF3E6D"/>
    <w:rsid w:val="00CF5857"/>
    <w:rsid w:val="00CF6A28"/>
    <w:rsid w:val="00D00217"/>
    <w:rsid w:val="00D0284E"/>
    <w:rsid w:val="00D03D49"/>
    <w:rsid w:val="00D04A58"/>
    <w:rsid w:val="00D05522"/>
    <w:rsid w:val="00D0611E"/>
    <w:rsid w:val="00D11FA1"/>
    <w:rsid w:val="00D13824"/>
    <w:rsid w:val="00D143A9"/>
    <w:rsid w:val="00D20087"/>
    <w:rsid w:val="00D20CD3"/>
    <w:rsid w:val="00D21A50"/>
    <w:rsid w:val="00D22073"/>
    <w:rsid w:val="00D23D20"/>
    <w:rsid w:val="00D24384"/>
    <w:rsid w:val="00D254E5"/>
    <w:rsid w:val="00D25509"/>
    <w:rsid w:val="00D26529"/>
    <w:rsid w:val="00D27C65"/>
    <w:rsid w:val="00D300C9"/>
    <w:rsid w:val="00D34340"/>
    <w:rsid w:val="00D3478D"/>
    <w:rsid w:val="00D34E97"/>
    <w:rsid w:val="00D352DB"/>
    <w:rsid w:val="00D35CA7"/>
    <w:rsid w:val="00D3715B"/>
    <w:rsid w:val="00D37630"/>
    <w:rsid w:val="00D430F2"/>
    <w:rsid w:val="00D44481"/>
    <w:rsid w:val="00D45F16"/>
    <w:rsid w:val="00D47908"/>
    <w:rsid w:val="00D50D73"/>
    <w:rsid w:val="00D53254"/>
    <w:rsid w:val="00D53E3E"/>
    <w:rsid w:val="00D55A19"/>
    <w:rsid w:val="00D56645"/>
    <w:rsid w:val="00D570DD"/>
    <w:rsid w:val="00D5758D"/>
    <w:rsid w:val="00D60721"/>
    <w:rsid w:val="00D6170B"/>
    <w:rsid w:val="00D6175D"/>
    <w:rsid w:val="00D61A56"/>
    <w:rsid w:val="00D624CC"/>
    <w:rsid w:val="00D62560"/>
    <w:rsid w:val="00D63EF9"/>
    <w:rsid w:val="00D66476"/>
    <w:rsid w:val="00D7005E"/>
    <w:rsid w:val="00D718E1"/>
    <w:rsid w:val="00D73633"/>
    <w:rsid w:val="00D73AA5"/>
    <w:rsid w:val="00D7554F"/>
    <w:rsid w:val="00D772F1"/>
    <w:rsid w:val="00D804EA"/>
    <w:rsid w:val="00D813DB"/>
    <w:rsid w:val="00D818C6"/>
    <w:rsid w:val="00D82799"/>
    <w:rsid w:val="00D82864"/>
    <w:rsid w:val="00D8532F"/>
    <w:rsid w:val="00D85DD8"/>
    <w:rsid w:val="00D8763D"/>
    <w:rsid w:val="00D91199"/>
    <w:rsid w:val="00DA0E5B"/>
    <w:rsid w:val="00DA275C"/>
    <w:rsid w:val="00DA3AC2"/>
    <w:rsid w:val="00DA4087"/>
    <w:rsid w:val="00DA5673"/>
    <w:rsid w:val="00DA64B8"/>
    <w:rsid w:val="00DA64F4"/>
    <w:rsid w:val="00DA7449"/>
    <w:rsid w:val="00DA7B3A"/>
    <w:rsid w:val="00DA7D06"/>
    <w:rsid w:val="00DB05A6"/>
    <w:rsid w:val="00DB1369"/>
    <w:rsid w:val="00DB3A18"/>
    <w:rsid w:val="00DB75E4"/>
    <w:rsid w:val="00DC03BB"/>
    <w:rsid w:val="00DC1B64"/>
    <w:rsid w:val="00DC1F2E"/>
    <w:rsid w:val="00DC2EAC"/>
    <w:rsid w:val="00DC3697"/>
    <w:rsid w:val="00DC45A2"/>
    <w:rsid w:val="00DC6E09"/>
    <w:rsid w:val="00DC77B7"/>
    <w:rsid w:val="00DC7B13"/>
    <w:rsid w:val="00DD05C6"/>
    <w:rsid w:val="00DD23C6"/>
    <w:rsid w:val="00DD3C60"/>
    <w:rsid w:val="00DD6CA3"/>
    <w:rsid w:val="00DE016C"/>
    <w:rsid w:val="00DE1214"/>
    <w:rsid w:val="00DE1FBC"/>
    <w:rsid w:val="00DE655F"/>
    <w:rsid w:val="00DE72FD"/>
    <w:rsid w:val="00DE7B64"/>
    <w:rsid w:val="00DF026C"/>
    <w:rsid w:val="00DF283C"/>
    <w:rsid w:val="00DF486F"/>
    <w:rsid w:val="00DF6B43"/>
    <w:rsid w:val="00DF7887"/>
    <w:rsid w:val="00E0047E"/>
    <w:rsid w:val="00E01082"/>
    <w:rsid w:val="00E019F4"/>
    <w:rsid w:val="00E02FA4"/>
    <w:rsid w:val="00E043ED"/>
    <w:rsid w:val="00E120E1"/>
    <w:rsid w:val="00E14B93"/>
    <w:rsid w:val="00E15E6C"/>
    <w:rsid w:val="00E161F2"/>
    <w:rsid w:val="00E162D4"/>
    <w:rsid w:val="00E1650B"/>
    <w:rsid w:val="00E16FB8"/>
    <w:rsid w:val="00E27032"/>
    <w:rsid w:val="00E32EAF"/>
    <w:rsid w:val="00E33687"/>
    <w:rsid w:val="00E34DD8"/>
    <w:rsid w:val="00E35D9D"/>
    <w:rsid w:val="00E37B6E"/>
    <w:rsid w:val="00E37D7B"/>
    <w:rsid w:val="00E4084D"/>
    <w:rsid w:val="00E41AAF"/>
    <w:rsid w:val="00E43BF7"/>
    <w:rsid w:val="00E4438F"/>
    <w:rsid w:val="00E44863"/>
    <w:rsid w:val="00E44E77"/>
    <w:rsid w:val="00E509BA"/>
    <w:rsid w:val="00E51521"/>
    <w:rsid w:val="00E53396"/>
    <w:rsid w:val="00E546F0"/>
    <w:rsid w:val="00E54F54"/>
    <w:rsid w:val="00E55915"/>
    <w:rsid w:val="00E566BA"/>
    <w:rsid w:val="00E56E85"/>
    <w:rsid w:val="00E57D9D"/>
    <w:rsid w:val="00E60120"/>
    <w:rsid w:val="00E61978"/>
    <w:rsid w:val="00E61C0E"/>
    <w:rsid w:val="00E624EC"/>
    <w:rsid w:val="00E62C77"/>
    <w:rsid w:val="00E63611"/>
    <w:rsid w:val="00E641EC"/>
    <w:rsid w:val="00E70846"/>
    <w:rsid w:val="00E7195E"/>
    <w:rsid w:val="00E721DC"/>
    <w:rsid w:val="00E73673"/>
    <w:rsid w:val="00E74616"/>
    <w:rsid w:val="00E82262"/>
    <w:rsid w:val="00E8537F"/>
    <w:rsid w:val="00E85AD5"/>
    <w:rsid w:val="00E8685B"/>
    <w:rsid w:val="00E9010D"/>
    <w:rsid w:val="00E93A36"/>
    <w:rsid w:val="00E93F38"/>
    <w:rsid w:val="00E943CC"/>
    <w:rsid w:val="00E9636D"/>
    <w:rsid w:val="00EA2277"/>
    <w:rsid w:val="00EA3859"/>
    <w:rsid w:val="00EA42F0"/>
    <w:rsid w:val="00EA554E"/>
    <w:rsid w:val="00EA7400"/>
    <w:rsid w:val="00EA7A0B"/>
    <w:rsid w:val="00EA7E82"/>
    <w:rsid w:val="00EB05A9"/>
    <w:rsid w:val="00EB05CB"/>
    <w:rsid w:val="00EB35B5"/>
    <w:rsid w:val="00EB550C"/>
    <w:rsid w:val="00EB6924"/>
    <w:rsid w:val="00EB6F5E"/>
    <w:rsid w:val="00EC0147"/>
    <w:rsid w:val="00EC206F"/>
    <w:rsid w:val="00EC25F7"/>
    <w:rsid w:val="00EC36BA"/>
    <w:rsid w:val="00EC4A49"/>
    <w:rsid w:val="00EC60DC"/>
    <w:rsid w:val="00ED29BC"/>
    <w:rsid w:val="00ED2C50"/>
    <w:rsid w:val="00ED2D03"/>
    <w:rsid w:val="00ED2E9D"/>
    <w:rsid w:val="00ED6729"/>
    <w:rsid w:val="00ED672F"/>
    <w:rsid w:val="00EE0745"/>
    <w:rsid w:val="00EE0B28"/>
    <w:rsid w:val="00EE156C"/>
    <w:rsid w:val="00EE194E"/>
    <w:rsid w:val="00EE1D80"/>
    <w:rsid w:val="00EE477F"/>
    <w:rsid w:val="00EE750C"/>
    <w:rsid w:val="00EE7D92"/>
    <w:rsid w:val="00EF2BEF"/>
    <w:rsid w:val="00EF3A6E"/>
    <w:rsid w:val="00EF4273"/>
    <w:rsid w:val="00EF5A0B"/>
    <w:rsid w:val="00F00690"/>
    <w:rsid w:val="00F0502E"/>
    <w:rsid w:val="00F051DA"/>
    <w:rsid w:val="00F05E30"/>
    <w:rsid w:val="00F07EED"/>
    <w:rsid w:val="00F103C7"/>
    <w:rsid w:val="00F10E2A"/>
    <w:rsid w:val="00F11D0A"/>
    <w:rsid w:val="00F11E6C"/>
    <w:rsid w:val="00F126CD"/>
    <w:rsid w:val="00F1273C"/>
    <w:rsid w:val="00F1399B"/>
    <w:rsid w:val="00F1692F"/>
    <w:rsid w:val="00F17EBB"/>
    <w:rsid w:val="00F20910"/>
    <w:rsid w:val="00F20DFA"/>
    <w:rsid w:val="00F21871"/>
    <w:rsid w:val="00F218CC"/>
    <w:rsid w:val="00F22313"/>
    <w:rsid w:val="00F250BD"/>
    <w:rsid w:val="00F25D4C"/>
    <w:rsid w:val="00F263C6"/>
    <w:rsid w:val="00F27641"/>
    <w:rsid w:val="00F2793E"/>
    <w:rsid w:val="00F279D4"/>
    <w:rsid w:val="00F30C89"/>
    <w:rsid w:val="00F30FFA"/>
    <w:rsid w:val="00F31A42"/>
    <w:rsid w:val="00F31BCD"/>
    <w:rsid w:val="00F32703"/>
    <w:rsid w:val="00F3538B"/>
    <w:rsid w:val="00F356B2"/>
    <w:rsid w:val="00F359A0"/>
    <w:rsid w:val="00F36C38"/>
    <w:rsid w:val="00F40742"/>
    <w:rsid w:val="00F44D45"/>
    <w:rsid w:val="00F45A8A"/>
    <w:rsid w:val="00F45DC5"/>
    <w:rsid w:val="00F52D1C"/>
    <w:rsid w:val="00F53A33"/>
    <w:rsid w:val="00F57576"/>
    <w:rsid w:val="00F57914"/>
    <w:rsid w:val="00F57BC9"/>
    <w:rsid w:val="00F60F79"/>
    <w:rsid w:val="00F6377E"/>
    <w:rsid w:val="00F63E16"/>
    <w:rsid w:val="00F6409C"/>
    <w:rsid w:val="00F64733"/>
    <w:rsid w:val="00F64A7C"/>
    <w:rsid w:val="00F64F74"/>
    <w:rsid w:val="00F66138"/>
    <w:rsid w:val="00F6696A"/>
    <w:rsid w:val="00F678D3"/>
    <w:rsid w:val="00F67D15"/>
    <w:rsid w:val="00F757D3"/>
    <w:rsid w:val="00F75BE5"/>
    <w:rsid w:val="00F767B7"/>
    <w:rsid w:val="00F8033E"/>
    <w:rsid w:val="00F81293"/>
    <w:rsid w:val="00F81A6F"/>
    <w:rsid w:val="00F81DA3"/>
    <w:rsid w:val="00F82F60"/>
    <w:rsid w:val="00F83B88"/>
    <w:rsid w:val="00F846F6"/>
    <w:rsid w:val="00F869D5"/>
    <w:rsid w:val="00F8742A"/>
    <w:rsid w:val="00F90071"/>
    <w:rsid w:val="00F909DC"/>
    <w:rsid w:val="00F94B87"/>
    <w:rsid w:val="00F963A8"/>
    <w:rsid w:val="00FA1ED5"/>
    <w:rsid w:val="00FA2250"/>
    <w:rsid w:val="00FA272E"/>
    <w:rsid w:val="00FA3056"/>
    <w:rsid w:val="00FA3592"/>
    <w:rsid w:val="00FA37AB"/>
    <w:rsid w:val="00FA40BF"/>
    <w:rsid w:val="00FA476A"/>
    <w:rsid w:val="00FA54A4"/>
    <w:rsid w:val="00FA62C1"/>
    <w:rsid w:val="00FA6347"/>
    <w:rsid w:val="00FA7341"/>
    <w:rsid w:val="00FB17C1"/>
    <w:rsid w:val="00FB21F7"/>
    <w:rsid w:val="00FB623C"/>
    <w:rsid w:val="00FB6690"/>
    <w:rsid w:val="00FB70BF"/>
    <w:rsid w:val="00FC054B"/>
    <w:rsid w:val="00FC35F6"/>
    <w:rsid w:val="00FC49AA"/>
    <w:rsid w:val="00FC4F1D"/>
    <w:rsid w:val="00FC5236"/>
    <w:rsid w:val="00FC58F0"/>
    <w:rsid w:val="00FC6B2D"/>
    <w:rsid w:val="00FD0737"/>
    <w:rsid w:val="00FD0F2F"/>
    <w:rsid w:val="00FD0FB7"/>
    <w:rsid w:val="00FD2048"/>
    <w:rsid w:val="00FD3E01"/>
    <w:rsid w:val="00FD6804"/>
    <w:rsid w:val="00FD683E"/>
    <w:rsid w:val="00FD6B92"/>
    <w:rsid w:val="00FE0ABA"/>
    <w:rsid w:val="00FE1663"/>
    <w:rsid w:val="00FE35C7"/>
    <w:rsid w:val="00FE47A4"/>
    <w:rsid w:val="00FE4B8C"/>
    <w:rsid w:val="00FE5067"/>
    <w:rsid w:val="00FE6386"/>
    <w:rsid w:val="00FF171B"/>
    <w:rsid w:val="00FF3199"/>
    <w:rsid w:val="00FF34DA"/>
    <w:rsid w:val="00FF40B4"/>
    <w:rsid w:val="00FF4D65"/>
    <w:rsid w:val="00FF606F"/>
    <w:rsid w:val="00FF71C2"/>
    <w:rsid w:val="00FF7C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8353"/>
    <o:shapelayout v:ext="edit">
      <o:idmap v:ext="edit" data="1"/>
    </o:shapelayout>
  </w:shapeDefaults>
  <w:decimalSymbol w:val=","/>
  <w:listSeparator w:val=";"/>
  <w14:docId w14:val="0E977411"/>
  <w15:docId w15:val="{4A13E47F-FE77-4B91-84EB-F7F83B65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uiPriority="0"/>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63"/>
    <w:pPr>
      <w:spacing w:after="120"/>
      <w:ind w:firstLine="709"/>
      <w:jc w:val="both"/>
    </w:pPr>
    <w:rPr>
      <w:sz w:val="24"/>
      <w:lang w:eastAsia="en-US"/>
    </w:rPr>
  </w:style>
  <w:style w:type="paragraph" w:styleId="Heading1">
    <w:name w:val="heading 1"/>
    <w:basedOn w:val="Normal"/>
    <w:next w:val="Normal"/>
    <w:rsid w:val="001240F1"/>
    <w:pPr>
      <w:keepNext/>
      <w:jc w:val="center"/>
      <w:outlineLvl w:val="0"/>
    </w:pPr>
    <w:rPr>
      <w:b/>
      <w:bCs/>
    </w:rPr>
  </w:style>
  <w:style w:type="paragraph" w:styleId="Heading3">
    <w:name w:val="heading 3"/>
    <w:basedOn w:val="Normal"/>
    <w:next w:val="Normal"/>
    <w:rsid w:val="001240F1"/>
    <w:pPr>
      <w:keepNext/>
      <w:spacing w:before="240" w:after="60"/>
      <w:outlineLvl w:val="2"/>
    </w:pPr>
    <w:rPr>
      <w:rFonts w:ascii="Arial" w:hAnsi="Arial"/>
    </w:rPr>
  </w:style>
  <w:style w:type="paragraph" w:styleId="Heading4">
    <w:name w:val="heading 4"/>
    <w:basedOn w:val="Normal"/>
    <w:link w:val="Heading4Char"/>
    <w:uiPriority w:val="9"/>
    <w:rsid w:val="00924EDE"/>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4EDE"/>
    <w:rPr>
      <w:b/>
      <w:bCs/>
      <w:sz w:val="24"/>
      <w:szCs w:val="24"/>
      <w:lang w:val="en-US" w:eastAsia="en-US"/>
    </w:rPr>
  </w:style>
  <w:style w:type="paragraph" w:customStyle="1" w:styleId="izdevumi">
    <w:name w:val="izdevumi"/>
    <w:basedOn w:val="Normal"/>
    <w:qFormat/>
    <w:rsid w:val="00E44863"/>
    <w:pPr>
      <w:widowControl w:val="0"/>
      <w:spacing w:before="120"/>
      <w:ind w:left="567" w:firstLine="0"/>
    </w:pPr>
    <w:rPr>
      <w:i/>
    </w:rPr>
  </w:style>
  <w:style w:type="paragraph" w:customStyle="1" w:styleId="H1">
    <w:name w:val="H1"/>
    <w:rsid w:val="001240F1"/>
    <w:pPr>
      <w:spacing w:after="120"/>
      <w:jc w:val="center"/>
      <w:outlineLvl w:val="0"/>
    </w:pPr>
    <w:rPr>
      <w:b/>
      <w:sz w:val="44"/>
      <w:lang w:eastAsia="en-US"/>
    </w:rPr>
  </w:style>
  <w:style w:type="paragraph" w:customStyle="1" w:styleId="H2">
    <w:name w:val="H2"/>
    <w:rsid w:val="001240F1"/>
    <w:pPr>
      <w:spacing w:after="120"/>
      <w:jc w:val="center"/>
      <w:outlineLvl w:val="1"/>
    </w:pPr>
    <w:rPr>
      <w:b/>
      <w:sz w:val="36"/>
      <w:lang w:eastAsia="en-US"/>
    </w:rPr>
  </w:style>
  <w:style w:type="paragraph" w:customStyle="1" w:styleId="H3">
    <w:name w:val="H3"/>
    <w:rsid w:val="001240F1"/>
    <w:pPr>
      <w:spacing w:after="120"/>
      <w:jc w:val="center"/>
      <w:outlineLvl w:val="2"/>
    </w:pPr>
    <w:rPr>
      <w:b/>
      <w:sz w:val="32"/>
      <w:lang w:eastAsia="en-US"/>
    </w:rPr>
  </w:style>
  <w:style w:type="paragraph" w:customStyle="1" w:styleId="H4">
    <w:name w:val="H4"/>
    <w:rsid w:val="001240F1"/>
    <w:pPr>
      <w:spacing w:after="120"/>
      <w:jc w:val="center"/>
      <w:outlineLvl w:val="3"/>
    </w:pPr>
    <w:rPr>
      <w:b/>
      <w:sz w:val="28"/>
      <w:lang w:eastAsia="en-US"/>
    </w:rPr>
  </w:style>
  <w:style w:type="paragraph" w:customStyle="1" w:styleId="T">
    <w:name w:val="T"/>
    <w:basedOn w:val="Normal"/>
    <w:rsid w:val="001240F1"/>
    <w:pPr>
      <w:ind w:firstLine="0"/>
      <w:jc w:val="center"/>
    </w:pPr>
    <w:rPr>
      <w:b/>
      <w:i/>
    </w:rPr>
  </w:style>
  <w:style w:type="paragraph" w:customStyle="1" w:styleId="Z">
    <w:name w:val="Z"/>
    <w:basedOn w:val="T"/>
    <w:rsid w:val="001240F1"/>
  </w:style>
  <w:style w:type="paragraph" w:styleId="Header">
    <w:name w:val="header"/>
    <w:basedOn w:val="Normal"/>
    <w:link w:val="HeaderChar"/>
    <w:uiPriority w:val="99"/>
    <w:rsid w:val="001240F1"/>
    <w:pPr>
      <w:tabs>
        <w:tab w:val="center" w:pos="4153"/>
        <w:tab w:val="right" w:pos="8306"/>
      </w:tabs>
      <w:spacing w:after="0"/>
      <w:ind w:firstLine="0"/>
    </w:pPr>
  </w:style>
  <w:style w:type="character" w:customStyle="1" w:styleId="HeaderChar">
    <w:name w:val="Header Char"/>
    <w:link w:val="Header"/>
    <w:uiPriority w:val="99"/>
    <w:rsid w:val="00D25509"/>
    <w:rPr>
      <w:sz w:val="24"/>
      <w:lang w:eastAsia="en-US"/>
    </w:rPr>
  </w:style>
  <w:style w:type="paragraph" w:styleId="Footer">
    <w:name w:val="footer"/>
    <w:basedOn w:val="Normal"/>
    <w:link w:val="FooterChar"/>
    <w:rsid w:val="001240F1"/>
    <w:pPr>
      <w:tabs>
        <w:tab w:val="center" w:pos="4153"/>
        <w:tab w:val="right" w:pos="8306"/>
      </w:tabs>
      <w:spacing w:after="0"/>
      <w:ind w:firstLine="0"/>
    </w:pPr>
    <w:rPr>
      <w:sz w:val="20"/>
    </w:rPr>
  </w:style>
  <w:style w:type="character" w:customStyle="1" w:styleId="FooterChar">
    <w:name w:val="Footer Char"/>
    <w:link w:val="Footer"/>
    <w:rsid w:val="00D25509"/>
    <w:rPr>
      <w:lang w:eastAsia="en-US"/>
    </w:rPr>
  </w:style>
  <w:style w:type="character" w:styleId="PageNumber">
    <w:name w:val="page number"/>
    <w:basedOn w:val="DefaultParagraphFont"/>
    <w:semiHidden/>
    <w:rsid w:val="001240F1"/>
  </w:style>
  <w:style w:type="paragraph" w:customStyle="1" w:styleId="programmas">
    <w:name w:val="programmas"/>
    <w:basedOn w:val="Normal"/>
    <w:qFormat/>
    <w:rsid w:val="00E44863"/>
    <w:pPr>
      <w:widowControl w:val="0"/>
      <w:spacing w:before="240"/>
      <w:ind w:firstLine="0"/>
      <w:jc w:val="center"/>
    </w:pPr>
    <w:rPr>
      <w:b/>
    </w:rPr>
  </w:style>
  <w:style w:type="paragraph" w:customStyle="1" w:styleId="samazpaliel">
    <w:name w:val="samaz_paliel"/>
    <w:basedOn w:val="Normal"/>
    <w:qFormat/>
    <w:rsid w:val="00E44863"/>
    <w:pPr>
      <w:widowControl w:val="0"/>
      <w:ind w:firstLine="0"/>
    </w:pPr>
    <w:rPr>
      <w:b/>
      <w:u w:val="single"/>
    </w:rPr>
  </w:style>
  <w:style w:type="paragraph" w:customStyle="1" w:styleId="tabteksts">
    <w:name w:val="tab_teksts"/>
    <w:basedOn w:val="Normal"/>
    <w:qFormat/>
    <w:rsid w:val="00E44863"/>
    <w:pPr>
      <w:spacing w:after="0"/>
      <w:ind w:firstLine="0"/>
      <w:jc w:val="left"/>
    </w:pPr>
    <w:rPr>
      <w:sz w:val="18"/>
    </w:rPr>
  </w:style>
  <w:style w:type="paragraph" w:styleId="FootnoteText">
    <w:name w:val="footnote text"/>
    <w:basedOn w:val="Normal"/>
    <w:link w:val="FootnoteTextChar"/>
    <w:semiHidden/>
    <w:rsid w:val="001240F1"/>
    <w:pPr>
      <w:spacing w:after="0"/>
      <w:ind w:firstLine="0"/>
      <w:jc w:val="left"/>
    </w:pPr>
  </w:style>
  <w:style w:type="character" w:customStyle="1" w:styleId="FootnoteTextChar">
    <w:name w:val="Footnote Text Char"/>
    <w:link w:val="FootnoteText"/>
    <w:semiHidden/>
    <w:rsid w:val="00924EDE"/>
    <w:rPr>
      <w:sz w:val="24"/>
      <w:lang w:eastAsia="en-US"/>
    </w:rPr>
  </w:style>
  <w:style w:type="paragraph" w:styleId="BalloonText">
    <w:name w:val="Balloon Text"/>
    <w:basedOn w:val="Normal"/>
    <w:link w:val="BalloonTextChar"/>
    <w:uiPriority w:val="99"/>
    <w:semiHidden/>
    <w:rsid w:val="001240F1"/>
    <w:rPr>
      <w:rFonts w:ascii="Tahoma" w:hAnsi="Tahoma"/>
      <w:sz w:val="16"/>
      <w:szCs w:val="16"/>
    </w:rPr>
  </w:style>
  <w:style w:type="character" w:customStyle="1" w:styleId="BalloonTextChar">
    <w:name w:val="Balloon Text Char"/>
    <w:link w:val="BalloonText"/>
    <w:uiPriority w:val="99"/>
    <w:semiHidden/>
    <w:rsid w:val="00D25509"/>
    <w:rPr>
      <w:rFonts w:ascii="Tahoma" w:hAnsi="Tahoma" w:cs="Tahoma"/>
      <w:sz w:val="16"/>
      <w:szCs w:val="16"/>
      <w:lang w:eastAsia="en-US"/>
    </w:rPr>
  </w:style>
  <w:style w:type="paragraph" w:customStyle="1" w:styleId="Balonteksts1">
    <w:name w:val="Balonteksts1"/>
    <w:basedOn w:val="Normal"/>
    <w:semiHidden/>
    <w:rsid w:val="001240F1"/>
    <w:rPr>
      <w:rFonts w:ascii="Tahoma" w:hAnsi="Tahoma" w:cs="Tahoma"/>
      <w:sz w:val="16"/>
      <w:szCs w:val="16"/>
    </w:rPr>
  </w:style>
  <w:style w:type="paragraph" w:customStyle="1" w:styleId="Tabuluvirsraksti">
    <w:name w:val="Tabulu_virsraksti"/>
    <w:basedOn w:val="Normal"/>
    <w:qFormat/>
    <w:rsid w:val="0000724E"/>
    <w:pPr>
      <w:ind w:firstLine="0"/>
      <w:jc w:val="center"/>
    </w:pPr>
  </w:style>
  <w:style w:type="paragraph" w:customStyle="1" w:styleId="Default">
    <w:name w:val="Default"/>
    <w:rsid w:val="00BC545A"/>
    <w:pPr>
      <w:autoSpaceDE w:val="0"/>
      <w:autoSpaceDN w:val="0"/>
      <w:adjustRightInd w:val="0"/>
    </w:pPr>
    <w:rPr>
      <w:color w:val="000000"/>
      <w:sz w:val="24"/>
      <w:szCs w:val="24"/>
    </w:rPr>
  </w:style>
  <w:style w:type="paragraph" w:customStyle="1" w:styleId="cipari">
    <w:name w:val="cipari"/>
    <w:basedOn w:val="Normal"/>
    <w:link w:val="cipariChar"/>
    <w:qFormat/>
    <w:rsid w:val="00665875"/>
    <w:pPr>
      <w:ind w:left="720" w:hanging="720"/>
      <w:contextualSpacing/>
    </w:pPr>
    <w:rPr>
      <w:bCs/>
    </w:rPr>
  </w:style>
  <w:style w:type="character" w:customStyle="1" w:styleId="cipariChar">
    <w:name w:val="cipari Char"/>
    <w:link w:val="cipari"/>
    <w:locked/>
    <w:rsid w:val="00665875"/>
    <w:rPr>
      <w:bCs/>
      <w:sz w:val="24"/>
      <w:lang w:eastAsia="en-US"/>
    </w:rPr>
  </w:style>
  <w:style w:type="paragraph" w:customStyle="1" w:styleId="Funkcijasbold">
    <w:name w:val="Funkcijas_bold"/>
    <w:basedOn w:val="funkcijas"/>
    <w:uiPriority w:val="99"/>
    <w:qFormat/>
    <w:rsid w:val="00E44863"/>
    <w:rPr>
      <w:b/>
      <w:u w:val="none"/>
    </w:rPr>
  </w:style>
  <w:style w:type="paragraph" w:customStyle="1" w:styleId="funkcijas">
    <w:name w:val="funkcijas"/>
    <w:basedOn w:val="Normal"/>
    <w:qFormat/>
    <w:rsid w:val="00E44863"/>
    <w:pPr>
      <w:ind w:firstLine="0"/>
    </w:pPr>
    <w:rPr>
      <w:bCs/>
      <w:u w:val="single"/>
    </w:rPr>
  </w:style>
  <w:style w:type="paragraph" w:customStyle="1" w:styleId="paraksti">
    <w:name w:val="paraksti"/>
    <w:basedOn w:val="Normal"/>
    <w:qFormat/>
    <w:rsid w:val="00E44863"/>
    <w:pPr>
      <w:ind w:firstLine="0"/>
    </w:pPr>
    <w:rPr>
      <w:i/>
      <w:sz w:val="18"/>
    </w:rPr>
  </w:style>
  <w:style w:type="paragraph" w:customStyle="1" w:styleId="cipariiturp">
    <w:name w:val="ciparii_turp"/>
    <w:basedOn w:val="cipari"/>
    <w:qFormat/>
    <w:rsid w:val="00E44863"/>
    <w:pPr>
      <w:ind w:left="709" w:firstLine="0"/>
    </w:pPr>
    <w:rPr>
      <w:bCs w:val="0"/>
    </w:rPr>
  </w:style>
  <w:style w:type="table" w:styleId="TableGrid">
    <w:name w:val="Table Grid"/>
    <w:basedOn w:val="TableNormal"/>
    <w:uiPriority w:val="59"/>
    <w:rsid w:val="00924ED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924EDE"/>
    <w:rPr>
      <w:sz w:val="16"/>
      <w:szCs w:val="16"/>
    </w:rPr>
  </w:style>
  <w:style w:type="paragraph" w:styleId="CommentText">
    <w:name w:val="annotation text"/>
    <w:basedOn w:val="Normal"/>
    <w:link w:val="CommentTextChar"/>
    <w:uiPriority w:val="99"/>
    <w:semiHidden/>
    <w:unhideWhenUsed/>
    <w:rsid w:val="00924EDE"/>
    <w:pPr>
      <w:spacing w:after="200" w:line="276" w:lineRule="auto"/>
      <w:ind w:firstLine="0"/>
      <w:jc w:val="left"/>
    </w:pPr>
    <w:rPr>
      <w:rFonts w:ascii="Calibri" w:eastAsia="Calibri" w:hAnsi="Calibri"/>
      <w:sz w:val="20"/>
      <w:lang w:val="en-US"/>
    </w:rPr>
  </w:style>
  <w:style w:type="character" w:customStyle="1" w:styleId="CommentTextChar">
    <w:name w:val="Comment Text Char"/>
    <w:basedOn w:val="DefaultParagraphFont"/>
    <w:link w:val="CommentText"/>
    <w:uiPriority w:val="99"/>
    <w:semiHidden/>
    <w:rsid w:val="00924EDE"/>
    <w:rPr>
      <w:rFonts w:ascii="Calibri" w:eastAsia="Calibri" w:hAnsi="Calibri"/>
      <w:lang w:val="en-US" w:eastAsia="en-US"/>
    </w:rPr>
  </w:style>
  <w:style w:type="paragraph" w:styleId="CommentSubject">
    <w:name w:val="annotation subject"/>
    <w:basedOn w:val="CommentText"/>
    <w:next w:val="CommentText"/>
    <w:link w:val="CommentSubjectChar"/>
    <w:uiPriority w:val="99"/>
    <w:semiHidden/>
    <w:unhideWhenUsed/>
    <w:rsid w:val="00924EDE"/>
    <w:rPr>
      <w:b/>
      <w:bCs/>
    </w:rPr>
  </w:style>
  <w:style w:type="character" w:customStyle="1" w:styleId="CommentSubjectChar">
    <w:name w:val="Comment Subject Char"/>
    <w:basedOn w:val="CommentTextChar"/>
    <w:link w:val="CommentSubject"/>
    <w:uiPriority w:val="99"/>
    <w:semiHidden/>
    <w:rsid w:val="00924EDE"/>
    <w:rPr>
      <w:rFonts w:ascii="Calibri" w:eastAsia="Calibri" w:hAnsi="Calibri"/>
      <w:b/>
      <w:bCs/>
      <w:lang w:val="en-US" w:eastAsia="en-US"/>
    </w:rPr>
  </w:style>
  <w:style w:type="character" w:styleId="FootnoteReference">
    <w:name w:val="footnote reference"/>
    <w:uiPriority w:val="99"/>
    <w:semiHidden/>
    <w:unhideWhenUsed/>
    <w:rsid w:val="00924EDE"/>
    <w:rPr>
      <w:vertAlign w:val="superscript"/>
    </w:rPr>
  </w:style>
  <w:style w:type="paragraph" w:styleId="BodyTextIndent">
    <w:name w:val="Body Text Indent"/>
    <w:basedOn w:val="Normal"/>
    <w:link w:val="BodyTextIndentChar"/>
    <w:uiPriority w:val="99"/>
    <w:semiHidden/>
    <w:unhideWhenUsed/>
    <w:rsid w:val="00924EDE"/>
    <w:pPr>
      <w:spacing w:line="276" w:lineRule="auto"/>
      <w:ind w:left="283" w:firstLine="0"/>
      <w:jc w:val="left"/>
    </w:pPr>
    <w:rPr>
      <w:rFonts w:ascii="Calibri" w:eastAsia="Calibri" w:hAnsi="Calibri"/>
      <w:sz w:val="22"/>
      <w:szCs w:val="22"/>
      <w:lang w:val="en-US"/>
    </w:rPr>
  </w:style>
  <w:style w:type="character" w:customStyle="1" w:styleId="BodyTextIndentChar">
    <w:name w:val="Body Text Indent Char"/>
    <w:basedOn w:val="DefaultParagraphFont"/>
    <w:link w:val="BodyTextIndent"/>
    <w:uiPriority w:val="99"/>
    <w:semiHidden/>
    <w:rsid w:val="00924EDE"/>
    <w:rPr>
      <w:rFonts w:ascii="Calibri" w:eastAsia="Calibri" w:hAnsi="Calibri"/>
      <w:sz w:val="22"/>
      <w:szCs w:val="22"/>
      <w:lang w:val="en-US" w:eastAsia="en-US"/>
    </w:rPr>
  </w:style>
  <w:style w:type="character" w:styleId="Hyperlink">
    <w:name w:val="Hyperlink"/>
    <w:uiPriority w:val="99"/>
    <w:semiHidden/>
    <w:unhideWhenUsed/>
    <w:rsid w:val="00924EDE"/>
    <w:rPr>
      <w:color w:val="0000FF"/>
      <w:u w:val="single"/>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
    <w:basedOn w:val="Normal"/>
    <w:link w:val="ListParagraphChar"/>
    <w:uiPriority w:val="34"/>
    <w:qFormat/>
    <w:rsid w:val="004E7703"/>
    <w:pPr>
      <w:ind w:left="720"/>
      <w:contextualSpacing/>
    </w:pPr>
  </w:style>
  <w:style w:type="paragraph" w:styleId="NormalWeb">
    <w:name w:val="Normal (Web)"/>
    <w:basedOn w:val="Normal"/>
    <w:uiPriority w:val="99"/>
    <w:semiHidden/>
    <w:unhideWhenUsed/>
    <w:rsid w:val="00347C12"/>
    <w:pPr>
      <w:spacing w:before="100" w:beforeAutospacing="1" w:after="100" w:afterAutospacing="1"/>
      <w:ind w:firstLine="0"/>
      <w:jc w:val="left"/>
    </w:pPr>
    <w:rPr>
      <w:rFonts w:eastAsiaTheme="minorEastAsia"/>
      <w:szCs w:val="24"/>
      <w:lang w:eastAsia="lv-LV"/>
    </w:rPr>
  </w:style>
  <w:style w:type="character" w:styleId="FollowedHyperlink">
    <w:name w:val="FollowedHyperlink"/>
    <w:basedOn w:val="DefaultParagraphFont"/>
    <w:uiPriority w:val="99"/>
    <w:semiHidden/>
    <w:unhideWhenUsed/>
    <w:rsid w:val="00C16620"/>
    <w:rPr>
      <w:color w:val="954F72"/>
      <w:u w:val="single"/>
    </w:rPr>
  </w:style>
  <w:style w:type="paragraph" w:customStyle="1" w:styleId="msonormal0">
    <w:name w:val="msonormal"/>
    <w:basedOn w:val="Normal"/>
    <w:rsid w:val="00C16620"/>
    <w:pPr>
      <w:spacing w:before="100" w:beforeAutospacing="1" w:after="100" w:afterAutospacing="1"/>
      <w:ind w:firstLine="0"/>
      <w:jc w:val="left"/>
    </w:pPr>
    <w:rPr>
      <w:szCs w:val="24"/>
      <w:lang w:eastAsia="lv-LV"/>
    </w:rPr>
  </w:style>
  <w:style w:type="paragraph" w:customStyle="1" w:styleId="xl66">
    <w:name w:val="xl6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rsid w:val="00C16620"/>
    <w:pPr>
      <w:spacing w:before="100" w:beforeAutospacing="1" w:after="100" w:afterAutospacing="1"/>
      <w:ind w:firstLine="0"/>
      <w:jc w:val="left"/>
    </w:pPr>
    <w:rPr>
      <w:szCs w:val="24"/>
      <w:lang w:eastAsia="lv-LV"/>
    </w:rPr>
  </w:style>
  <w:style w:type="paragraph" w:customStyle="1" w:styleId="xl68">
    <w:name w:val="xl6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69">
    <w:name w:val="xl6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71">
    <w:name w:val="xl7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2">
    <w:name w:val="xl72"/>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3">
    <w:name w:val="xl73"/>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76">
    <w:name w:val="xl76"/>
    <w:basedOn w:val="Normal"/>
    <w:rsid w:val="00C16620"/>
    <w:pPr>
      <w:spacing w:before="100" w:beforeAutospacing="1" w:after="100" w:afterAutospacing="1"/>
      <w:ind w:firstLine="0"/>
      <w:jc w:val="left"/>
    </w:pPr>
    <w:rPr>
      <w:szCs w:val="24"/>
      <w:lang w:eastAsia="lv-LV"/>
    </w:rPr>
  </w:style>
  <w:style w:type="paragraph" w:customStyle="1" w:styleId="xl77">
    <w:name w:val="xl77"/>
    <w:basedOn w:val="Normal"/>
    <w:rsid w:val="00C16620"/>
    <w:pPr>
      <w:spacing w:before="100" w:beforeAutospacing="1" w:after="100" w:afterAutospacing="1"/>
      <w:ind w:firstLine="0"/>
      <w:jc w:val="center"/>
      <w:textAlignment w:val="center"/>
    </w:pPr>
    <w:rPr>
      <w:sz w:val="22"/>
      <w:szCs w:val="22"/>
      <w:lang w:eastAsia="lv-LV"/>
    </w:rPr>
  </w:style>
  <w:style w:type="paragraph" w:customStyle="1" w:styleId="xl78">
    <w:name w:val="xl7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79">
    <w:name w:val="xl79"/>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80">
    <w:name w:val="xl80"/>
    <w:basedOn w:val="Normal"/>
    <w:rsid w:val="00C16620"/>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81">
    <w:name w:val="xl81"/>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82">
    <w:name w:val="xl8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3">
    <w:name w:val="xl8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4">
    <w:name w:val="xl8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5">
    <w:name w:val="xl85"/>
    <w:basedOn w:val="Normal"/>
    <w:rsid w:val="00C1662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86">
    <w:name w:val="xl86"/>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9">
    <w:name w:val="xl89"/>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0">
    <w:name w:val="xl9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C16620"/>
    <w:pPr>
      <w:pBdr>
        <w:top w:val="single" w:sz="4" w:space="0" w:color="auto"/>
        <w:bottom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92">
    <w:name w:val="xl9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93">
    <w:name w:val="xl93"/>
    <w:basedOn w:val="Normal"/>
    <w:rsid w:val="00C1662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6">
    <w:name w:val="xl9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97">
    <w:name w:val="xl97"/>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98">
    <w:name w:val="xl9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00">
    <w:name w:val="xl10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1">
    <w:name w:val="xl10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104">
    <w:name w:val="xl104"/>
    <w:basedOn w:val="Normal"/>
    <w:rsid w:val="00C1662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5">
    <w:name w:val="xl10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8">
    <w:name w:val="xl10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9">
    <w:name w:val="xl10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113">
    <w:name w:val="xl113"/>
    <w:basedOn w:val="Normal"/>
    <w:rsid w:val="00C1662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115">
    <w:name w:val="xl11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sz w:val="22"/>
      <w:szCs w:val="22"/>
      <w:lang w:eastAsia="lv-LV"/>
    </w:rPr>
  </w:style>
  <w:style w:type="paragraph" w:customStyle="1" w:styleId="xl116">
    <w:name w:val="xl116"/>
    <w:basedOn w:val="Normal"/>
    <w:rsid w:val="00C16620"/>
    <w:pPr>
      <w:pBdr>
        <w:top w:val="single" w:sz="4" w:space="0" w:color="auto"/>
        <w:left w:val="single" w:sz="4" w:space="0" w:color="auto"/>
        <w:bottom w:val="single" w:sz="4" w:space="0" w:color="auto"/>
      </w:pBdr>
      <w:shd w:val="clear" w:color="000000" w:fill="70AD47"/>
      <w:spacing w:before="100" w:beforeAutospacing="1" w:after="100" w:afterAutospacing="1"/>
      <w:ind w:firstLine="0"/>
      <w:jc w:val="center"/>
      <w:textAlignment w:val="center"/>
    </w:pPr>
    <w:rPr>
      <w:sz w:val="22"/>
      <w:szCs w:val="22"/>
      <w:lang w:eastAsia="lv-LV"/>
    </w:rPr>
  </w:style>
  <w:style w:type="paragraph" w:customStyle="1" w:styleId="xl117">
    <w:name w:val="xl117"/>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szCs w:val="24"/>
      <w:lang w:eastAsia="lv-LV"/>
    </w:rPr>
  </w:style>
  <w:style w:type="paragraph" w:customStyle="1" w:styleId="xl118">
    <w:name w:val="xl11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0">
    <w:name w:val="xl120"/>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2">
    <w:name w:val="xl12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3">
    <w:name w:val="xl12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4">
    <w:name w:val="xl12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5">
    <w:name w:val="xl12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6">
    <w:name w:val="xl12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7">
    <w:name w:val="xl127"/>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8">
    <w:name w:val="xl128"/>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9">
    <w:name w:val="xl129"/>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0">
    <w:name w:val="xl130"/>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1">
    <w:name w:val="xl131"/>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2">
    <w:name w:val="xl13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3">
    <w:name w:val="xl13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4">
    <w:name w:val="xl134"/>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5">
    <w:name w:val="xl13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6">
    <w:name w:val="xl13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7">
    <w:name w:val="xl13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8">
    <w:name w:val="xl13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9">
    <w:name w:val="xl139"/>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rsid w:val="00470B76"/>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0941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3276">
      <w:bodyDiv w:val="1"/>
      <w:marLeft w:val="0"/>
      <w:marRight w:val="0"/>
      <w:marTop w:val="0"/>
      <w:marBottom w:val="0"/>
      <w:divBdr>
        <w:top w:val="none" w:sz="0" w:space="0" w:color="auto"/>
        <w:left w:val="none" w:sz="0" w:space="0" w:color="auto"/>
        <w:bottom w:val="none" w:sz="0" w:space="0" w:color="auto"/>
        <w:right w:val="none" w:sz="0" w:space="0" w:color="auto"/>
      </w:divBdr>
    </w:div>
    <w:div w:id="67505966">
      <w:bodyDiv w:val="1"/>
      <w:marLeft w:val="0"/>
      <w:marRight w:val="0"/>
      <w:marTop w:val="0"/>
      <w:marBottom w:val="0"/>
      <w:divBdr>
        <w:top w:val="none" w:sz="0" w:space="0" w:color="auto"/>
        <w:left w:val="none" w:sz="0" w:space="0" w:color="auto"/>
        <w:bottom w:val="none" w:sz="0" w:space="0" w:color="auto"/>
        <w:right w:val="none" w:sz="0" w:space="0" w:color="auto"/>
      </w:divBdr>
    </w:div>
    <w:div w:id="117768637">
      <w:bodyDiv w:val="1"/>
      <w:marLeft w:val="0"/>
      <w:marRight w:val="0"/>
      <w:marTop w:val="0"/>
      <w:marBottom w:val="0"/>
      <w:divBdr>
        <w:top w:val="none" w:sz="0" w:space="0" w:color="auto"/>
        <w:left w:val="none" w:sz="0" w:space="0" w:color="auto"/>
        <w:bottom w:val="none" w:sz="0" w:space="0" w:color="auto"/>
        <w:right w:val="none" w:sz="0" w:space="0" w:color="auto"/>
      </w:divBdr>
    </w:div>
    <w:div w:id="125970095">
      <w:bodyDiv w:val="1"/>
      <w:marLeft w:val="0"/>
      <w:marRight w:val="0"/>
      <w:marTop w:val="0"/>
      <w:marBottom w:val="0"/>
      <w:divBdr>
        <w:top w:val="none" w:sz="0" w:space="0" w:color="auto"/>
        <w:left w:val="none" w:sz="0" w:space="0" w:color="auto"/>
        <w:bottom w:val="none" w:sz="0" w:space="0" w:color="auto"/>
        <w:right w:val="none" w:sz="0" w:space="0" w:color="auto"/>
      </w:divBdr>
    </w:div>
    <w:div w:id="248124726">
      <w:bodyDiv w:val="1"/>
      <w:marLeft w:val="0"/>
      <w:marRight w:val="0"/>
      <w:marTop w:val="0"/>
      <w:marBottom w:val="0"/>
      <w:divBdr>
        <w:top w:val="none" w:sz="0" w:space="0" w:color="auto"/>
        <w:left w:val="none" w:sz="0" w:space="0" w:color="auto"/>
        <w:bottom w:val="none" w:sz="0" w:space="0" w:color="auto"/>
        <w:right w:val="none" w:sz="0" w:space="0" w:color="auto"/>
      </w:divBdr>
    </w:div>
    <w:div w:id="332492186">
      <w:bodyDiv w:val="1"/>
      <w:marLeft w:val="0"/>
      <w:marRight w:val="0"/>
      <w:marTop w:val="0"/>
      <w:marBottom w:val="0"/>
      <w:divBdr>
        <w:top w:val="none" w:sz="0" w:space="0" w:color="auto"/>
        <w:left w:val="none" w:sz="0" w:space="0" w:color="auto"/>
        <w:bottom w:val="none" w:sz="0" w:space="0" w:color="auto"/>
        <w:right w:val="none" w:sz="0" w:space="0" w:color="auto"/>
      </w:divBdr>
    </w:div>
    <w:div w:id="386102501">
      <w:bodyDiv w:val="1"/>
      <w:marLeft w:val="0"/>
      <w:marRight w:val="0"/>
      <w:marTop w:val="0"/>
      <w:marBottom w:val="0"/>
      <w:divBdr>
        <w:top w:val="none" w:sz="0" w:space="0" w:color="auto"/>
        <w:left w:val="none" w:sz="0" w:space="0" w:color="auto"/>
        <w:bottom w:val="none" w:sz="0" w:space="0" w:color="auto"/>
        <w:right w:val="none" w:sz="0" w:space="0" w:color="auto"/>
      </w:divBdr>
    </w:div>
    <w:div w:id="423301393">
      <w:bodyDiv w:val="1"/>
      <w:marLeft w:val="0"/>
      <w:marRight w:val="0"/>
      <w:marTop w:val="0"/>
      <w:marBottom w:val="0"/>
      <w:divBdr>
        <w:top w:val="none" w:sz="0" w:space="0" w:color="auto"/>
        <w:left w:val="none" w:sz="0" w:space="0" w:color="auto"/>
        <w:bottom w:val="none" w:sz="0" w:space="0" w:color="auto"/>
        <w:right w:val="none" w:sz="0" w:space="0" w:color="auto"/>
      </w:divBdr>
    </w:div>
    <w:div w:id="522399507">
      <w:bodyDiv w:val="1"/>
      <w:marLeft w:val="0"/>
      <w:marRight w:val="0"/>
      <w:marTop w:val="0"/>
      <w:marBottom w:val="0"/>
      <w:divBdr>
        <w:top w:val="none" w:sz="0" w:space="0" w:color="auto"/>
        <w:left w:val="none" w:sz="0" w:space="0" w:color="auto"/>
        <w:bottom w:val="none" w:sz="0" w:space="0" w:color="auto"/>
        <w:right w:val="none" w:sz="0" w:space="0" w:color="auto"/>
      </w:divBdr>
    </w:div>
    <w:div w:id="596452129">
      <w:bodyDiv w:val="1"/>
      <w:marLeft w:val="0"/>
      <w:marRight w:val="0"/>
      <w:marTop w:val="0"/>
      <w:marBottom w:val="0"/>
      <w:divBdr>
        <w:top w:val="none" w:sz="0" w:space="0" w:color="auto"/>
        <w:left w:val="none" w:sz="0" w:space="0" w:color="auto"/>
        <w:bottom w:val="none" w:sz="0" w:space="0" w:color="auto"/>
        <w:right w:val="none" w:sz="0" w:space="0" w:color="auto"/>
      </w:divBdr>
    </w:div>
    <w:div w:id="634407035">
      <w:bodyDiv w:val="1"/>
      <w:marLeft w:val="0"/>
      <w:marRight w:val="0"/>
      <w:marTop w:val="0"/>
      <w:marBottom w:val="0"/>
      <w:divBdr>
        <w:top w:val="none" w:sz="0" w:space="0" w:color="auto"/>
        <w:left w:val="none" w:sz="0" w:space="0" w:color="auto"/>
        <w:bottom w:val="none" w:sz="0" w:space="0" w:color="auto"/>
        <w:right w:val="none" w:sz="0" w:space="0" w:color="auto"/>
      </w:divBdr>
    </w:div>
    <w:div w:id="656686995">
      <w:bodyDiv w:val="1"/>
      <w:marLeft w:val="0"/>
      <w:marRight w:val="0"/>
      <w:marTop w:val="0"/>
      <w:marBottom w:val="0"/>
      <w:divBdr>
        <w:top w:val="none" w:sz="0" w:space="0" w:color="auto"/>
        <w:left w:val="none" w:sz="0" w:space="0" w:color="auto"/>
        <w:bottom w:val="none" w:sz="0" w:space="0" w:color="auto"/>
        <w:right w:val="none" w:sz="0" w:space="0" w:color="auto"/>
      </w:divBdr>
    </w:div>
    <w:div w:id="763496809">
      <w:bodyDiv w:val="1"/>
      <w:marLeft w:val="0"/>
      <w:marRight w:val="0"/>
      <w:marTop w:val="0"/>
      <w:marBottom w:val="0"/>
      <w:divBdr>
        <w:top w:val="none" w:sz="0" w:space="0" w:color="auto"/>
        <w:left w:val="none" w:sz="0" w:space="0" w:color="auto"/>
        <w:bottom w:val="none" w:sz="0" w:space="0" w:color="auto"/>
        <w:right w:val="none" w:sz="0" w:space="0" w:color="auto"/>
      </w:divBdr>
    </w:div>
    <w:div w:id="766774578">
      <w:bodyDiv w:val="1"/>
      <w:marLeft w:val="0"/>
      <w:marRight w:val="0"/>
      <w:marTop w:val="0"/>
      <w:marBottom w:val="0"/>
      <w:divBdr>
        <w:top w:val="none" w:sz="0" w:space="0" w:color="auto"/>
        <w:left w:val="none" w:sz="0" w:space="0" w:color="auto"/>
        <w:bottom w:val="none" w:sz="0" w:space="0" w:color="auto"/>
        <w:right w:val="none" w:sz="0" w:space="0" w:color="auto"/>
      </w:divBdr>
    </w:div>
    <w:div w:id="844592865">
      <w:bodyDiv w:val="1"/>
      <w:marLeft w:val="0"/>
      <w:marRight w:val="0"/>
      <w:marTop w:val="0"/>
      <w:marBottom w:val="0"/>
      <w:divBdr>
        <w:top w:val="none" w:sz="0" w:space="0" w:color="auto"/>
        <w:left w:val="none" w:sz="0" w:space="0" w:color="auto"/>
        <w:bottom w:val="none" w:sz="0" w:space="0" w:color="auto"/>
        <w:right w:val="none" w:sz="0" w:space="0" w:color="auto"/>
      </w:divBdr>
    </w:div>
    <w:div w:id="845558174">
      <w:bodyDiv w:val="1"/>
      <w:marLeft w:val="0"/>
      <w:marRight w:val="0"/>
      <w:marTop w:val="0"/>
      <w:marBottom w:val="0"/>
      <w:divBdr>
        <w:top w:val="none" w:sz="0" w:space="0" w:color="auto"/>
        <w:left w:val="none" w:sz="0" w:space="0" w:color="auto"/>
        <w:bottom w:val="none" w:sz="0" w:space="0" w:color="auto"/>
        <w:right w:val="none" w:sz="0" w:space="0" w:color="auto"/>
      </w:divBdr>
    </w:div>
    <w:div w:id="879051968">
      <w:bodyDiv w:val="1"/>
      <w:marLeft w:val="0"/>
      <w:marRight w:val="0"/>
      <w:marTop w:val="0"/>
      <w:marBottom w:val="0"/>
      <w:divBdr>
        <w:top w:val="none" w:sz="0" w:space="0" w:color="auto"/>
        <w:left w:val="none" w:sz="0" w:space="0" w:color="auto"/>
        <w:bottom w:val="none" w:sz="0" w:space="0" w:color="auto"/>
        <w:right w:val="none" w:sz="0" w:space="0" w:color="auto"/>
      </w:divBdr>
    </w:div>
    <w:div w:id="998115924">
      <w:bodyDiv w:val="1"/>
      <w:marLeft w:val="0"/>
      <w:marRight w:val="0"/>
      <w:marTop w:val="0"/>
      <w:marBottom w:val="0"/>
      <w:divBdr>
        <w:top w:val="none" w:sz="0" w:space="0" w:color="auto"/>
        <w:left w:val="none" w:sz="0" w:space="0" w:color="auto"/>
        <w:bottom w:val="none" w:sz="0" w:space="0" w:color="auto"/>
        <w:right w:val="none" w:sz="0" w:space="0" w:color="auto"/>
      </w:divBdr>
    </w:div>
    <w:div w:id="1051225954">
      <w:bodyDiv w:val="1"/>
      <w:marLeft w:val="0"/>
      <w:marRight w:val="0"/>
      <w:marTop w:val="0"/>
      <w:marBottom w:val="0"/>
      <w:divBdr>
        <w:top w:val="none" w:sz="0" w:space="0" w:color="auto"/>
        <w:left w:val="none" w:sz="0" w:space="0" w:color="auto"/>
        <w:bottom w:val="none" w:sz="0" w:space="0" w:color="auto"/>
        <w:right w:val="none" w:sz="0" w:space="0" w:color="auto"/>
      </w:divBdr>
    </w:div>
    <w:div w:id="1059671929">
      <w:bodyDiv w:val="1"/>
      <w:marLeft w:val="0"/>
      <w:marRight w:val="0"/>
      <w:marTop w:val="0"/>
      <w:marBottom w:val="0"/>
      <w:divBdr>
        <w:top w:val="none" w:sz="0" w:space="0" w:color="auto"/>
        <w:left w:val="none" w:sz="0" w:space="0" w:color="auto"/>
        <w:bottom w:val="none" w:sz="0" w:space="0" w:color="auto"/>
        <w:right w:val="none" w:sz="0" w:space="0" w:color="auto"/>
      </w:divBdr>
    </w:div>
    <w:div w:id="1070544071">
      <w:bodyDiv w:val="1"/>
      <w:marLeft w:val="0"/>
      <w:marRight w:val="0"/>
      <w:marTop w:val="0"/>
      <w:marBottom w:val="0"/>
      <w:divBdr>
        <w:top w:val="none" w:sz="0" w:space="0" w:color="auto"/>
        <w:left w:val="none" w:sz="0" w:space="0" w:color="auto"/>
        <w:bottom w:val="none" w:sz="0" w:space="0" w:color="auto"/>
        <w:right w:val="none" w:sz="0" w:space="0" w:color="auto"/>
      </w:divBdr>
    </w:div>
    <w:div w:id="1072463251">
      <w:bodyDiv w:val="1"/>
      <w:marLeft w:val="0"/>
      <w:marRight w:val="0"/>
      <w:marTop w:val="0"/>
      <w:marBottom w:val="0"/>
      <w:divBdr>
        <w:top w:val="none" w:sz="0" w:space="0" w:color="auto"/>
        <w:left w:val="none" w:sz="0" w:space="0" w:color="auto"/>
        <w:bottom w:val="none" w:sz="0" w:space="0" w:color="auto"/>
        <w:right w:val="none" w:sz="0" w:space="0" w:color="auto"/>
      </w:divBdr>
    </w:div>
    <w:div w:id="1082531478">
      <w:bodyDiv w:val="1"/>
      <w:marLeft w:val="0"/>
      <w:marRight w:val="0"/>
      <w:marTop w:val="0"/>
      <w:marBottom w:val="0"/>
      <w:divBdr>
        <w:top w:val="none" w:sz="0" w:space="0" w:color="auto"/>
        <w:left w:val="none" w:sz="0" w:space="0" w:color="auto"/>
        <w:bottom w:val="none" w:sz="0" w:space="0" w:color="auto"/>
        <w:right w:val="none" w:sz="0" w:space="0" w:color="auto"/>
      </w:divBdr>
    </w:div>
    <w:div w:id="1188525030">
      <w:bodyDiv w:val="1"/>
      <w:marLeft w:val="0"/>
      <w:marRight w:val="0"/>
      <w:marTop w:val="0"/>
      <w:marBottom w:val="0"/>
      <w:divBdr>
        <w:top w:val="none" w:sz="0" w:space="0" w:color="auto"/>
        <w:left w:val="none" w:sz="0" w:space="0" w:color="auto"/>
        <w:bottom w:val="none" w:sz="0" w:space="0" w:color="auto"/>
        <w:right w:val="none" w:sz="0" w:space="0" w:color="auto"/>
      </w:divBdr>
    </w:div>
    <w:div w:id="1340159371">
      <w:bodyDiv w:val="1"/>
      <w:marLeft w:val="0"/>
      <w:marRight w:val="0"/>
      <w:marTop w:val="0"/>
      <w:marBottom w:val="0"/>
      <w:divBdr>
        <w:top w:val="none" w:sz="0" w:space="0" w:color="auto"/>
        <w:left w:val="none" w:sz="0" w:space="0" w:color="auto"/>
        <w:bottom w:val="none" w:sz="0" w:space="0" w:color="auto"/>
        <w:right w:val="none" w:sz="0" w:space="0" w:color="auto"/>
      </w:divBdr>
    </w:div>
    <w:div w:id="1386679724">
      <w:bodyDiv w:val="1"/>
      <w:marLeft w:val="0"/>
      <w:marRight w:val="0"/>
      <w:marTop w:val="0"/>
      <w:marBottom w:val="0"/>
      <w:divBdr>
        <w:top w:val="none" w:sz="0" w:space="0" w:color="auto"/>
        <w:left w:val="none" w:sz="0" w:space="0" w:color="auto"/>
        <w:bottom w:val="none" w:sz="0" w:space="0" w:color="auto"/>
        <w:right w:val="none" w:sz="0" w:space="0" w:color="auto"/>
      </w:divBdr>
    </w:div>
    <w:div w:id="1428891761">
      <w:bodyDiv w:val="1"/>
      <w:marLeft w:val="0"/>
      <w:marRight w:val="0"/>
      <w:marTop w:val="0"/>
      <w:marBottom w:val="0"/>
      <w:divBdr>
        <w:top w:val="none" w:sz="0" w:space="0" w:color="auto"/>
        <w:left w:val="none" w:sz="0" w:space="0" w:color="auto"/>
        <w:bottom w:val="none" w:sz="0" w:space="0" w:color="auto"/>
        <w:right w:val="none" w:sz="0" w:space="0" w:color="auto"/>
      </w:divBdr>
    </w:div>
    <w:div w:id="1455715655">
      <w:bodyDiv w:val="1"/>
      <w:marLeft w:val="0"/>
      <w:marRight w:val="0"/>
      <w:marTop w:val="0"/>
      <w:marBottom w:val="0"/>
      <w:divBdr>
        <w:top w:val="none" w:sz="0" w:space="0" w:color="auto"/>
        <w:left w:val="none" w:sz="0" w:space="0" w:color="auto"/>
        <w:bottom w:val="none" w:sz="0" w:space="0" w:color="auto"/>
        <w:right w:val="none" w:sz="0" w:space="0" w:color="auto"/>
      </w:divBdr>
    </w:div>
    <w:div w:id="1520897965">
      <w:bodyDiv w:val="1"/>
      <w:marLeft w:val="0"/>
      <w:marRight w:val="0"/>
      <w:marTop w:val="0"/>
      <w:marBottom w:val="0"/>
      <w:divBdr>
        <w:top w:val="none" w:sz="0" w:space="0" w:color="auto"/>
        <w:left w:val="none" w:sz="0" w:space="0" w:color="auto"/>
        <w:bottom w:val="none" w:sz="0" w:space="0" w:color="auto"/>
        <w:right w:val="none" w:sz="0" w:space="0" w:color="auto"/>
      </w:divBdr>
    </w:div>
    <w:div w:id="1566139451">
      <w:bodyDiv w:val="1"/>
      <w:marLeft w:val="0"/>
      <w:marRight w:val="0"/>
      <w:marTop w:val="0"/>
      <w:marBottom w:val="0"/>
      <w:divBdr>
        <w:top w:val="none" w:sz="0" w:space="0" w:color="auto"/>
        <w:left w:val="none" w:sz="0" w:space="0" w:color="auto"/>
        <w:bottom w:val="none" w:sz="0" w:space="0" w:color="auto"/>
        <w:right w:val="none" w:sz="0" w:space="0" w:color="auto"/>
      </w:divBdr>
    </w:div>
    <w:div w:id="1624917685">
      <w:bodyDiv w:val="1"/>
      <w:marLeft w:val="0"/>
      <w:marRight w:val="0"/>
      <w:marTop w:val="0"/>
      <w:marBottom w:val="0"/>
      <w:divBdr>
        <w:top w:val="none" w:sz="0" w:space="0" w:color="auto"/>
        <w:left w:val="none" w:sz="0" w:space="0" w:color="auto"/>
        <w:bottom w:val="none" w:sz="0" w:space="0" w:color="auto"/>
        <w:right w:val="none" w:sz="0" w:space="0" w:color="auto"/>
      </w:divBdr>
    </w:div>
    <w:div w:id="1626691390">
      <w:bodyDiv w:val="1"/>
      <w:marLeft w:val="0"/>
      <w:marRight w:val="0"/>
      <w:marTop w:val="0"/>
      <w:marBottom w:val="0"/>
      <w:divBdr>
        <w:top w:val="none" w:sz="0" w:space="0" w:color="auto"/>
        <w:left w:val="none" w:sz="0" w:space="0" w:color="auto"/>
        <w:bottom w:val="none" w:sz="0" w:space="0" w:color="auto"/>
        <w:right w:val="none" w:sz="0" w:space="0" w:color="auto"/>
      </w:divBdr>
    </w:div>
    <w:div w:id="1634024165">
      <w:bodyDiv w:val="1"/>
      <w:marLeft w:val="0"/>
      <w:marRight w:val="0"/>
      <w:marTop w:val="0"/>
      <w:marBottom w:val="0"/>
      <w:divBdr>
        <w:top w:val="none" w:sz="0" w:space="0" w:color="auto"/>
        <w:left w:val="none" w:sz="0" w:space="0" w:color="auto"/>
        <w:bottom w:val="none" w:sz="0" w:space="0" w:color="auto"/>
        <w:right w:val="none" w:sz="0" w:space="0" w:color="auto"/>
      </w:divBdr>
    </w:div>
    <w:div w:id="1690645939">
      <w:bodyDiv w:val="1"/>
      <w:marLeft w:val="0"/>
      <w:marRight w:val="0"/>
      <w:marTop w:val="0"/>
      <w:marBottom w:val="0"/>
      <w:divBdr>
        <w:top w:val="none" w:sz="0" w:space="0" w:color="auto"/>
        <w:left w:val="none" w:sz="0" w:space="0" w:color="auto"/>
        <w:bottom w:val="none" w:sz="0" w:space="0" w:color="auto"/>
        <w:right w:val="none" w:sz="0" w:space="0" w:color="auto"/>
      </w:divBdr>
    </w:div>
    <w:div w:id="1701585285">
      <w:bodyDiv w:val="1"/>
      <w:marLeft w:val="0"/>
      <w:marRight w:val="0"/>
      <w:marTop w:val="0"/>
      <w:marBottom w:val="0"/>
      <w:divBdr>
        <w:top w:val="none" w:sz="0" w:space="0" w:color="auto"/>
        <w:left w:val="none" w:sz="0" w:space="0" w:color="auto"/>
        <w:bottom w:val="none" w:sz="0" w:space="0" w:color="auto"/>
        <w:right w:val="none" w:sz="0" w:space="0" w:color="auto"/>
      </w:divBdr>
    </w:div>
    <w:div w:id="1841196743">
      <w:bodyDiv w:val="1"/>
      <w:marLeft w:val="0"/>
      <w:marRight w:val="0"/>
      <w:marTop w:val="0"/>
      <w:marBottom w:val="0"/>
      <w:divBdr>
        <w:top w:val="none" w:sz="0" w:space="0" w:color="auto"/>
        <w:left w:val="none" w:sz="0" w:space="0" w:color="auto"/>
        <w:bottom w:val="none" w:sz="0" w:space="0" w:color="auto"/>
        <w:right w:val="none" w:sz="0" w:space="0" w:color="auto"/>
      </w:divBdr>
    </w:div>
    <w:div w:id="2047756943">
      <w:bodyDiv w:val="1"/>
      <w:marLeft w:val="0"/>
      <w:marRight w:val="0"/>
      <w:marTop w:val="0"/>
      <w:marBottom w:val="0"/>
      <w:divBdr>
        <w:top w:val="none" w:sz="0" w:space="0" w:color="auto"/>
        <w:left w:val="none" w:sz="0" w:space="0" w:color="auto"/>
        <w:bottom w:val="none" w:sz="0" w:space="0" w:color="auto"/>
        <w:right w:val="none" w:sz="0" w:space="0" w:color="auto"/>
      </w:divBdr>
    </w:div>
    <w:div w:id="2085179882">
      <w:bodyDiv w:val="1"/>
      <w:marLeft w:val="0"/>
      <w:marRight w:val="0"/>
      <w:marTop w:val="0"/>
      <w:marBottom w:val="0"/>
      <w:divBdr>
        <w:top w:val="none" w:sz="0" w:space="0" w:color="auto"/>
        <w:left w:val="none" w:sz="0" w:space="0" w:color="auto"/>
        <w:bottom w:val="none" w:sz="0" w:space="0" w:color="auto"/>
        <w:right w:val="none" w:sz="0" w:space="0" w:color="auto"/>
      </w:divBdr>
    </w:div>
    <w:div w:id="2102869737">
      <w:bodyDiv w:val="1"/>
      <w:marLeft w:val="0"/>
      <w:marRight w:val="0"/>
      <w:marTop w:val="0"/>
      <w:marBottom w:val="0"/>
      <w:divBdr>
        <w:top w:val="none" w:sz="0" w:space="0" w:color="auto"/>
        <w:left w:val="none" w:sz="0" w:space="0" w:color="auto"/>
        <w:bottom w:val="none" w:sz="0" w:space="0" w:color="auto"/>
        <w:right w:val="none" w:sz="0" w:space="0" w:color="auto"/>
      </w:divBdr>
    </w:div>
    <w:div w:id="214115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fk\bd\Kopsavilkuma_nod\VBPKN_jaut&#257;jumi\BUDZETS_2024\Paskaidrojumi\VBPKN\dati_Kdala_2024_gada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k\bd\Kopsavilkuma_nod\VBPKN_jaut&#257;jumi\BUDZETS_2024\Paskaidrojumi\VBPKN\dati_Kdala_2024_gada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k\bd\Kopsavilkuma_nod\VBPKN_jaut&#257;jumi\BUDZETS_2024\Paskaidrojumi\VBPKN\dati_Kdala_2024_gadam.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fk\bd\Kopsavilkuma_nod\VBPKN_jaut&#257;jumi\BUDZETS_2024\Paskaidrojumi\VBPKN\dati_Kdala_2024_gadam.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745018519691984E-2"/>
          <c:y val="3.2899656049050395E-2"/>
          <c:w val="0.90582118145825974"/>
          <c:h val="0.79603720463609617"/>
        </c:manualLayout>
      </c:layout>
      <c:barChart>
        <c:barDir val="col"/>
        <c:grouping val="clustered"/>
        <c:varyColors val="0"/>
        <c:ser>
          <c:idx val="0"/>
          <c:order val="0"/>
          <c:tx>
            <c:strRef>
              <c:f>kons_funk!$B$18</c:f>
              <c:strCache>
                <c:ptCount val="1"/>
                <c:pt idx="0">
                  <c:v>2023.gada plāns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w="6350" cap="flat" cmpd="sng" algn="ctr">
              <a:solidFill>
                <a:schemeClr val="accent5"/>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kons_funk!$B$19:$B$28</c:f>
              <c:numCache>
                <c:formatCode>#\ ###\ ###.0</c:formatCode>
                <c:ptCount val="10"/>
                <c:pt idx="0">
                  <c:v>1722.675896</c:v>
                </c:pt>
                <c:pt idx="1">
                  <c:v>1276.3149619999999</c:v>
                </c:pt>
                <c:pt idx="2">
                  <c:v>883.03886699999998</c:v>
                </c:pt>
                <c:pt idx="3">
                  <c:v>2781.8020299999998</c:v>
                </c:pt>
                <c:pt idx="4">
                  <c:v>72.667240000000007</c:v>
                </c:pt>
                <c:pt idx="5">
                  <c:v>20.926439999999999</c:v>
                </c:pt>
                <c:pt idx="6">
                  <c:v>1613.4437</c:v>
                </c:pt>
                <c:pt idx="7">
                  <c:v>237.40988899999999</c:v>
                </c:pt>
                <c:pt idx="8">
                  <c:v>1057.7626049999999</c:v>
                </c:pt>
                <c:pt idx="9">
                  <c:v>5007.664323</c:v>
                </c:pt>
              </c:numCache>
            </c:numRef>
          </c:val>
          <c:extLst>
            <c:ext xmlns:c16="http://schemas.microsoft.com/office/drawing/2014/chart" uri="{C3380CC4-5D6E-409C-BE32-E72D297353CC}">
              <c16:uniqueId val="{00000000-A85B-4B4F-B806-2319E23FFE32}"/>
            </c:ext>
          </c:extLst>
        </c:ser>
        <c:ser>
          <c:idx val="1"/>
          <c:order val="1"/>
          <c:tx>
            <c:strRef>
              <c:f>kons_funk!$C$18</c:f>
              <c:strCache>
                <c:ptCount val="1"/>
                <c:pt idx="0">
                  <c:v>2024.gada projekts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w="6350" cap="flat" cmpd="sng" algn="ctr">
              <a:solidFill>
                <a:schemeClr val="accent2"/>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kons_funk!$C$19:$C$28</c:f>
              <c:numCache>
                <c:formatCode>#\ ###\ ###.0</c:formatCode>
                <c:ptCount val="10"/>
                <c:pt idx="0">
                  <c:v>1939.1094499999999</c:v>
                </c:pt>
                <c:pt idx="1">
                  <c:v>1512.9579639999999</c:v>
                </c:pt>
                <c:pt idx="2">
                  <c:v>1062.558223</c:v>
                </c:pt>
                <c:pt idx="3">
                  <c:v>3124.7575160000001</c:v>
                </c:pt>
                <c:pt idx="4">
                  <c:v>73.328524000000002</c:v>
                </c:pt>
                <c:pt idx="5">
                  <c:v>23.901218</c:v>
                </c:pt>
                <c:pt idx="6">
                  <c:v>1841.4923630000001</c:v>
                </c:pt>
                <c:pt idx="7">
                  <c:v>231.70721700000001</c:v>
                </c:pt>
                <c:pt idx="8">
                  <c:v>1155.2029620000001</c:v>
                </c:pt>
                <c:pt idx="9">
                  <c:v>5247.1815379999998</c:v>
                </c:pt>
              </c:numCache>
            </c:numRef>
          </c:val>
          <c:extLst>
            <c:ext xmlns:c16="http://schemas.microsoft.com/office/drawing/2014/chart" uri="{C3380CC4-5D6E-409C-BE32-E72D297353CC}">
              <c16:uniqueId val="{00000001-A85B-4B4F-B806-2319E23FFE32}"/>
            </c:ext>
          </c:extLst>
        </c:ser>
        <c:ser>
          <c:idx val="2"/>
          <c:order val="2"/>
          <c:tx>
            <c:strRef>
              <c:f>kons_funk!$D$18</c:f>
              <c:strCache>
                <c:ptCount val="1"/>
                <c:pt idx="0">
                  <c:v>2025.gada prognoze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6350" cap="flat" cmpd="sng" algn="ctr">
              <a:solidFill>
                <a:schemeClr val="accent3"/>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kons_funk!$D$19:$D$28</c:f>
              <c:numCache>
                <c:formatCode>#\ ###\ ###.0</c:formatCode>
                <c:ptCount val="10"/>
                <c:pt idx="0">
                  <c:v>1781.473495</c:v>
                </c:pt>
                <c:pt idx="1">
                  <c:v>1698.7578120000001</c:v>
                </c:pt>
                <c:pt idx="2">
                  <c:v>884.072407</c:v>
                </c:pt>
                <c:pt idx="3">
                  <c:v>3199.2931290000001</c:v>
                </c:pt>
                <c:pt idx="4">
                  <c:v>64.281259000000006</c:v>
                </c:pt>
                <c:pt idx="5">
                  <c:v>23.027145000000001</c:v>
                </c:pt>
                <c:pt idx="6">
                  <c:v>1832.0800790000001</c:v>
                </c:pt>
                <c:pt idx="7">
                  <c:v>235.06247300000001</c:v>
                </c:pt>
                <c:pt idx="8">
                  <c:v>1149.374523</c:v>
                </c:pt>
                <c:pt idx="9">
                  <c:v>5538.9712989999998</c:v>
                </c:pt>
              </c:numCache>
            </c:numRef>
          </c:val>
          <c:extLst>
            <c:ext xmlns:c16="http://schemas.microsoft.com/office/drawing/2014/chart" uri="{C3380CC4-5D6E-409C-BE32-E72D297353CC}">
              <c16:uniqueId val="{00000002-A85B-4B4F-B806-2319E23FFE32}"/>
            </c:ext>
          </c:extLst>
        </c:ser>
        <c:ser>
          <c:idx val="3"/>
          <c:order val="3"/>
          <c:tx>
            <c:strRef>
              <c:f>kons_funk!$E$18</c:f>
              <c:strCache>
                <c:ptCount val="1"/>
                <c:pt idx="0">
                  <c:v>2026.gada prognoze</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6350" cap="flat" cmpd="sng" algn="ctr">
              <a:solidFill>
                <a:schemeClr val="accent4"/>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kons_funk!$E$19:$E$28</c:f>
              <c:numCache>
                <c:formatCode>#\ ###\ ###.0</c:formatCode>
                <c:ptCount val="10"/>
                <c:pt idx="0">
                  <c:v>1734.1276580000001</c:v>
                </c:pt>
                <c:pt idx="1">
                  <c:v>1502.8604660000001</c:v>
                </c:pt>
                <c:pt idx="2">
                  <c:v>821.78438500000004</c:v>
                </c:pt>
                <c:pt idx="3">
                  <c:v>2920.4678399999998</c:v>
                </c:pt>
                <c:pt idx="4">
                  <c:v>57.564252000000003</c:v>
                </c:pt>
                <c:pt idx="5">
                  <c:v>23.592891999999999</c:v>
                </c:pt>
                <c:pt idx="6">
                  <c:v>1832.488513</c:v>
                </c:pt>
                <c:pt idx="7">
                  <c:v>239.87937500000001</c:v>
                </c:pt>
                <c:pt idx="8">
                  <c:v>1150.121721</c:v>
                </c:pt>
                <c:pt idx="9">
                  <c:v>5957.4913500000002</c:v>
                </c:pt>
              </c:numCache>
            </c:numRef>
          </c:val>
          <c:extLst>
            <c:ext xmlns:c16="http://schemas.microsoft.com/office/drawing/2014/chart" uri="{C3380CC4-5D6E-409C-BE32-E72D297353CC}">
              <c16:uniqueId val="{00000004-A85B-4B4F-B806-2319E23FFE32}"/>
            </c:ext>
          </c:extLst>
        </c:ser>
        <c:dLbls>
          <c:showLegendKey val="0"/>
          <c:showVal val="0"/>
          <c:showCatName val="0"/>
          <c:showSerName val="0"/>
          <c:showPercent val="0"/>
          <c:showBubbleSize val="0"/>
        </c:dLbls>
        <c:gapWidth val="219"/>
        <c:overlap val="-27"/>
        <c:axId val="234944128"/>
        <c:axId val="234943800"/>
      </c:barChart>
      <c:catAx>
        <c:axId val="234944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3800"/>
        <c:crosses val="autoZero"/>
        <c:auto val="1"/>
        <c:lblAlgn val="ctr"/>
        <c:lblOffset val="100"/>
        <c:noMultiLvlLbl val="0"/>
      </c:catAx>
      <c:valAx>
        <c:axId val="234943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4128"/>
        <c:crosses val="autoZero"/>
        <c:crossBetween val="between"/>
      </c:valAx>
      <c:spPr>
        <a:noFill/>
        <a:ln>
          <a:noFill/>
        </a:ln>
        <a:effectLst/>
      </c:spPr>
    </c:plotArea>
    <c:legend>
      <c:legendPos val="b"/>
      <c:layout>
        <c:manualLayout>
          <c:xMode val="edge"/>
          <c:yMode val="edge"/>
          <c:x val="9.1502989973238247E-2"/>
          <c:y val="0.92406210118230636"/>
          <c:w val="0.8169938464449743"/>
          <c:h val="6.0647378940017822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291258993499219E-2"/>
          <c:y val="9.8531019262730571E-2"/>
          <c:w val="0.91599062169925516"/>
          <c:h val="0.67828635261422776"/>
        </c:manualLayout>
      </c:layout>
      <c:barChart>
        <c:barDir val="col"/>
        <c:grouping val="clustered"/>
        <c:varyColors val="0"/>
        <c:ser>
          <c:idx val="0"/>
          <c:order val="0"/>
          <c:tx>
            <c:strRef>
              <c:f>kons_ekon!$B$16</c:f>
              <c:strCache>
                <c:ptCount val="1"/>
                <c:pt idx="0">
                  <c:v>2023.gada plāns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w="6350" cap="flat" cmpd="sng" algn="ctr">
              <a:solidFill>
                <a:schemeClr val="accent5"/>
              </a:solidFill>
              <a:prstDash val="solid"/>
              <a:miter lim="800000"/>
            </a:ln>
            <a:effectLst/>
          </c:spPr>
          <c:invertIfNegative val="0"/>
          <c:dLbls>
            <c:numFmt formatCode="#,##0.0" sourceLinked="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kons_ekon!$B$17:$B$24</c:f>
              <c:numCache>
                <c:formatCode>#\ ##0.0</c:formatCode>
                <c:ptCount val="8"/>
                <c:pt idx="0">
                  <c:v>1633.2136129999999</c:v>
                </c:pt>
                <c:pt idx="1">
                  <c:v>1116.31816</c:v>
                </c:pt>
                <c:pt idx="2">
                  <c:v>201.019576</c:v>
                </c:pt>
                <c:pt idx="3">
                  <c:v>4575.5589689999997</c:v>
                </c:pt>
                <c:pt idx="4">
                  <c:v>4646.6427240000003</c:v>
                </c:pt>
                <c:pt idx="5">
                  <c:v>438.09513500000003</c:v>
                </c:pt>
                <c:pt idx="6">
                  <c:v>1202.347951</c:v>
                </c:pt>
                <c:pt idx="7">
                  <c:v>860.50982399999998</c:v>
                </c:pt>
              </c:numCache>
            </c:numRef>
          </c:val>
          <c:extLst>
            <c:ext xmlns:c16="http://schemas.microsoft.com/office/drawing/2014/chart" uri="{C3380CC4-5D6E-409C-BE32-E72D297353CC}">
              <c16:uniqueId val="{00000000-F281-4359-9E66-7E3DA7C112ED}"/>
            </c:ext>
          </c:extLst>
        </c:ser>
        <c:ser>
          <c:idx val="1"/>
          <c:order val="1"/>
          <c:tx>
            <c:strRef>
              <c:f>kons_ekon!$C$16</c:f>
              <c:strCache>
                <c:ptCount val="1"/>
                <c:pt idx="0">
                  <c:v>2024.gada projekts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w="6350" cap="flat" cmpd="sng" algn="ctr">
              <a:solidFill>
                <a:schemeClr val="accent2"/>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kons_ekon!$C$17:$C$24</c:f>
              <c:numCache>
                <c:formatCode>#\ ##0.0</c:formatCode>
                <c:ptCount val="8"/>
                <c:pt idx="0">
                  <c:v>1816.8399360000001</c:v>
                </c:pt>
                <c:pt idx="1">
                  <c:v>993.439707</c:v>
                </c:pt>
                <c:pt idx="2">
                  <c:v>361.35641099999998</c:v>
                </c:pt>
                <c:pt idx="3">
                  <c:v>5301.7703540000002</c:v>
                </c:pt>
                <c:pt idx="4">
                  <c:v>4942.1220089999997</c:v>
                </c:pt>
                <c:pt idx="5">
                  <c:v>463.77804800000001</c:v>
                </c:pt>
                <c:pt idx="6">
                  <c:v>1260.8605050000001</c:v>
                </c:pt>
                <c:pt idx="7">
                  <c:v>1072.0300050000001</c:v>
                </c:pt>
              </c:numCache>
            </c:numRef>
          </c:val>
          <c:extLst>
            <c:ext xmlns:c16="http://schemas.microsoft.com/office/drawing/2014/chart" uri="{C3380CC4-5D6E-409C-BE32-E72D297353CC}">
              <c16:uniqueId val="{00000001-F281-4359-9E66-7E3DA7C112ED}"/>
            </c:ext>
          </c:extLst>
        </c:ser>
        <c:ser>
          <c:idx val="2"/>
          <c:order val="2"/>
          <c:tx>
            <c:strRef>
              <c:f>kons_ekon!$D$16</c:f>
              <c:strCache>
                <c:ptCount val="1"/>
                <c:pt idx="0">
                  <c:v>2025.gada prognoze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6350" cap="flat" cmpd="sng" algn="ctr">
              <a:solidFill>
                <a:schemeClr val="accent3"/>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kons_ekon!$D$17:$D$24</c:f>
              <c:numCache>
                <c:formatCode>#\ ##0.0</c:formatCode>
                <c:ptCount val="8"/>
                <c:pt idx="0">
                  <c:v>1799.4354969999999</c:v>
                </c:pt>
                <c:pt idx="1">
                  <c:v>1021.861578</c:v>
                </c:pt>
                <c:pt idx="2">
                  <c:v>496.01378299999999</c:v>
                </c:pt>
                <c:pt idx="3">
                  <c:v>5280.6407259999996</c:v>
                </c:pt>
                <c:pt idx="4">
                  <c:v>5293.0597100000005</c:v>
                </c:pt>
                <c:pt idx="5">
                  <c:v>473.59848899999997</c:v>
                </c:pt>
                <c:pt idx="6">
                  <c:v>1234.534889</c:v>
                </c:pt>
                <c:pt idx="7">
                  <c:v>807.24894900000004</c:v>
                </c:pt>
              </c:numCache>
            </c:numRef>
          </c:val>
          <c:extLst>
            <c:ext xmlns:c16="http://schemas.microsoft.com/office/drawing/2014/chart" uri="{C3380CC4-5D6E-409C-BE32-E72D297353CC}">
              <c16:uniqueId val="{00000002-F281-4359-9E66-7E3DA7C112ED}"/>
            </c:ext>
          </c:extLst>
        </c:ser>
        <c:ser>
          <c:idx val="3"/>
          <c:order val="3"/>
          <c:tx>
            <c:strRef>
              <c:f>kons_ekon!$E$16</c:f>
              <c:strCache>
                <c:ptCount val="1"/>
                <c:pt idx="0">
                  <c:v>2026.gada prognoze</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6350" cap="flat" cmpd="sng" algn="ctr">
              <a:solidFill>
                <a:schemeClr val="accent4"/>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kons_ekon!$E$17:$E$24</c:f>
              <c:numCache>
                <c:formatCode>#\ ##0.0</c:formatCode>
                <c:ptCount val="8"/>
                <c:pt idx="0">
                  <c:v>1815.5400119999999</c:v>
                </c:pt>
                <c:pt idx="1">
                  <c:v>1105.989067</c:v>
                </c:pt>
                <c:pt idx="2">
                  <c:v>497.31999400000001</c:v>
                </c:pt>
                <c:pt idx="3">
                  <c:v>4586.7711980000004</c:v>
                </c:pt>
                <c:pt idx="4">
                  <c:v>5709.1700899999996</c:v>
                </c:pt>
                <c:pt idx="5">
                  <c:v>515.957673</c:v>
                </c:pt>
                <c:pt idx="6">
                  <c:v>1239.178392</c:v>
                </c:pt>
                <c:pt idx="7">
                  <c:v>770.45202600000005</c:v>
                </c:pt>
              </c:numCache>
            </c:numRef>
          </c:val>
          <c:extLst>
            <c:ext xmlns:c16="http://schemas.microsoft.com/office/drawing/2014/chart" uri="{C3380CC4-5D6E-409C-BE32-E72D297353CC}">
              <c16:uniqueId val="{00000003-F281-4359-9E66-7E3DA7C112ED}"/>
            </c:ext>
          </c:extLst>
        </c:ser>
        <c:dLbls>
          <c:showLegendKey val="0"/>
          <c:showVal val="0"/>
          <c:showCatName val="0"/>
          <c:showSerName val="0"/>
          <c:showPercent val="0"/>
          <c:showBubbleSize val="0"/>
        </c:dLbls>
        <c:gapWidth val="219"/>
        <c:overlap val="-27"/>
        <c:axId val="449414488"/>
        <c:axId val="449418424"/>
      </c:barChart>
      <c:catAx>
        <c:axId val="449414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8424"/>
        <c:crosses val="autoZero"/>
        <c:auto val="1"/>
        <c:lblAlgn val="ctr"/>
        <c:lblOffset val="100"/>
        <c:noMultiLvlLbl val="0"/>
      </c:catAx>
      <c:valAx>
        <c:axId val="449418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4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327602940307706E-2"/>
          <c:y val="0.10212735117247751"/>
          <c:w val="0.90266703800288628"/>
          <c:h val="0.72067618377720688"/>
        </c:manualLayout>
      </c:layout>
      <c:barChart>
        <c:barDir val="col"/>
        <c:grouping val="stacked"/>
        <c:varyColors val="0"/>
        <c:ser>
          <c:idx val="0"/>
          <c:order val="0"/>
          <c:tx>
            <c:strRef>
              <c:f>'pam_ES daļa'!$A$10</c:f>
              <c:strCache>
                <c:ptCount val="1"/>
                <c:pt idx="0">
                  <c:v>Izdevumi pamatfunkcijām </c:v>
                </c:pt>
              </c:strCache>
            </c:strRef>
          </c:tx>
          <c:spPr>
            <a:gradFill>
              <a:gsLst>
                <a:gs pos="0">
                  <a:srgbClr val="92D050"/>
                </a:gs>
                <a:gs pos="46000">
                  <a:srgbClr val="78B832"/>
                </a:gs>
                <a:gs pos="72000">
                  <a:srgbClr val="70AC2E"/>
                </a:gs>
                <a:gs pos="100000">
                  <a:srgbClr val="72AF2F"/>
                </a:gs>
              </a:gsLst>
              <a:lin ang="5400000" scaled="1"/>
            </a:gradFill>
            <a:ln w="6350" cap="flat" cmpd="sng" algn="ctr">
              <a:solidFill>
                <a:srgbClr val="92D050"/>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2023.gada plāns</c:v>
                </c:pt>
                <c:pt idx="1">
                  <c:v>2024.gada projekts</c:v>
                </c:pt>
                <c:pt idx="2">
                  <c:v>2025.gada prognoze</c:v>
                </c:pt>
                <c:pt idx="3">
                  <c:v>2026.gada prognoze</c:v>
                </c:pt>
              </c:strCache>
            </c:strRef>
          </c:cat>
          <c:val>
            <c:numRef>
              <c:f>'pam_ES daļa'!$B$10:$E$10</c:f>
              <c:numCache>
                <c:formatCode>#\ ##0.0</c:formatCode>
                <c:ptCount val="4"/>
                <c:pt idx="0">
                  <c:v>8726.9431490000006</c:v>
                </c:pt>
                <c:pt idx="1">
                  <c:v>9510.6415080000006</c:v>
                </c:pt>
                <c:pt idx="2">
                  <c:v>9386.9001750000007</c:v>
                </c:pt>
                <c:pt idx="3">
                  <c:v>9286.0058289999997</c:v>
                </c:pt>
              </c:numCache>
            </c:numRef>
          </c:val>
          <c:extLst>
            <c:ext xmlns:c16="http://schemas.microsoft.com/office/drawing/2014/chart" uri="{C3380CC4-5D6E-409C-BE32-E72D297353CC}">
              <c16:uniqueId val="{00000000-6BE7-4590-ABA2-F5102EC4493F}"/>
            </c:ext>
          </c:extLst>
        </c:ser>
        <c:ser>
          <c:idx val="1"/>
          <c:order val="1"/>
          <c:tx>
            <c:strRef>
              <c:f>'pam_ES daļa'!$A$11</c:f>
              <c:strCache>
                <c:ptCount val="1"/>
                <c:pt idx="0">
                  <c:v>Izdevumi ES un pārējās ĀFP apguvei</c:v>
                </c:pt>
              </c:strCache>
            </c:strRef>
          </c:tx>
          <c:spPr>
            <a:gradFill flip="none" rotWithShape="1">
              <a:gsLst>
                <a:gs pos="0">
                  <a:srgbClr val="F89F56"/>
                </a:gs>
                <a:gs pos="68000">
                  <a:srgbClr val="F6882E"/>
                </a:gs>
                <a:gs pos="100000">
                  <a:schemeClr val="accent6">
                    <a:lumMod val="75000"/>
                  </a:schemeClr>
                </a:gs>
              </a:gsLst>
              <a:path path="shape">
                <a:fillToRect l="50000" t="50000" r="50000" b="50000"/>
              </a:path>
              <a:tileRect/>
            </a:gradFill>
            <a:ln w="6350" cap="flat" cmpd="sng" algn="ctr">
              <a:solidFill>
                <a:schemeClr val="accent6">
                  <a:lumMod val="75000"/>
                </a:schemeClr>
              </a:solidFill>
              <a:prstDash val="solid"/>
              <a:miter lim="800000"/>
            </a:ln>
            <a:effectLst/>
          </c:spPr>
          <c:invertIfNegative val="0"/>
          <c:dPt>
            <c:idx val="0"/>
            <c:invertIfNegative val="0"/>
            <c:bubble3D val="0"/>
            <c:spPr>
              <a:gradFill flip="none" rotWithShape="1">
                <a:gsLst>
                  <a:gs pos="0">
                    <a:srgbClr val="F89F56"/>
                  </a:gs>
                  <a:gs pos="68000">
                    <a:srgbClr val="F6882E"/>
                  </a:gs>
                  <a:gs pos="100000">
                    <a:schemeClr val="accent6">
                      <a:lumMod val="75000"/>
                    </a:schemeClr>
                  </a:gs>
                </a:gsLst>
                <a:path path="shape">
                  <a:fillToRect l="50000" t="50000" r="50000" b="50000"/>
                </a:path>
                <a:tileRect/>
              </a:gradFill>
              <a:ln w="6350" cap="flat" cmpd="sng" algn="ctr">
                <a:solidFill>
                  <a:schemeClr val="accent6">
                    <a:lumMod val="75000"/>
                  </a:schemeClr>
                </a:solidFill>
                <a:prstDash val="solid"/>
                <a:miter lim="800000"/>
              </a:ln>
              <a:effectLst/>
            </c:spPr>
            <c:extLst>
              <c:ext xmlns:c16="http://schemas.microsoft.com/office/drawing/2014/chart" uri="{C3380CC4-5D6E-409C-BE32-E72D297353CC}">
                <c16:uniqueId val="{00000002-6BE7-4590-ABA2-F5102EC4493F}"/>
              </c:ext>
            </c:extLst>
          </c:dPt>
          <c:dPt>
            <c:idx val="1"/>
            <c:invertIfNegative val="0"/>
            <c:bubble3D val="0"/>
            <c:spPr>
              <a:gradFill flip="none" rotWithShape="1">
                <a:gsLst>
                  <a:gs pos="0">
                    <a:srgbClr val="F89F56"/>
                  </a:gs>
                  <a:gs pos="68000">
                    <a:srgbClr val="F6882E"/>
                  </a:gs>
                  <a:gs pos="100000">
                    <a:schemeClr val="accent6">
                      <a:lumMod val="75000"/>
                    </a:schemeClr>
                  </a:gs>
                </a:gsLst>
                <a:path path="shape">
                  <a:fillToRect l="50000" t="50000" r="50000" b="50000"/>
                </a:path>
                <a:tileRect/>
              </a:gradFill>
              <a:ln w="6350" cap="flat" cmpd="sng" algn="ctr">
                <a:solidFill>
                  <a:schemeClr val="accent6">
                    <a:lumMod val="75000"/>
                  </a:schemeClr>
                </a:solidFill>
                <a:prstDash val="solid"/>
                <a:miter lim="800000"/>
              </a:ln>
              <a:effectLst/>
            </c:spPr>
            <c:extLst>
              <c:ext xmlns:c16="http://schemas.microsoft.com/office/drawing/2014/chart" uri="{C3380CC4-5D6E-409C-BE32-E72D297353CC}">
                <c16:uniqueId val="{00000004-6BE7-4590-ABA2-F5102EC4493F}"/>
              </c:ext>
            </c:extLst>
          </c:dPt>
          <c:dPt>
            <c:idx val="2"/>
            <c:invertIfNegative val="0"/>
            <c:bubble3D val="0"/>
            <c:spPr>
              <a:gradFill flip="none" rotWithShape="1">
                <a:gsLst>
                  <a:gs pos="0">
                    <a:srgbClr val="F89F56"/>
                  </a:gs>
                  <a:gs pos="68000">
                    <a:srgbClr val="F6882E"/>
                  </a:gs>
                  <a:gs pos="100000">
                    <a:schemeClr val="accent6">
                      <a:lumMod val="75000"/>
                    </a:schemeClr>
                  </a:gs>
                </a:gsLst>
                <a:path path="shape">
                  <a:fillToRect l="50000" t="50000" r="50000" b="50000"/>
                </a:path>
                <a:tileRect/>
              </a:gradFill>
              <a:ln w="6350" cap="flat" cmpd="sng" algn="ctr">
                <a:solidFill>
                  <a:schemeClr val="accent6">
                    <a:lumMod val="75000"/>
                  </a:schemeClr>
                </a:solidFill>
                <a:prstDash val="solid"/>
                <a:miter lim="800000"/>
              </a:ln>
              <a:effectLst/>
            </c:spPr>
            <c:extLst>
              <c:ext xmlns:c16="http://schemas.microsoft.com/office/drawing/2014/chart" uri="{C3380CC4-5D6E-409C-BE32-E72D297353CC}">
                <c16:uniqueId val="{00000006-6BE7-4590-ABA2-F5102EC4493F}"/>
              </c:ext>
            </c:extLst>
          </c:dPt>
          <c:dPt>
            <c:idx val="3"/>
            <c:invertIfNegative val="0"/>
            <c:bubble3D val="0"/>
            <c:spPr>
              <a:gradFill flip="none" rotWithShape="1">
                <a:gsLst>
                  <a:gs pos="0">
                    <a:srgbClr val="F89F56"/>
                  </a:gs>
                  <a:gs pos="68000">
                    <a:srgbClr val="F6882E"/>
                  </a:gs>
                  <a:gs pos="100000">
                    <a:schemeClr val="accent6">
                      <a:lumMod val="75000"/>
                    </a:schemeClr>
                  </a:gs>
                </a:gsLst>
                <a:path path="shape">
                  <a:fillToRect l="50000" t="50000" r="50000" b="50000"/>
                </a:path>
                <a:tileRect/>
              </a:gradFill>
              <a:ln w="6350" cap="flat" cmpd="sng" algn="ctr">
                <a:solidFill>
                  <a:schemeClr val="accent6">
                    <a:lumMod val="75000"/>
                  </a:schemeClr>
                </a:solidFill>
                <a:prstDash val="solid"/>
                <a:miter lim="800000"/>
              </a:ln>
              <a:effectLst/>
            </c:spPr>
            <c:extLst>
              <c:ext xmlns:c16="http://schemas.microsoft.com/office/drawing/2014/chart" uri="{C3380CC4-5D6E-409C-BE32-E72D297353CC}">
                <c16:uniqueId val="{00000008-6BE7-4590-ABA2-F5102EC4493F}"/>
              </c:ext>
            </c:extLst>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2023.gada plāns</c:v>
                </c:pt>
                <c:pt idx="1">
                  <c:v>2024.gada projekts</c:v>
                </c:pt>
                <c:pt idx="2">
                  <c:v>2025.gada prognoze</c:v>
                </c:pt>
                <c:pt idx="3">
                  <c:v>2026.gada prognoze</c:v>
                </c:pt>
              </c:strCache>
            </c:strRef>
          </c:cat>
          <c:val>
            <c:numRef>
              <c:f>'pam_ES daļa'!$B$11:$E$11</c:f>
              <c:numCache>
                <c:formatCode>#\ ##0.0</c:formatCode>
                <c:ptCount val="4"/>
                <c:pt idx="0">
                  <c:v>2135.305468</c:v>
                </c:pt>
                <c:pt idx="1">
                  <c:v>2637.2718479999999</c:v>
                </c:pt>
                <c:pt idx="2">
                  <c:v>2659.238703</c:v>
                </c:pt>
                <c:pt idx="3">
                  <c:v>2253.331044</c:v>
                </c:pt>
              </c:numCache>
            </c:numRef>
          </c:val>
          <c:extLst>
            <c:ext xmlns:c16="http://schemas.microsoft.com/office/drawing/2014/chart" uri="{C3380CC4-5D6E-409C-BE32-E72D297353CC}">
              <c16:uniqueId val="{00000009-6BE7-4590-ABA2-F5102EC4493F}"/>
            </c:ext>
          </c:extLst>
        </c:ser>
        <c:dLbls>
          <c:showLegendKey val="0"/>
          <c:showVal val="0"/>
          <c:showCatName val="0"/>
          <c:showSerName val="0"/>
          <c:showPercent val="0"/>
          <c:showBubbleSize val="0"/>
        </c:dLbls>
        <c:gapWidth val="50"/>
        <c:overlap val="100"/>
        <c:axId val="336022728"/>
        <c:axId val="233376720"/>
      </c:barChart>
      <c:catAx>
        <c:axId val="336022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3376720"/>
        <c:crosses val="autoZero"/>
        <c:auto val="1"/>
        <c:lblAlgn val="ctr"/>
        <c:lblOffset val="100"/>
        <c:noMultiLvlLbl val="0"/>
      </c:catAx>
      <c:valAx>
        <c:axId val="233376720"/>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336022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966740377303867E-2"/>
          <c:y val="4.8939563285445582E-2"/>
          <c:w val="0.90813594092776206"/>
          <c:h val="0.70420813320625364"/>
        </c:manualLayout>
      </c:layout>
      <c:barChart>
        <c:barDir val="col"/>
        <c:grouping val="stacked"/>
        <c:varyColors val="0"/>
        <c:ser>
          <c:idx val="0"/>
          <c:order val="0"/>
          <c:tx>
            <c:strRef>
              <c:f>spec.budzets!$B$23</c:f>
              <c:strCache>
                <c:ptCount val="1"/>
                <c:pt idx="0">
                  <c:v>Valsts pensiju speciālais budžets</c:v>
                </c:pt>
              </c:strCache>
            </c:strRef>
          </c:tx>
          <c:spPr>
            <a:gradFill>
              <a:gsLst>
                <a:gs pos="27000">
                  <a:srgbClr val="CEC3DB"/>
                </a:gs>
                <a:gs pos="68000">
                  <a:srgbClr val="C1B3D1"/>
                </a:gs>
                <a:gs pos="100000">
                  <a:schemeClr val="accent4">
                    <a:lumMod val="60000"/>
                    <a:lumOff val="40000"/>
                  </a:schemeClr>
                </a:gs>
              </a:gsLst>
              <a:path path="shape">
                <a:fillToRect l="50000" t="50000" r="50000" b="50000"/>
              </a:path>
            </a:gradFill>
            <a:ln w="6350" cap="flat" cmpd="sng" algn="ctr">
              <a:solidFill>
                <a:schemeClr val="accent5"/>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2023.gada plāns</c:v>
                </c:pt>
                <c:pt idx="1">
                  <c:v>2024.gada projekts</c:v>
                </c:pt>
                <c:pt idx="2">
                  <c:v>2025.gada prognoze</c:v>
                </c:pt>
                <c:pt idx="3">
                  <c:v>2026.gada prognoze</c:v>
                </c:pt>
              </c:strCache>
            </c:strRef>
          </c:cat>
          <c:val>
            <c:numRef>
              <c:f>spec.budzets!$C$23:$F$23</c:f>
              <c:numCache>
                <c:formatCode>#\ ##0.0</c:formatCode>
                <c:ptCount val="4"/>
                <c:pt idx="0">
                  <c:v>2915.762131</c:v>
                </c:pt>
                <c:pt idx="1">
                  <c:v>3171.2813849999998</c:v>
                </c:pt>
                <c:pt idx="2">
                  <c:v>3424.753573</c:v>
                </c:pt>
                <c:pt idx="3">
                  <c:v>3741.4491819999998</c:v>
                </c:pt>
              </c:numCache>
            </c:numRef>
          </c:val>
          <c:extLst>
            <c:ext xmlns:c16="http://schemas.microsoft.com/office/drawing/2014/chart" uri="{C3380CC4-5D6E-409C-BE32-E72D297353CC}">
              <c16:uniqueId val="{00000000-8521-447B-A41B-7ADBE8DD6071}"/>
            </c:ext>
          </c:extLst>
        </c:ser>
        <c:ser>
          <c:idx val="1"/>
          <c:order val="1"/>
          <c:tx>
            <c:strRef>
              <c:f>spec.budzets!$B$24</c:f>
              <c:strCache>
                <c:ptCount val="1"/>
                <c:pt idx="0">
                  <c:v>Invaliditātes, maternitātes un slimības speciālais budžets</c:v>
                </c:pt>
              </c:strCache>
            </c:strRef>
          </c:tx>
          <c:spPr>
            <a:gradFill>
              <a:gsLst>
                <a:gs pos="27000">
                  <a:srgbClr val="7DA9DF"/>
                </a:gs>
                <a:gs pos="68000">
                  <a:srgbClr val="7BA8DF"/>
                </a:gs>
                <a:gs pos="100000">
                  <a:schemeClr val="tx2">
                    <a:lumMod val="60000"/>
                    <a:lumOff val="40000"/>
                  </a:schemeClr>
                </a:gs>
              </a:gsLst>
              <a:path path="shape">
                <a:fillToRect l="50000" t="50000" r="50000" b="50000"/>
              </a:path>
            </a:gradFill>
            <a:ln w="6350" cap="flat" cmpd="sng" algn="ctr">
              <a:solidFill>
                <a:schemeClr val="tx2">
                  <a:lumMod val="60000"/>
                  <a:lumOff val="40000"/>
                </a:schemeClr>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2023.gada plāns</c:v>
                </c:pt>
                <c:pt idx="1">
                  <c:v>2024.gada projekts</c:v>
                </c:pt>
                <c:pt idx="2">
                  <c:v>2025.gada prognoze</c:v>
                </c:pt>
                <c:pt idx="3">
                  <c:v>2026.gada prognoze</c:v>
                </c:pt>
              </c:strCache>
            </c:strRef>
          </c:cat>
          <c:val>
            <c:numRef>
              <c:f>spec.budzets!$C$24:$F$24</c:f>
              <c:numCache>
                <c:formatCode>#\ ##0.0</c:formatCode>
                <c:ptCount val="4"/>
                <c:pt idx="0">
                  <c:v>865.06732099999999</c:v>
                </c:pt>
                <c:pt idx="1">
                  <c:v>864.36170300000003</c:v>
                </c:pt>
                <c:pt idx="2">
                  <c:v>924.36413700000003</c:v>
                </c:pt>
                <c:pt idx="3">
                  <c:v>976.87795900000003</c:v>
                </c:pt>
              </c:numCache>
            </c:numRef>
          </c:val>
          <c:extLst>
            <c:ext xmlns:c16="http://schemas.microsoft.com/office/drawing/2014/chart" uri="{C3380CC4-5D6E-409C-BE32-E72D297353CC}">
              <c16:uniqueId val="{00000001-8521-447B-A41B-7ADBE8DD6071}"/>
            </c:ext>
          </c:extLst>
        </c:ser>
        <c:ser>
          <c:idx val="2"/>
          <c:order val="2"/>
          <c:tx>
            <c:strRef>
              <c:f>spec.budzets!$B$25</c:f>
              <c:strCache>
                <c:ptCount val="1"/>
                <c:pt idx="0">
                  <c:v>Nodarbinātības speciālais budžets</c:v>
                </c:pt>
              </c:strCache>
            </c:strRef>
          </c:tx>
          <c:spPr>
            <a:solidFill>
              <a:schemeClr val="accent6">
                <a:lumMod val="40000"/>
                <a:lumOff val="60000"/>
              </a:schemeClr>
            </a:solidFill>
            <a:ln w="6350" cap="flat" cmpd="sng" algn="ctr">
              <a:solidFill>
                <a:schemeClr val="accent6"/>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2023.gada plāns</c:v>
                </c:pt>
                <c:pt idx="1">
                  <c:v>2024.gada projekts</c:v>
                </c:pt>
                <c:pt idx="2">
                  <c:v>2025.gada prognoze</c:v>
                </c:pt>
                <c:pt idx="3">
                  <c:v>2026.gada prognoze</c:v>
                </c:pt>
              </c:strCache>
            </c:strRef>
          </c:cat>
          <c:val>
            <c:numRef>
              <c:f>spec.budzets!$C$25:$F$25</c:f>
              <c:numCache>
                <c:formatCode>#\ ##0.0</c:formatCode>
                <c:ptCount val="4"/>
                <c:pt idx="0">
                  <c:v>181.37540899999999</c:v>
                </c:pt>
                <c:pt idx="1">
                  <c:v>185.54399799999999</c:v>
                </c:pt>
                <c:pt idx="2">
                  <c:v>193.81319500000001</c:v>
                </c:pt>
                <c:pt idx="3">
                  <c:v>206.43796599999999</c:v>
                </c:pt>
              </c:numCache>
            </c:numRef>
          </c:val>
          <c:extLst>
            <c:ext xmlns:c16="http://schemas.microsoft.com/office/drawing/2014/chart" uri="{C3380CC4-5D6E-409C-BE32-E72D297353CC}">
              <c16:uniqueId val="{00000002-8521-447B-A41B-7ADBE8DD6071}"/>
            </c:ext>
          </c:extLst>
        </c:ser>
        <c:ser>
          <c:idx val="3"/>
          <c:order val="3"/>
          <c:tx>
            <c:strRef>
              <c:f>spec.budzets!$B$26</c:f>
              <c:strCache>
                <c:ptCount val="1"/>
                <c:pt idx="0">
                  <c:v>Darba negadījumu speciālais budžets</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6350" cap="flat" cmpd="sng" algn="ctr">
              <a:solidFill>
                <a:schemeClr val="accent4"/>
              </a:solidFill>
              <a:prstDash val="solid"/>
              <a:miter lim="800000"/>
            </a:ln>
            <a:effectLst/>
          </c:spPr>
          <c:invertIfNegative val="0"/>
          <c:cat>
            <c:strRef>
              <c:f>spec.budzets!$C$22:$F$22</c:f>
              <c:strCache>
                <c:ptCount val="4"/>
                <c:pt idx="0">
                  <c:v>2023.gada plāns</c:v>
                </c:pt>
                <c:pt idx="1">
                  <c:v>2024.gada projekts</c:v>
                </c:pt>
                <c:pt idx="2">
                  <c:v>2025.gada prognoze</c:v>
                </c:pt>
                <c:pt idx="3">
                  <c:v>2026.gada prognoze</c:v>
                </c:pt>
              </c:strCache>
            </c:strRef>
          </c:cat>
          <c:val>
            <c:numRef>
              <c:f>spec.budzets!$C$26:$F$26</c:f>
              <c:numCache>
                <c:formatCode>#\ ##0.0</c:formatCode>
                <c:ptCount val="4"/>
                <c:pt idx="0">
                  <c:v>94.830588000000006</c:v>
                </c:pt>
                <c:pt idx="1">
                  <c:v>106.883268</c:v>
                </c:pt>
                <c:pt idx="2">
                  <c:v>121.79507599999999</c:v>
                </c:pt>
                <c:pt idx="3">
                  <c:v>137.96823499999999</c:v>
                </c:pt>
              </c:numCache>
            </c:numRef>
          </c:val>
          <c:extLst>
            <c:ext xmlns:c16="http://schemas.microsoft.com/office/drawing/2014/chart" uri="{C3380CC4-5D6E-409C-BE32-E72D297353CC}">
              <c16:uniqueId val="{00000003-8521-447B-A41B-7ADBE8DD6071}"/>
            </c:ext>
          </c:extLst>
        </c:ser>
        <c:ser>
          <c:idx val="4"/>
          <c:order val="4"/>
          <c:tx>
            <c:strRef>
              <c:f>spec.budzets!$B$27</c:f>
              <c:strCache>
                <c:ptCount val="1"/>
                <c:pt idx="0">
                  <c:v>VSAA speciālais budžets</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6350" cap="flat" cmpd="sng" algn="ctr">
              <a:solidFill>
                <a:schemeClr val="accent3"/>
              </a:solidFill>
              <a:prstDash val="solid"/>
              <a:miter lim="800000"/>
            </a:ln>
            <a:effectLst/>
          </c:spPr>
          <c:invertIfNegative val="0"/>
          <c:cat>
            <c:strRef>
              <c:f>spec.budzets!$C$22:$F$22</c:f>
              <c:strCache>
                <c:ptCount val="4"/>
                <c:pt idx="0">
                  <c:v>2023.gada plāns</c:v>
                </c:pt>
                <c:pt idx="1">
                  <c:v>2024.gada projekts</c:v>
                </c:pt>
                <c:pt idx="2">
                  <c:v>2025.gada prognoze</c:v>
                </c:pt>
                <c:pt idx="3">
                  <c:v>2026.gada prognoze</c:v>
                </c:pt>
              </c:strCache>
            </c:strRef>
          </c:cat>
          <c:val>
            <c:numRef>
              <c:f>spec.budzets!$C$27:$F$27</c:f>
              <c:numCache>
                <c:formatCode>#\ ##0.0</c:formatCode>
                <c:ptCount val="4"/>
                <c:pt idx="0">
                  <c:v>26.279989</c:v>
                </c:pt>
                <c:pt idx="1">
                  <c:v>27.650490999999999</c:v>
                </c:pt>
                <c:pt idx="2">
                  <c:v>27.980401000000001</c:v>
                </c:pt>
                <c:pt idx="3">
                  <c:v>28.293951</c:v>
                </c:pt>
              </c:numCache>
            </c:numRef>
          </c:val>
          <c:extLst>
            <c:ext xmlns:c16="http://schemas.microsoft.com/office/drawing/2014/chart" uri="{C3380CC4-5D6E-409C-BE32-E72D297353CC}">
              <c16:uniqueId val="{00000004-8521-447B-A41B-7ADBE8DD6071}"/>
            </c:ext>
          </c:extLst>
        </c:ser>
        <c:dLbls>
          <c:showLegendKey val="0"/>
          <c:showVal val="0"/>
          <c:showCatName val="0"/>
          <c:showSerName val="0"/>
          <c:showPercent val="0"/>
          <c:showBubbleSize val="0"/>
        </c:dLbls>
        <c:gapWidth val="50"/>
        <c:overlap val="100"/>
        <c:axId val="282340288"/>
        <c:axId val="423904016"/>
      </c:barChart>
      <c:catAx>
        <c:axId val="28234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23904016"/>
        <c:crosses val="autoZero"/>
        <c:auto val="1"/>
        <c:lblAlgn val="ctr"/>
        <c:lblOffset val="100"/>
        <c:noMultiLvlLbl val="0"/>
      </c:catAx>
      <c:valAx>
        <c:axId val="4239040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82340288"/>
        <c:crosses val="autoZero"/>
        <c:crossBetween val="between"/>
      </c:valAx>
      <c:spPr>
        <a:noFill/>
        <a:ln>
          <a:noFill/>
        </a:ln>
        <a:effectLst/>
      </c:spPr>
    </c:plotArea>
    <c:legend>
      <c:legendPos val="b"/>
      <c:layout>
        <c:manualLayout>
          <c:xMode val="edge"/>
          <c:yMode val="edge"/>
          <c:x val="0"/>
          <c:y val="0.83187040591532724"/>
          <c:w val="0.99846078660297544"/>
          <c:h val="0.1568731323750736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0.11019</cdr:x>
      <cdr:y>0.03858</cdr:y>
    </cdr:from>
    <cdr:to>
      <cdr:x>0.23416</cdr:x>
      <cdr:y>0.1074</cdr:y>
    </cdr:to>
    <cdr:sp macro="" textlink="">
      <cdr:nvSpPr>
        <cdr:cNvPr id="2" name="TextBox 1"/>
        <cdr:cNvSpPr txBox="1"/>
      </cdr:nvSpPr>
      <cdr:spPr>
        <a:xfrm xmlns:a="http://schemas.openxmlformats.org/drawingml/2006/main">
          <a:off x="762000" y="176214"/>
          <a:ext cx="857250" cy="314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0.1159</cdr:x>
      <cdr:y>0.0507</cdr:y>
    </cdr:from>
    <cdr:to>
      <cdr:x>0.26554</cdr:x>
      <cdr:y>0.14523</cdr:y>
    </cdr:to>
    <cdr:sp macro="" textlink="">
      <cdr:nvSpPr>
        <cdr:cNvPr id="4" name="Rectangle 3"/>
        <cdr:cNvSpPr/>
      </cdr:nvSpPr>
      <cdr:spPr>
        <a:xfrm xmlns:a="http://schemas.openxmlformats.org/drawingml/2006/main">
          <a:off x="667589" y="143296"/>
          <a:ext cx="861939" cy="267178"/>
        </a:xfrm>
        <a:prstGeom xmlns:a="http://schemas.openxmlformats.org/drawingml/2006/main" prst="rect">
          <a:avLst/>
        </a:prstGeom>
        <a:noFill xmlns:a="http://schemas.openxmlformats.org/drawingml/2006/main"/>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050" b="1">
              <a:solidFill>
                <a:sysClr val="windowText" lastClr="000000"/>
              </a:solidFill>
              <a:latin typeface="Times New Roman" panose="02020603050405020304" pitchFamily="18" charset="0"/>
              <a:cs typeface="Times New Roman" panose="02020603050405020304" pitchFamily="18" charset="0"/>
            </a:rPr>
            <a:t>10</a:t>
          </a:r>
          <a:r>
            <a:rPr lang="lv-LV" sz="1050" b="1" baseline="0">
              <a:solidFill>
                <a:sysClr val="windowText" lastClr="000000"/>
              </a:solidFill>
              <a:latin typeface="Times New Roman" panose="02020603050405020304" pitchFamily="18" charset="0"/>
              <a:cs typeface="Times New Roman" panose="02020603050405020304" pitchFamily="18" charset="0"/>
            </a:rPr>
            <a:t> 862,2</a:t>
          </a:r>
          <a:endParaRPr lang="lv-LV" sz="105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0.34436</cdr:x>
      <cdr:y>0.04342</cdr:y>
    </cdr:from>
    <cdr:to>
      <cdr:x>0.494</cdr:x>
      <cdr:y>0.13794</cdr:y>
    </cdr:to>
    <cdr:sp macro="" textlink="">
      <cdr:nvSpPr>
        <cdr:cNvPr id="5" name="Rectangle 4"/>
        <cdr:cNvSpPr/>
      </cdr:nvSpPr>
      <cdr:spPr>
        <a:xfrm xmlns:a="http://schemas.openxmlformats.org/drawingml/2006/main">
          <a:off x="1983543" y="122722"/>
          <a:ext cx="861939" cy="267149"/>
        </a:xfrm>
        <a:prstGeom xmlns:a="http://schemas.openxmlformats.org/drawingml/2006/main" prst="rect">
          <a:avLst/>
        </a:prstGeom>
        <a:noFill xmlns:a="http://schemas.openxmlformats.org/drawingml/2006/main"/>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50" b="1">
              <a:solidFill>
                <a:sysClr val="windowText" lastClr="000000"/>
              </a:solidFill>
              <a:latin typeface="Times New Roman" panose="02020603050405020304" pitchFamily="18" charset="0"/>
              <a:cs typeface="Times New Roman" panose="02020603050405020304" pitchFamily="18" charset="0"/>
            </a:rPr>
            <a:t>12</a:t>
          </a:r>
          <a:r>
            <a:rPr lang="lv-LV" sz="1050" b="1" baseline="0">
              <a:solidFill>
                <a:sysClr val="windowText" lastClr="000000"/>
              </a:solidFill>
              <a:latin typeface="Times New Roman" panose="02020603050405020304" pitchFamily="18" charset="0"/>
              <a:cs typeface="Times New Roman" panose="02020603050405020304" pitchFamily="18" charset="0"/>
            </a:rPr>
            <a:t> 147,9</a:t>
          </a:r>
          <a:endParaRPr lang="lv-LV" sz="105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0.57005</cdr:x>
      <cdr:y>0.04426</cdr:y>
    </cdr:from>
    <cdr:to>
      <cdr:x>0.71969</cdr:x>
      <cdr:y>0.13878</cdr:y>
    </cdr:to>
    <cdr:sp macro="" textlink="">
      <cdr:nvSpPr>
        <cdr:cNvPr id="6" name="Rectangle 5"/>
        <cdr:cNvSpPr/>
      </cdr:nvSpPr>
      <cdr:spPr>
        <a:xfrm xmlns:a="http://schemas.openxmlformats.org/drawingml/2006/main">
          <a:off x="3283516" y="125095"/>
          <a:ext cx="861939" cy="267150"/>
        </a:xfrm>
        <a:prstGeom xmlns:a="http://schemas.openxmlformats.org/drawingml/2006/main" prst="rect">
          <a:avLst/>
        </a:prstGeom>
        <a:noFill xmlns:a="http://schemas.openxmlformats.org/drawingml/2006/main"/>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50" b="1">
              <a:solidFill>
                <a:sysClr val="windowText" lastClr="000000"/>
              </a:solidFill>
              <a:latin typeface="Times New Roman" panose="02020603050405020304" pitchFamily="18" charset="0"/>
              <a:cs typeface="Times New Roman" panose="02020603050405020304" pitchFamily="18" charset="0"/>
            </a:rPr>
            <a:t>12</a:t>
          </a:r>
          <a:r>
            <a:rPr lang="lv-LV" sz="1050" b="1" baseline="0">
              <a:solidFill>
                <a:sysClr val="windowText" lastClr="000000"/>
              </a:solidFill>
              <a:latin typeface="Times New Roman" panose="02020603050405020304" pitchFamily="18" charset="0"/>
              <a:cs typeface="Times New Roman" panose="02020603050405020304" pitchFamily="18" charset="0"/>
            </a:rPr>
            <a:t> 046,1</a:t>
          </a:r>
          <a:endParaRPr lang="lv-LV" sz="105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0.79099</cdr:x>
      <cdr:y>0.04375</cdr:y>
    </cdr:from>
    <cdr:to>
      <cdr:x>0.94063</cdr:x>
      <cdr:y>0.13828</cdr:y>
    </cdr:to>
    <cdr:sp macro="" textlink="">
      <cdr:nvSpPr>
        <cdr:cNvPr id="7" name="Rectangle 6"/>
        <cdr:cNvSpPr/>
      </cdr:nvSpPr>
      <cdr:spPr>
        <a:xfrm xmlns:a="http://schemas.openxmlformats.org/drawingml/2006/main">
          <a:off x="4556144" y="123654"/>
          <a:ext cx="861939" cy="267178"/>
        </a:xfrm>
        <a:prstGeom xmlns:a="http://schemas.openxmlformats.org/drawingml/2006/main" prst="rect">
          <a:avLst/>
        </a:prstGeom>
        <a:noFill xmlns:a="http://schemas.openxmlformats.org/drawingml/2006/main"/>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50" b="1">
              <a:solidFill>
                <a:sysClr val="windowText" lastClr="000000"/>
              </a:solidFill>
              <a:latin typeface="Times New Roman" panose="02020603050405020304" pitchFamily="18" charset="0"/>
              <a:cs typeface="Times New Roman" panose="02020603050405020304" pitchFamily="18" charset="0"/>
            </a:rPr>
            <a:t>11</a:t>
          </a:r>
          <a:r>
            <a:rPr lang="lv-LV" sz="1050" b="1" baseline="0">
              <a:solidFill>
                <a:sysClr val="windowText" lastClr="000000"/>
              </a:solidFill>
              <a:latin typeface="Times New Roman" panose="02020603050405020304" pitchFamily="18" charset="0"/>
              <a:cs typeface="Times New Roman" panose="02020603050405020304" pitchFamily="18" charset="0"/>
            </a:rPr>
            <a:t> 539,3</a:t>
          </a:r>
          <a:endParaRPr lang="lv-LV" sz="1050" b="1">
            <a:solidFill>
              <a:sysClr val="windowText" lastClr="000000"/>
            </a:solidFill>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0.11741</cdr:x>
      <cdr:y>0.03246</cdr:y>
    </cdr:from>
    <cdr:to>
      <cdr:x>0.24292</cdr:x>
      <cdr:y>0.09948</cdr:y>
    </cdr:to>
    <cdr:sp macro="" textlink="">
      <cdr:nvSpPr>
        <cdr:cNvPr id="2" name="TextBox 1"/>
        <cdr:cNvSpPr txBox="1"/>
      </cdr:nvSpPr>
      <cdr:spPr>
        <a:xfrm xmlns:a="http://schemas.openxmlformats.org/drawingml/2006/main">
          <a:off x="828676" y="147639"/>
          <a:ext cx="885825"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0.33673</cdr:x>
      <cdr:y>0.04657</cdr:y>
    </cdr:from>
    <cdr:to>
      <cdr:x>0.48953</cdr:x>
      <cdr:y>0.12607</cdr:y>
    </cdr:to>
    <cdr:sp macro="" textlink="">
      <cdr:nvSpPr>
        <cdr:cNvPr id="6" name="Rectangle 5"/>
        <cdr:cNvSpPr/>
      </cdr:nvSpPr>
      <cdr:spPr>
        <a:xfrm xmlns:a="http://schemas.openxmlformats.org/drawingml/2006/main">
          <a:off x="1889106" y="170806"/>
          <a:ext cx="857243" cy="291587"/>
        </a:xfrm>
        <a:prstGeom xmlns:a="http://schemas.openxmlformats.org/drawingml/2006/main" prst="rect">
          <a:avLst/>
        </a:prstGeom>
        <a:noFill xmlns:a="http://schemas.openxmlformats.org/drawingml/2006/main"/>
        <a:ln xmlns:a="http://schemas.openxmlformats.org/drawingml/2006/main" w="317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00" b="1">
              <a:solidFill>
                <a:schemeClr val="tx1"/>
              </a:solidFill>
              <a:latin typeface="Times New Roman" panose="02020603050405020304" pitchFamily="18" charset="0"/>
              <a:cs typeface="Times New Roman" panose="02020603050405020304" pitchFamily="18" charset="0"/>
            </a:rPr>
            <a:t>4</a:t>
          </a:r>
          <a:r>
            <a:rPr lang="lv-LV" sz="1000" b="1" baseline="0">
              <a:solidFill>
                <a:schemeClr val="tx1"/>
              </a:solidFill>
              <a:latin typeface="Times New Roman" panose="02020603050405020304" pitchFamily="18" charset="0"/>
              <a:cs typeface="Times New Roman" panose="02020603050405020304" pitchFamily="18" charset="0"/>
            </a:rPr>
            <a:t> 355,7</a:t>
          </a:r>
          <a:endParaRPr lang="lv-LV" sz="1000" b="1">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0.79004</cdr:x>
      <cdr:y>0.04949</cdr:y>
    </cdr:from>
    <cdr:to>
      <cdr:x>0.94284</cdr:x>
      <cdr:y>0.129</cdr:y>
    </cdr:to>
    <cdr:sp macro="" textlink="">
      <cdr:nvSpPr>
        <cdr:cNvPr id="7" name="Rectangle 6"/>
        <cdr:cNvSpPr/>
      </cdr:nvSpPr>
      <cdr:spPr>
        <a:xfrm xmlns:a="http://schemas.openxmlformats.org/drawingml/2006/main">
          <a:off x="4432290" y="181519"/>
          <a:ext cx="857242" cy="291623"/>
        </a:xfrm>
        <a:prstGeom xmlns:a="http://schemas.openxmlformats.org/drawingml/2006/main" prst="rect">
          <a:avLst/>
        </a:prstGeom>
        <a:noFill xmlns:a="http://schemas.openxmlformats.org/drawingml/2006/main"/>
        <a:ln xmlns:a="http://schemas.openxmlformats.org/drawingml/2006/main" w="317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00" b="1">
              <a:solidFill>
                <a:schemeClr val="tx1"/>
              </a:solidFill>
              <a:latin typeface="Times New Roman" panose="02020603050405020304" pitchFamily="18" charset="0"/>
              <a:cs typeface="Times New Roman" panose="02020603050405020304" pitchFamily="18" charset="0"/>
            </a:rPr>
            <a:t>5</a:t>
          </a:r>
          <a:r>
            <a:rPr lang="lv-LV" sz="1000" b="1" baseline="0">
              <a:solidFill>
                <a:schemeClr val="tx1"/>
              </a:solidFill>
              <a:latin typeface="Times New Roman" panose="02020603050405020304" pitchFamily="18" charset="0"/>
              <a:cs typeface="Times New Roman" panose="02020603050405020304" pitchFamily="18" charset="0"/>
            </a:rPr>
            <a:t> 091,0</a:t>
          </a:r>
          <a:endParaRPr lang="lv-LV" sz="1000" b="1">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0.55914</cdr:x>
      <cdr:y>0.04803</cdr:y>
    </cdr:from>
    <cdr:to>
      <cdr:x>0.71194</cdr:x>
      <cdr:y>0.12754</cdr:y>
    </cdr:to>
    <cdr:sp macro="" textlink="">
      <cdr:nvSpPr>
        <cdr:cNvPr id="8" name="Rectangle 7"/>
        <cdr:cNvSpPr/>
      </cdr:nvSpPr>
      <cdr:spPr>
        <a:xfrm xmlns:a="http://schemas.openxmlformats.org/drawingml/2006/main">
          <a:off x="3136900" y="184150"/>
          <a:ext cx="857250" cy="304800"/>
        </a:xfrm>
        <a:prstGeom xmlns:a="http://schemas.openxmlformats.org/drawingml/2006/main" prst="rect">
          <a:avLst/>
        </a:prstGeom>
        <a:noFill xmlns:a="http://schemas.openxmlformats.org/drawingml/2006/main"/>
        <a:ln xmlns:a="http://schemas.openxmlformats.org/drawingml/2006/main" w="317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00" b="1">
              <a:solidFill>
                <a:schemeClr val="tx1"/>
              </a:solidFill>
              <a:latin typeface="Times New Roman" panose="02020603050405020304" pitchFamily="18" charset="0"/>
              <a:cs typeface="Times New Roman" panose="02020603050405020304" pitchFamily="18" charset="0"/>
            </a:rPr>
            <a:t>4</a:t>
          </a:r>
          <a:r>
            <a:rPr lang="lv-LV" sz="1000" b="1" baseline="0">
              <a:solidFill>
                <a:schemeClr val="tx1"/>
              </a:solidFill>
              <a:latin typeface="Times New Roman" panose="02020603050405020304" pitchFamily="18" charset="0"/>
              <a:cs typeface="Times New Roman" panose="02020603050405020304" pitchFamily="18" charset="0"/>
            </a:rPr>
            <a:t> 692,7</a:t>
          </a:r>
          <a:endParaRPr lang="lv-LV" sz="1000" b="1">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0.10753</cdr:x>
      <cdr:y>0.05234</cdr:y>
    </cdr:from>
    <cdr:to>
      <cdr:x>0.26033</cdr:x>
      <cdr:y>0.13185</cdr:y>
    </cdr:to>
    <cdr:sp macro="" textlink="">
      <cdr:nvSpPr>
        <cdr:cNvPr id="9" name="Rectangle 8"/>
        <cdr:cNvSpPr/>
      </cdr:nvSpPr>
      <cdr:spPr>
        <a:xfrm xmlns:a="http://schemas.openxmlformats.org/drawingml/2006/main">
          <a:off x="603267" y="191979"/>
          <a:ext cx="857243" cy="291624"/>
        </a:xfrm>
        <a:prstGeom xmlns:a="http://schemas.openxmlformats.org/drawingml/2006/main" prst="rect">
          <a:avLst/>
        </a:prstGeom>
        <a:noFill xmlns:a="http://schemas.openxmlformats.org/drawingml/2006/main"/>
        <a:ln xmlns:a="http://schemas.openxmlformats.org/drawingml/2006/main" w="317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000" b="1">
              <a:solidFill>
                <a:sysClr val="windowText" lastClr="000000"/>
              </a:solidFill>
              <a:effectLst/>
              <a:latin typeface="Times New Roman" panose="02020603050405020304" pitchFamily="18" charset="0"/>
              <a:ea typeface="+mn-ea"/>
              <a:cs typeface="Times New Roman" panose="02020603050405020304" pitchFamily="18" charset="0"/>
            </a:rPr>
            <a:t>4</a:t>
          </a:r>
          <a:r>
            <a:rPr lang="lv-LV" sz="1000" b="1" baseline="0">
              <a:solidFill>
                <a:sysClr val="windowText" lastClr="000000"/>
              </a:solidFill>
              <a:effectLst/>
              <a:latin typeface="Times New Roman" panose="02020603050405020304" pitchFamily="18" charset="0"/>
              <a:ea typeface="+mn-ea"/>
              <a:cs typeface="Times New Roman" panose="02020603050405020304" pitchFamily="18" charset="0"/>
            </a:rPr>
            <a:t> 083,3</a:t>
          </a:r>
          <a:endParaRPr lang="lv-LV" sz="1000">
            <a:solidFill>
              <a:sysClr val="windowText" lastClr="000000"/>
            </a:solidFill>
            <a:effectLst/>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427AB-52B9-436B-86C1-A8ED7785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8</Pages>
  <Words>2773</Words>
  <Characters>20777</Characters>
  <Application>Microsoft Office Word</Application>
  <DocSecurity>0</DocSecurity>
  <Lines>173</Lines>
  <Paragraphs>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2023. gadam un budžeta ietvaru 2023., 2024. un 2025. gadam" paskaidrojumi,5.3.nodaļa Izdevumu politikas virzienu un izdevumu atbilstoši funkcionālajām un ekonomiskajām kategorijām kopsavilkums</vt:lpstr>
      <vt:lpstr>Likumprojekta „Par valsts budžetu 2010. gadam“ paskaidrojumi. 5.3.  nodaļa. Valsts pamatbudžeta un speciālā budžeta izdevumi</vt:lpstr>
    </vt:vector>
  </TitlesOfParts>
  <Manager/>
  <Company>Finanšu ministrija</Company>
  <LinksUpToDate>false</LinksUpToDate>
  <CharactersWithSpaces>23503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44</cp:revision>
  <cp:lastPrinted>2019-04-29T15:46:00Z</cp:lastPrinted>
  <dcterms:created xsi:type="dcterms:W3CDTF">2019-05-07T12:06:00Z</dcterms:created>
  <dcterms:modified xsi:type="dcterms:W3CDTF">2023-10-25T13:55:00Z</dcterms:modified>
</cp:coreProperties>
</file>